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FCC48" w14:textId="248AE6CB" w:rsidR="00C212B9" w:rsidRDefault="00E620EA" w:rsidP="00C212B9">
      <w:pPr>
        <w:pStyle w:val="DomylneA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color="2E498A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color="2E498A"/>
          <w:shd w:val="clear" w:color="auto" w:fill="FEFEFE"/>
        </w:rPr>
        <w:t>References</w:t>
      </w:r>
    </w:p>
    <w:p w14:paraId="264E7AB4" w14:textId="77777777" w:rsidR="00E620EA" w:rsidRPr="00E620EA" w:rsidRDefault="00E620EA" w:rsidP="00E620E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50"/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</w:pPr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 xml:space="preserve">Stec S, Śledź J, </w:t>
      </w:r>
      <w:proofErr w:type="spellStart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Mazij</w:t>
      </w:r>
      <w:proofErr w:type="spellEnd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 xml:space="preserve"> M, et al. </w:t>
      </w:r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</w:rPr>
        <w:t xml:space="preserve">Feasibility of implementation of a "simplified, No-X-Ray, no-lead apron, two-catheter approach" for ablation of supraventricular arrhythmias in children and adults. </w:t>
      </w:r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 xml:space="preserve">J </w:t>
      </w:r>
      <w:proofErr w:type="spellStart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Cardiovasc</w:t>
      </w:r>
      <w:proofErr w:type="spellEnd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 xml:space="preserve"> </w:t>
      </w:r>
      <w:proofErr w:type="spellStart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Electrophysiol</w:t>
      </w:r>
      <w:proofErr w:type="spellEnd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. 2014; 25(8): 866–874, doi: </w:t>
      </w:r>
      <w:hyperlink r:id="rId6" w:history="1">
        <w:r w:rsidRPr="00E620EA">
          <w:rPr>
            <w:rFonts w:ascii="Arial" w:eastAsia="Times New Roman" w:hAnsi="Arial" w:cs="Arial"/>
            <w:color w:val="345C98"/>
            <w:sz w:val="18"/>
            <w:szCs w:val="18"/>
            <w:bdr w:val="none" w:sz="0" w:space="0" w:color="auto"/>
            <w:lang w:val="pl-PL"/>
          </w:rPr>
          <w:t>10.1111/jce.12414</w:t>
        </w:r>
      </w:hyperlink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 xml:space="preserve">, </w:t>
      </w:r>
      <w:proofErr w:type="spellStart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indexed</w:t>
      </w:r>
      <w:proofErr w:type="spellEnd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 xml:space="preserve"> in Pubmed:</w:t>
      </w:r>
      <w:hyperlink r:id="rId7" w:history="1">
        <w:r w:rsidRPr="00E620EA">
          <w:rPr>
            <w:rFonts w:ascii="Arial" w:eastAsia="Times New Roman" w:hAnsi="Arial" w:cs="Arial"/>
            <w:color w:val="345C98"/>
            <w:sz w:val="18"/>
            <w:szCs w:val="18"/>
            <w:bdr w:val="none" w:sz="0" w:space="0" w:color="auto"/>
            <w:lang w:val="pl-PL"/>
          </w:rPr>
          <w:t>24654678</w:t>
        </w:r>
      </w:hyperlink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.</w:t>
      </w:r>
    </w:p>
    <w:p w14:paraId="2BC61ECA" w14:textId="77777777" w:rsidR="00E620EA" w:rsidRPr="00E620EA" w:rsidRDefault="00E620EA" w:rsidP="00E620E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50"/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</w:pPr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</w:rPr>
        <w:t xml:space="preserve">Sledz J, Labus M, Mazij M, et al. A simplified approach for evaluating sustained slow pathway conduction for diagnosis and treatment of atrioventricular nodal reentry tachycardia in children and adults. </w:t>
      </w:r>
      <w:proofErr w:type="spellStart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Adv</w:t>
      </w:r>
      <w:proofErr w:type="spellEnd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 xml:space="preserve"> Med </w:t>
      </w:r>
      <w:proofErr w:type="spellStart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Sci</w:t>
      </w:r>
      <w:proofErr w:type="spellEnd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. 2018; 63(2): 249–256, doi: </w:t>
      </w:r>
      <w:hyperlink r:id="rId8" w:history="1">
        <w:r w:rsidRPr="00E620EA">
          <w:rPr>
            <w:rFonts w:ascii="Arial" w:eastAsia="Times New Roman" w:hAnsi="Arial" w:cs="Arial"/>
            <w:color w:val="345C98"/>
            <w:sz w:val="18"/>
            <w:szCs w:val="18"/>
            <w:bdr w:val="none" w:sz="0" w:space="0" w:color="auto"/>
            <w:lang w:val="pl-PL"/>
          </w:rPr>
          <w:t>10.1016/j.advms.2018.01.001</w:t>
        </w:r>
      </w:hyperlink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 xml:space="preserve">, </w:t>
      </w:r>
      <w:proofErr w:type="spellStart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indexed</w:t>
      </w:r>
      <w:proofErr w:type="spellEnd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 xml:space="preserve"> in </w:t>
      </w:r>
      <w:proofErr w:type="spellStart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Pubmed</w:t>
      </w:r>
      <w:proofErr w:type="spellEnd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: </w:t>
      </w:r>
      <w:hyperlink r:id="rId9" w:history="1">
        <w:r w:rsidRPr="00E620EA">
          <w:rPr>
            <w:rFonts w:ascii="Arial" w:eastAsia="Times New Roman" w:hAnsi="Arial" w:cs="Arial"/>
            <w:color w:val="345C98"/>
            <w:sz w:val="18"/>
            <w:szCs w:val="18"/>
            <w:bdr w:val="none" w:sz="0" w:space="0" w:color="auto"/>
            <w:lang w:val="pl-PL"/>
          </w:rPr>
          <w:t>29433068</w:t>
        </w:r>
      </w:hyperlink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.</w:t>
      </w:r>
    </w:p>
    <w:p w14:paraId="6A97E53A" w14:textId="77777777" w:rsidR="00E620EA" w:rsidRPr="00E620EA" w:rsidRDefault="00E620EA" w:rsidP="00E620E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50"/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</w:pPr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</w:rPr>
        <w:t xml:space="preserve">Yang Li, Sun G, Chen X, et al. Meta-Analysis of zero or near-zero fluoroscopy use during ablation of cardiac arrhythmias. </w:t>
      </w:r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 xml:space="preserve">Am J </w:t>
      </w:r>
      <w:proofErr w:type="spellStart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Cardiol</w:t>
      </w:r>
      <w:proofErr w:type="spellEnd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. 2016; 118(10): 1511–1518, doi: </w:t>
      </w:r>
      <w:hyperlink r:id="rId10" w:history="1">
        <w:r w:rsidRPr="00E620EA">
          <w:rPr>
            <w:rFonts w:ascii="Arial" w:eastAsia="Times New Roman" w:hAnsi="Arial" w:cs="Arial"/>
            <w:color w:val="345C98"/>
            <w:sz w:val="18"/>
            <w:szCs w:val="18"/>
            <w:bdr w:val="none" w:sz="0" w:space="0" w:color="auto"/>
            <w:lang w:val="pl-PL"/>
          </w:rPr>
          <w:t>10.1016/j.amjcard.2016.08.014</w:t>
        </w:r>
      </w:hyperlink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 xml:space="preserve">, </w:t>
      </w:r>
      <w:proofErr w:type="spellStart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indexed</w:t>
      </w:r>
      <w:proofErr w:type="spellEnd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 xml:space="preserve"> in </w:t>
      </w:r>
      <w:proofErr w:type="spellStart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Pubmed</w:t>
      </w:r>
      <w:proofErr w:type="spellEnd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: </w:t>
      </w:r>
      <w:hyperlink r:id="rId11" w:history="1">
        <w:r w:rsidRPr="00E620EA">
          <w:rPr>
            <w:rFonts w:ascii="Arial" w:eastAsia="Times New Roman" w:hAnsi="Arial" w:cs="Arial"/>
            <w:color w:val="345C98"/>
            <w:sz w:val="18"/>
            <w:szCs w:val="18"/>
            <w:bdr w:val="none" w:sz="0" w:space="0" w:color="auto"/>
            <w:lang w:val="pl-PL"/>
          </w:rPr>
          <w:t>27639689</w:t>
        </w:r>
      </w:hyperlink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.</w:t>
      </w:r>
    </w:p>
    <w:p w14:paraId="6041C499" w14:textId="77777777" w:rsidR="00E620EA" w:rsidRPr="00E620EA" w:rsidRDefault="00E620EA" w:rsidP="00E620E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50"/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</w:pPr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</w:rPr>
        <w:t xml:space="preserve">Babu-Narayan SV, Giannakoulas G, Valente AM, et al. Imaging of congenital heart disease in adults. </w:t>
      </w:r>
      <w:proofErr w:type="spellStart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Eur</w:t>
      </w:r>
      <w:proofErr w:type="spellEnd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 xml:space="preserve"> </w:t>
      </w:r>
      <w:proofErr w:type="spellStart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Heart</w:t>
      </w:r>
      <w:proofErr w:type="spellEnd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 xml:space="preserve"> J. 2016; 37(15): 1182–1195, doi:</w:t>
      </w:r>
      <w:hyperlink r:id="rId12" w:history="1">
        <w:r w:rsidRPr="00E620EA">
          <w:rPr>
            <w:rFonts w:ascii="Arial" w:eastAsia="Times New Roman" w:hAnsi="Arial" w:cs="Arial"/>
            <w:color w:val="345C98"/>
            <w:sz w:val="18"/>
            <w:szCs w:val="18"/>
            <w:bdr w:val="none" w:sz="0" w:space="0" w:color="auto"/>
            <w:lang w:val="pl-PL"/>
          </w:rPr>
          <w:t>10.1093/</w:t>
        </w:r>
        <w:proofErr w:type="spellStart"/>
        <w:r w:rsidRPr="00E620EA">
          <w:rPr>
            <w:rFonts w:ascii="Arial" w:eastAsia="Times New Roman" w:hAnsi="Arial" w:cs="Arial"/>
            <w:color w:val="345C98"/>
            <w:sz w:val="18"/>
            <w:szCs w:val="18"/>
            <w:bdr w:val="none" w:sz="0" w:space="0" w:color="auto"/>
            <w:lang w:val="pl-PL"/>
          </w:rPr>
          <w:t>eurheartj</w:t>
        </w:r>
        <w:proofErr w:type="spellEnd"/>
        <w:r w:rsidRPr="00E620EA">
          <w:rPr>
            <w:rFonts w:ascii="Arial" w:eastAsia="Times New Roman" w:hAnsi="Arial" w:cs="Arial"/>
            <w:color w:val="345C98"/>
            <w:sz w:val="18"/>
            <w:szCs w:val="18"/>
            <w:bdr w:val="none" w:sz="0" w:space="0" w:color="auto"/>
            <w:lang w:val="pl-PL"/>
          </w:rPr>
          <w:t>/ehv519</w:t>
        </w:r>
      </w:hyperlink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 xml:space="preserve">, </w:t>
      </w:r>
      <w:proofErr w:type="spellStart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indexed</w:t>
      </w:r>
      <w:proofErr w:type="spellEnd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 xml:space="preserve"> in </w:t>
      </w:r>
      <w:proofErr w:type="spellStart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Pubmed</w:t>
      </w:r>
      <w:proofErr w:type="spellEnd"/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: </w:t>
      </w:r>
      <w:hyperlink r:id="rId13" w:history="1">
        <w:r w:rsidRPr="00E620EA">
          <w:rPr>
            <w:rFonts w:ascii="Arial" w:eastAsia="Times New Roman" w:hAnsi="Arial" w:cs="Arial"/>
            <w:color w:val="345C98"/>
            <w:sz w:val="18"/>
            <w:szCs w:val="18"/>
            <w:bdr w:val="none" w:sz="0" w:space="0" w:color="auto"/>
            <w:lang w:val="pl-PL"/>
          </w:rPr>
          <w:t>26424866</w:t>
        </w:r>
      </w:hyperlink>
      <w:r w:rsidRPr="00E620EA">
        <w:rPr>
          <w:rFonts w:ascii="Arial" w:eastAsia="Times New Roman" w:hAnsi="Arial" w:cs="Arial"/>
          <w:color w:val="1C1C1C"/>
          <w:sz w:val="18"/>
          <w:szCs w:val="18"/>
          <w:bdr w:val="none" w:sz="0" w:space="0" w:color="auto"/>
          <w:lang w:val="pl-PL"/>
        </w:rPr>
        <w:t>.</w:t>
      </w:r>
    </w:p>
    <w:p w14:paraId="5F1A98D4" w14:textId="77777777" w:rsidR="00C212B9" w:rsidRPr="00524323" w:rsidRDefault="00C212B9" w:rsidP="00C212B9">
      <w:pPr>
        <w:pStyle w:val="DomylneA"/>
        <w:spacing w:line="480" w:lineRule="auto"/>
        <w:rPr>
          <w:rFonts w:ascii="Times New Roman" w:eastAsia="Times New Roman" w:hAnsi="Times New Roman" w:cs="Times New Roman"/>
          <w:sz w:val="24"/>
          <w:szCs w:val="24"/>
          <w:u w:color="2E498A"/>
          <w:shd w:val="clear" w:color="auto" w:fill="FEFEFE"/>
        </w:rPr>
      </w:pPr>
      <w:bookmarkStart w:id="0" w:name="_GoBack"/>
      <w:bookmarkEnd w:id="0"/>
    </w:p>
    <w:p w14:paraId="7D54BA45" w14:textId="77777777" w:rsidR="0006444F" w:rsidRPr="00524323" w:rsidRDefault="0006444F" w:rsidP="000644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u w:color="2E498A"/>
          <w:shd w:val="clear" w:color="auto" w:fill="FEFEFE"/>
        </w:rPr>
      </w:pPr>
    </w:p>
    <w:sectPr w:rsidR="0006444F" w:rsidRPr="0052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5A78"/>
    <w:multiLevelType w:val="hybridMultilevel"/>
    <w:tmpl w:val="5B681F5A"/>
    <w:numStyleLink w:val="Zaimportowanystyl1"/>
  </w:abstractNum>
  <w:abstractNum w:abstractNumId="1">
    <w:nsid w:val="5F2B377E"/>
    <w:multiLevelType w:val="hybridMultilevel"/>
    <w:tmpl w:val="5B681F5A"/>
    <w:styleLink w:val="Zaimportowanystyl1"/>
    <w:lvl w:ilvl="0" w:tplc="1F8C8B06">
      <w:start w:val="1"/>
      <w:numFmt w:val="decimal"/>
      <w:lvlText w:val="%1."/>
      <w:lvlJc w:val="left"/>
      <w:pPr>
        <w:ind w:left="6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2C6228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D80314">
      <w:start w:val="1"/>
      <w:numFmt w:val="lowerRoman"/>
      <w:lvlText w:val="%3."/>
      <w:lvlJc w:val="left"/>
      <w:pPr>
        <w:ind w:left="211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40D67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04A22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FEA7FC">
      <w:start w:val="1"/>
      <w:numFmt w:val="lowerRoman"/>
      <w:lvlText w:val="%6."/>
      <w:lvlJc w:val="left"/>
      <w:pPr>
        <w:ind w:left="427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B0DB1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8AE1D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F641BE">
      <w:start w:val="1"/>
      <w:numFmt w:val="lowerRoman"/>
      <w:lvlText w:val="%9."/>
      <w:lvlJc w:val="left"/>
      <w:pPr>
        <w:ind w:left="643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AE501A8"/>
    <w:multiLevelType w:val="multilevel"/>
    <w:tmpl w:val="910C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6F"/>
    <w:rsid w:val="00012AF9"/>
    <w:rsid w:val="0006444F"/>
    <w:rsid w:val="00187D0F"/>
    <w:rsid w:val="004041EE"/>
    <w:rsid w:val="00610F6F"/>
    <w:rsid w:val="00643C82"/>
    <w:rsid w:val="00885092"/>
    <w:rsid w:val="00915EFF"/>
    <w:rsid w:val="009A0C99"/>
    <w:rsid w:val="00C212B9"/>
    <w:rsid w:val="00D256BC"/>
    <w:rsid w:val="00E620EA"/>
    <w:rsid w:val="00F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44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A">
    <w:name w:val="Domyślne A"/>
    <w:rsid w:val="000644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44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444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44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4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4F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06444F"/>
    <w:pPr>
      <w:numPr>
        <w:numId w:val="1"/>
      </w:numPr>
    </w:pPr>
  </w:style>
  <w:style w:type="character" w:styleId="Hipercze">
    <w:name w:val="Hyperlink"/>
    <w:rsid w:val="0006444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44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A">
    <w:name w:val="Domyślne A"/>
    <w:rsid w:val="000644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44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444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44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4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4F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06444F"/>
    <w:pPr>
      <w:numPr>
        <w:numId w:val="1"/>
      </w:numPr>
    </w:pPr>
  </w:style>
  <w:style w:type="character" w:styleId="Hipercze">
    <w:name w:val="Hyperlink"/>
    <w:rsid w:val="000644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advms.2018.01.001" TargetMode="External"/><Relationship Id="rId13" Type="http://schemas.openxmlformats.org/officeDocument/2006/relationships/hyperlink" Target="https://www.ncbi.nlm.nih.gov/pubmed/264248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ubmed/24654678" TargetMode="External"/><Relationship Id="rId12" Type="http://schemas.openxmlformats.org/officeDocument/2006/relationships/hyperlink" Target="http://dx.doi.org/10.1093/eurheartj/ehv5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111/jce.12414" TargetMode="External"/><Relationship Id="rId11" Type="http://schemas.openxmlformats.org/officeDocument/2006/relationships/hyperlink" Target="https://www.ncbi.nlm.nih.gov/pubmed/276396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16/j.amjcard.2016.08.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94330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Joanna Niezgoda</cp:lastModifiedBy>
  <cp:revision>9</cp:revision>
  <dcterms:created xsi:type="dcterms:W3CDTF">2018-10-17T21:16:00Z</dcterms:created>
  <dcterms:modified xsi:type="dcterms:W3CDTF">2019-01-04T14:19:00Z</dcterms:modified>
</cp:coreProperties>
</file>