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9C" w:rsidRPr="005D7A90" w:rsidRDefault="001E5C9C" w:rsidP="001E5C9C">
      <w:pPr>
        <w:outlineLvl w:val="0"/>
        <w:rPr>
          <w:color w:val="212121"/>
          <w:lang w:val="en-GB"/>
        </w:rPr>
      </w:pPr>
      <w:r>
        <w:rPr>
          <w:b/>
          <w:lang w:val="en-GB"/>
        </w:rPr>
        <w:t xml:space="preserve">Supplementary </w:t>
      </w:r>
      <w:r w:rsidRPr="005D7A90">
        <w:rPr>
          <w:b/>
          <w:lang w:val="en-GB"/>
        </w:rPr>
        <w:t xml:space="preserve">Table </w:t>
      </w:r>
      <w:r>
        <w:rPr>
          <w:b/>
          <w:lang w:val="en-GB"/>
        </w:rPr>
        <w:t>1</w:t>
      </w:r>
      <w:r w:rsidRPr="005D7A90">
        <w:rPr>
          <w:b/>
          <w:lang w:val="en-GB"/>
        </w:rPr>
        <w:t>.</w:t>
      </w:r>
      <w:bookmarkStart w:id="0" w:name="_Toc437038276"/>
      <w:bookmarkStart w:id="1" w:name="_Toc444284780"/>
      <w:r w:rsidRPr="005D7A90">
        <w:rPr>
          <w:lang w:val="en-GB"/>
        </w:rPr>
        <w:t xml:space="preserve"> </w:t>
      </w:r>
      <w:bookmarkEnd w:id="0"/>
      <w:bookmarkEnd w:id="1"/>
      <w:r w:rsidRPr="005D7A90">
        <w:rPr>
          <w:color w:val="212121"/>
          <w:lang w:val="en-GB"/>
        </w:rPr>
        <w:t xml:space="preserve">The number of patients </w:t>
      </w:r>
      <w:r>
        <w:rPr>
          <w:color w:val="212121"/>
          <w:lang w:val="en-GB"/>
        </w:rPr>
        <w:t xml:space="preserve">from </w:t>
      </w:r>
      <w:r>
        <w:rPr>
          <w:lang w:val="en-GB"/>
        </w:rPr>
        <w:t xml:space="preserve">the whole </w:t>
      </w:r>
      <w:r w:rsidRPr="005D7A90">
        <w:rPr>
          <w:lang w:val="en-GB"/>
        </w:rPr>
        <w:t>study group</w:t>
      </w:r>
      <w:r>
        <w:rPr>
          <w:lang w:val="en-GB"/>
        </w:rPr>
        <w:t xml:space="preserve">, the standard education group (E0), and the active education group (E1), </w:t>
      </w:r>
      <w:r w:rsidRPr="005D7A90">
        <w:rPr>
          <w:color w:val="212121"/>
          <w:lang w:val="en-GB"/>
        </w:rPr>
        <w:t>participating in particular visits</w:t>
      </w:r>
      <w:r>
        <w:rPr>
          <w:color w:val="212121"/>
          <w:lang w:val="en-GB"/>
        </w:rPr>
        <w:t xml:space="preserve">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518"/>
        <w:gridCol w:w="1559"/>
        <w:gridCol w:w="1497"/>
        <w:gridCol w:w="1858"/>
        <w:gridCol w:w="1856"/>
      </w:tblGrid>
      <w:tr w:rsidR="001E5C9C" w:rsidRPr="005D7A90" w:rsidTr="00A20A52">
        <w:trPr>
          <w:trHeight w:val="497"/>
        </w:trPr>
        <w:tc>
          <w:tcPr>
            <w:tcW w:w="1356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lang w:val="en-GB"/>
              </w:rPr>
            </w:pPr>
          </w:p>
        </w:tc>
        <w:tc>
          <w:tcPr>
            <w:tcW w:w="839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b/>
                <w:lang w:val="en-GB"/>
              </w:rPr>
            </w:pPr>
            <w:r w:rsidRPr="005D7A90">
              <w:rPr>
                <w:b/>
                <w:lang w:val="en-GB"/>
              </w:rPr>
              <w:t>Study group</w:t>
            </w:r>
          </w:p>
        </w:tc>
        <w:tc>
          <w:tcPr>
            <w:tcW w:w="806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b/>
                <w:vertAlign w:val="superscript"/>
                <w:lang w:val="en-GB"/>
              </w:rPr>
            </w:pPr>
            <w:r w:rsidRPr="005D7A90">
              <w:rPr>
                <w:b/>
                <w:lang w:val="en-GB"/>
              </w:rPr>
              <w:t>Group E0</w:t>
            </w:r>
          </w:p>
        </w:tc>
        <w:tc>
          <w:tcPr>
            <w:tcW w:w="1000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b/>
                <w:lang w:val="en-GB"/>
              </w:rPr>
            </w:pPr>
            <w:r w:rsidRPr="005D7A90">
              <w:rPr>
                <w:b/>
                <w:lang w:val="en-GB"/>
              </w:rPr>
              <w:t>Group E1</w:t>
            </w:r>
          </w:p>
        </w:tc>
        <w:tc>
          <w:tcPr>
            <w:tcW w:w="999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b/>
                <w:lang w:val="en-GB"/>
              </w:rPr>
            </w:pPr>
            <w:r w:rsidRPr="005D7A90">
              <w:rPr>
                <w:b/>
                <w:lang w:val="en-GB"/>
              </w:rPr>
              <w:t>p</w:t>
            </w:r>
          </w:p>
        </w:tc>
      </w:tr>
      <w:tr w:rsidR="001E5C9C" w:rsidRPr="005D7A90" w:rsidTr="00A20A52">
        <w:trPr>
          <w:trHeight w:val="497"/>
        </w:trPr>
        <w:tc>
          <w:tcPr>
            <w:tcW w:w="1356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lang w:val="en-GB"/>
              </w:rPr>
            </w:pPr>
            <w:r w:rsidRPr="005D7A90">
              <w:rPr>
                <w:lang w:val="en-GB"/>
              </w:rPr>
              <w:t>V1</w:t>
            </w:r>
          </w:p>
        </w:tc>
        <w:tc>
          <w:tcPr>
            <w:tcW w:w="83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201 (100.0)</w:t>
            </w:r>
          </w:p>
        </w:tc>
        <w:tc>
          <w:tcPr>
            <w:tcW w:w="806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100 (100.0)</w:t>
            </w:r>
          </w:p>
        </w:tc>
        <w:tc>
          <w:tcPr>
            <w:tcW w:w="1000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101 (100.0)</w:t>
            </w:r>
          </w:p>
        </w:tc>
        <w:tc>
          <w:tcPr>
            <w:tcW w:w="99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–</w:t>
            </w:r>
          </w:p>
        </w:tc>
      </w:tr>
      <w:tr w:rsidR="001E5C9C" w:rsidRPr="005D7A90" w:rsidTr="00A20A52">
        <w:trPr>
          <w:trHeight w:val="497"/>
        </w:trPr>
        <w:tc>
          <w:tcPr>
            <w:tcW w:w="1356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lang w:val="en-GB"/>
              </w:rPr>
            </w:pPr>
            <w:r w:rsidRPr="005D7A90">
              <w:rPr>
                <w:lang w:val="en-GB"/>
              </w:rPr>
              <w:t>Workshop 1</w:t>
            </w:r>
          </w:p>
        </w:tc>
        <w:tc>
          <w:tcPr>
            <w:tcW w:w="83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58 (28.9)</w:t>
            </w:r>
          </w:p>
        </w:tc>
        <w:tc>
          <w:tcPr>
            <w:tcW w:w="806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-</w:t>
            </w:r>
          </w:p>
        </w:tc>
        <w:tc>
          <w:tcPr>
            <w:tcW w:w="1000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58 (57.4)</w:t>
            </w:r>
          </w:p>
        </w:tc>
        <w:tc>
          <w:tcPr>
            <w:tcW w:w="99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–</w:t>
            </w:r>
          </w:p>
        </w:tc>
      </w:tr>
      <w:tr w:rsidR="001E5C9C" w:rsidRPr="005D7A90" w:rsidTr="00A20A52">
        <w:trPr>
          <w:trHeight w:val="497"/>
        </w:trPr>
        <w:tc>
          <w:tcPr>
            <w:tcW w:w="1356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lang w:val="en-GB"/>
              </w:rPr>
            </w:pPr>
            <w:r w:rsidRPr="005D7A90">
              <w:rPr>
                <w:lang w:val="en-GB"/>
              </w:rPr>
              <w:t>Workshop 2</w:t>
            </w:r>
          </w:p>
        </w:tc>
        <w:tc>
          <w:tcPr>
            <w:tcW w:w="83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59 (29.4)</w:t>
            </w:r>
          </w:p>
        </w:tc>
        <w:tc>
          <w:tcPr>
            <w:tcW w:w="806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-</w:t>
            </w:r>
          </w:p>
        </w:tc>
        <w:tc>
          <w:tcPr>
            <w:tcW w:w="1000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59 (58.4)</w:t>
            </w:r>
          </w:p>
        </w:tc>
        <w:tc>
          <w:tcPr>
            <w:tcW w:w="99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–</w:t>
            </w:r>
          </w:p>
        </w:tc>
      </w:tr>
      <w:tr w:rsidR="001E5C9C" w:rsidRPr="005D7A90" w:rsidTr="00A20A52">
        <w:trPr>
          <w:trHeight w:val="497"/>
        </w:trPr>
        <w:tc>
          <w:tcPr>
            <w:tcW w:w="1356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lang w:val="en-GB"/>
              </w:rPr>
            </w:pPr>
            <w:r w:rsidRPr="005D7A90">
              <w:rPr>
                <w:lang w:val="en-GB"/>
              </w:rPr>
              <w:t>Dietician consultation</w:t>
            </w:r>
          </w:p>
        </w:tc>
        <w:tc>
          <w:tcPr>
            <w:tcW w:w="83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58 (28.9)</w:t>
            </w:r>
          </w:p>
        </w:tc>
        <w:tc>
          <w:tcPr>
            <w:tcW w:w="806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29 (29.0)</w:t>
            </w:r>
          </w:p>
        </w:tc>
        <w:tc>
          <w:tcPr>
            <w:tcW w:w="1000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29 (28.7)</w:t>
            </w:r>
          </w:p>
        </w:tc>
        <w:tc>
          <w:tcPr>
            <w:tcW w:w="99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&gt; 0.99</w:t>
            </w:r>
          </w:p>
        </w:tc>
      </w:tr>
      <w:tr w:rsidR="001E5C9C" w:rsidRPr="005D7A90" w:rsidTr="00A20A52">
        <w:trPr>
          <w:trHeight w:val="497"/>
        </w:trPr>
        <w:tc>
          <w:tcPr>
            <w:tcW w:w="1356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lang w:val="en-GB"/>
              </w:rPr>
            </w:pPr>
            <w:r w:rsidRPr="005D7A90">
              <w:rPr>
                <w:lang w:val="en-GB"/>
              </w:rPr>
              <w:t>Health promotion visit</w:t>
            </w:r>
          </w:p>
        </w:tc>
        <w:tc>
          <w:tcPr>
            <w:tcW w:w="83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12 (6.0)</w:t>
            </w:r>
          </w:p>
        </w:tc>
        <w:tc>
          <w:tcPr>
            <w:tcW w:w="806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6 (6.0)</w:t>
            </w:r>
          </w:p>
        </w:tc>
        <w:tc>
          <w:tcPr>
            <w:tcW w:w="1000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6 (6.0)</w:t>
            </w:r>
          </w:p>
        </w:tc>
        <w:tc>
          <w:tcPr>
            <w:tcW w:w="99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&gt; 0.99</w:t>
            </w:r>
          </w:p>
        </w:tc>
      </w:tr>
      <w:tr w:rsidR="001E5C9C" w:rsidRPr="005D7A90" w:rsidTr="00A20A52">
        <w:trPr>
          <w:trHeight w:val="497"/>
        </w:trPr>
        <w:tc>
          <w:tcPr>
            <w:tcW w:w="1356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lang w:val="en-GB"/>
              </w:rPr>
            </w:pPr>
            <w:r w:rsidRPr="005D7A90">
              <w:rPr>
                <w:lang w:val="en-GB"/>
              </w:rPr>
              <w:t>V2</w:t>
            </w:r>
          </w:p>
        </w:tc>
        <w:tc>
          <w:tcPr>
            <w:tcW w:w="83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174 (86.6)</w:t>
            </w:r>
          </w:p>
        </w:tc>
        <w:tc>
          <w:tcPr>
            <w:tcW w:w="806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89 (89.0)</w:t>
            </w:r>
          </w:p>
        </w:tc>
        <w:tc>
          <w:tcPr>
            <w:tcW w:w="1000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85 (84.2)</w:t>
            </w:r>
          </w:p>
        </w:tc>
        <w:tc>
          <w:tcPr>
            <w:tcW w:w="99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0.41</w:t>
            </w:r>
          </w:p>
        </w:tc>
      </w:tr>
      <w:tr w:rsidR="001E5C9C" w:rsidRPr="005D7A90" w:rsidTr="00A20A52">
        <w:trPr>
          <w:trHeight w:val="497"/>
        </w:trPr>
        <w:tc>
          <w:tcPr>
            <w:tcW w:w="1356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lang w:val="en-GB"/>
              </w:rPr>
            </w:pPr>
            <w:r w:rsidRPr="005D7A90">
              <w:rPr>
                <w:lang w:val="en-GB"/>
              </w:rPr>
              <w:t>Additional visits between V2 and V3</w:t>
            </w:r>
          </w:p>
        </w:tc>
        <w:tc>
          <w:tcPr>
            <w:tcW w:w="83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148 (73.6)</w:t>
            </w:r>
          </w:p>
        </w:tc>
        <w:tc>
          <w:tcPr>
            <w:tcW w:w="806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70 (70.0)</w:t>
            </w:r>
          </w:p>
        </w:tc>
        <w:tc>
          <w:tcPr>
            <w:tcW w:w="1000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78 (77.3)</w:t>
            </w:r>
          </w:p>
        </w:tc>
        <w:tc>
          <w:tcPr>
            <w:tcW w:w="999" w:type="pct"/>
            <w:vAlign w:val="center"/>
          </w:tcPr>
          <w:p w:rsidR="001E5C9C" w:rsidRPr="005D7A90" w:rsidRDefault="001E5C9C" w:rsidP="00A20A52">
            <w:pPr>
              <w:autoSpaceDE w:val="0"/>
              <w:autoSpaceDN w:val="0"/>
              <w:adjustRightInd w:val="0"/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0.26</w:t>
            </w:r>
          </w:p>
        </w:tc>
      </w:tr>
      <w:tr w:rsidR="001E5C9C" w:rsidRPr="005D7A90" w:rsidTr="00A20A52">
        <w:trPr>
          <w:trHeight w:val="497"/>
        </w:trPr>
        <w:tc>
          <w:tcPr>
            <w:tcW w:w="1356" w:type="pct"/>
            <w:vAlign w:val="center"/>
          </w:tcPr>
          <w:p w:rsidR="001E5C9C" w:rsidRPr="005D7A90" w:rsidRDefault="001E5C9C" w:rsidP="00A20A52">
            <w:pPr>
              <w:spacing w:before="100" w:beforeAutospacing="1"/>
              <w:rPr>
                <w:lang w:val="en-GB"/>
              </w:rPr>
            </w:pPr>
            <w:r w:rsidRPr="005D7A90">
              <w:rPr>
                <w:lang w:val="en-GB"/>
              </w:rPr>
              <w:t>V3</w:t>
            </w:r>
          </w:p>
        </w:tc>
        <w:tc>
          <w:tcPr>
            <w:tcW w:w="839" w:type="pct"/>
            <w:vAlign w:val="center"/>
          </w:tcPr>
          <w:p w:rsidR="001E5C9C" w:rsidRPr="005D7A90" w:rsidRDefault="001E5C9C" w:rsidP="00A20A52">
            <w:pPr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122 (60.7)</w:t>
            </w:r>
          </w:p>
        </w:tc>
        <w:tc>
          <w:tcPr>
            <w:tcW w:w="806" w:type="pct"/>
            <w:vAlign w:val="center"/>
          </w:tcPr>
          <w:p w:rsidR="001E5C9C" w:rsidRPr="005D7A90" w:rsidRDefault="001E5C9C" w:rsidP="00A20A52">
            <w:pPr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59 (59.0)</w:t>
            </w:r>
          </w:p>
        </w:tc>
        <w:tc>
          <w:tcPr>
            <w:tcW w:w="1000" w:type="pct"/>
            <w:vAlign w:val="center"/>
          </w:tcPr>
          <w:p w:rsidR="001E5C9C" w:rsidRPr="005D7A90" w:rsidRDefault="001E5C9C" w:rsidP="00A20A52">
            <w:pPr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63 (62.4)</w:t>
            </w:r>
          </w:p>
        </w:tc>
        <w:tc>
          <w:tcPr>
            <w:tcW w:w="999" w:type="pct"/>
            <w:vAlign w:val="center"/>
          </w:tcPr>
          <w:p w:rsidR="001E5C9C" w:rsidRPr="005D7A90" w:rsidRDefault="001E5C9C" w:rsidP="00A20A52">
            <w:pPr>
              <w:ind w:right="237"/>
              <w:rPr>
                <w:color w:val="000000"/>
                <w:lang w:val="en-GB"/>
              </w:rPr>
            </w:pPr>
            <w:r w:rsidRPr="005D7A90">
              <w:rPr>
                <w:color w:val="000000"/>
                <w:lang w:val="en-GB"/>
              </w:rPr>
              <w:t>0.66</w:t>
            </w:r>
          </w:p>
        </w:tc>
      </w:tr>
    </w:tbl>
    <w:p w:rsidR="001E5C9C" w:rsidRPr="005D7A90" w:rsidRDefault="001E5C9C" w:rsidP="001E5C9C">
      <w:pPr>
        <w:rPr>
          <w:lang w:val="en-GB"/>
        </w:rPr>
      </w:pPr>
      <w:r w:rsidRPr="005D7A90">
        <w:rPr>
          <w:lang w:val="en-GB"/>
        </w:rPr>
        <w:t xml:space="preserve">Data are shown as number </w:t>
      </w:r>
      <w:r>
        <w:rPr>
          <w:lang w:val="en-GB"/>
        </w:rPr>
        <w:t>(</w:t>
      </w:r>
      <w:r w:rsidRPr="005D7A90">
        <w:rPr>
          <w:lang w:val="en-GB"/>
        </w:rPr>
        <w:t>percentage</w:t>
      </w:r>
      <w:r>
        <w:rPr>
          <w:lang w:val="en-GB"/>
        </w:rPr>
        <w:t>)</w:t>
      </w:r>
      <w:r w:rsidRPr="005D7A90">
        <w:rPr>
          <w:lang w:val="en-GB"/>
        </w:rPr>
        <w:t xml:space="preserve">. </w:t>
      </w:r>
      <w:bookmarkStart w:id="2" w:name="_Hlk529350653"/>
      <w:r w:rsidRPr="005D7A90">
        <w:rPr>
          <w:lang w:val="en-GB"/>
        </w:rPr>
        <w:t>V1 — visit 1; V2 — visit 2; V3 — visit 3</w:t>
      </w:r>
      <w:bookmarkEnd w:id="2"/>
    </w:p>
    <w:p w:rsidR="001E5C9C" w:rsidRPr="005D7A90" w:rsidRDefault="001E5C9C" w:rsidP="001E5C9C">
      <w:pPr>
        <w:pStyle w:val="Legenda"/>
        <w:spacing w:before="0"/>
        <w:ind w:left="0" w:firstLine="0"/>
        <w:jc w:val="left"/>
        <w:rPr>
          <w:b w:val="0"/>
          <w:sz w:val="24"/>
          <w:szCs w:val="24"/>
          <w:lang w:val="en-GB"/>
        </w:rPr>
      </w:pPr>
    </w:p>
    <w:p w:rsidR="006B480C" w:rsidRPr="001E5C9C" w:rsidRDefault="006B480C">
      <w:pPr>
        <w:rPr>
          <w:lang w:val="en-GB"/>
        </w:rPr>
      </w:pPr>
      <w:bookmarkStart w:id="3" w:name="_GoBack"/>
      <w:bookmarkEnd w:id="3"/>
    </w:p>
    <w:sectPr w:rsidR="006B480C" w:rsidRPr="001E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A5"/>
    <w:rsid w:val="001E5C9C"/>
    <w:rsid w:val="006B480C"/>
    <w:rsid w:val="00E3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E5C9C"/>
    <w:pPr>
      <w:spacing w:before="240" w:after="120"/>
      <w:ind w:left="1134" w:hanging="1134"/>
      <w:jc w:val="both"/>
    </w:pPr>
    <w:rPr>
      <w:rFonts w:eastAsiaTheme="minorEastAsia"/>
      <w:b/>
      <w:bCs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1E5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E5C9C"/>
    <w:pPr>
      <w:spacing w:before="240" w:after="120"/>
      <w:ind w:left="1134" w:hanging="1134"/>
      <w:jc w:val="both"/>
    </w:pPr>
    <w:rPr>
      <w:rFonts w:eastAsiaTheme="minorEastAsia"/>
      <w:b/>
      <w:bCs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1E5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Niezgoda</dc:creator>
  <cp:keywords/>
  <dc:description/>
  <cp:lastModifiedBy>Joanna Niezgoda</cp:lastModifiedBy>
  <cp:revision>2</cp:revision>
  <dcterms:created xsi:type="dcterms:W3CDTF">2018-11-07T09:50:00Z</dcterms:created>
  <dcterms:modified xsi:type="dcterms:W3CDTF">2018-11-07T09:50:00Z</dcterms:modified>
</cp:coreProperties>
</file>