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96" w:rsidRPr="0097343B" w:rsidRDefault="00867D96" w:rsidP="00867D96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uppressAutoHyphens/>
        <w:spacing w:line="360" w:lineRule="auto"/>
        <w:rPr>
          <w:rFonts w:ascii="Times New Roman" w:hAnsi="Times New Roman"/>
          <w:spacing w:val="-3"/>
          <w:sz w:val="24"/>
          <w:szCs w:val="24"/>
          <w:lang w:val="en-GB"/>
        </w:rPr>
      </w:pPr>
      <w:r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Suppl. </w:t>
      </w:r>
      <w:r w:rsidRPr="0097343B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pacing w:val="-3"/>
          <w:sz w:val="24"/>
          <w:szCs w:val="24"/>
          <w:lang w:val="en-GB"/>
        </w:rPr>
        <w:t>S</w:t>
      </w:r>
      <w:r w:rsidRPr="0097343B">
        <w:rPr>
          <w:rFonts w:ascii="Times New Roman" w:hAnsi="Times New Roman"/>
          <w:b/>
          <w:spacing w:val="-3"/>
          <w:sz w:val="24"/>
          <w:szCs w:val="24"/>
          <w:lang w:val="en-GB"/>
        </w:rPr>
        <w:t>1.</w:t>
      </w:r>
      <w:r w:rsidRPr="0097343B">
        <w:rPr>
          <w:rFonts w:ascii="Times New Roman" w:hAnsi="Times New Roman"/>
          <w:spacing w:val="-3"/>
          <w:sz w:val="24"/>
          <w:szCs w:val="24"/>
          <w:lang w:val="en-GB"/>
        </w:rPr>
        <w:t xml:space="preserve"> Patients’ characteristics according to GFR.</w:t>
      </w:r>
    </w:p>
    <w:tbl>
      <w:tblPr>
        <w:tblW w:w="9072" w:type="dxa"/>
        <w:jc w:val="center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2331"/>
        <w:gridCol w:w="1421"/>
        <w:gridCol w:w="1691"/>
        <w:gridCol w:w="1598"/>
        <w:gridCol w:w="911"/>
        <w:gridCol w:w="1120"/>
      </w:tblGrid>
      <w:tr w:rsidR="00867D96" w:rsidRPr="0097343B" w:rsidTr="00B054CF">
        <w:trPr>
          <w:jc w:val="center"/>
        </w:trPr>
        <w:tc>
          <w:tcPr>
            <w:tcW w:w="2321" w:type="dxa"/>
            <w:vMerge w:val="restart"/>
            <w:shd w:val="clear" w:color="auto" w:fill="auto"/>
            <w:tcMar>
              <w:lef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/>
                <w:b/>
                <w:spacing w:val="-3"/>
                <w:sz w:val="24"/>
                <w:szCs w:val="24"/>
                <w:lang w:val="en-GB"/>
              </w:rPr>
            </w:pP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spacing w:val="-3"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4703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  <w:r w:rsidRPr="0097343B"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 xml:space="preserve">GFR </w:t>
            </w: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  <w:r w:rsidRPr="0097343B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>[mL/min per 1.73 m</w:t>
            </w:r>
            <w:r w:rsidRPr="0097343B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vertAlign w:val="superscript"/>
                <w:lang w:val="en-GB"/>
              </w:rPr>
              <w:t>2</w:t>
            </w:r>
            <w:r w:rsidRPr="0097343B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>]</w:t>
            </w:r>
          </w:p>
        </w:tc>
        <w:tc>
          <w:tcPr>
            <w:tcW w:w="964" w:type="dxa"/>
            <w:vMerge w:val="restar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</w:p>
          <w:p w:rsidR="00867D96" w:rsidRPr="00E544D8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  <w:r w:rsidRPr="0097343B"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 xml:space="preserve">p 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/>
                <w:b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GB"/>
              </w:rPr>
              <w:t>&gt;85</w:t>
            </w: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 xml:space="preserve">n 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=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 xml:space="preserve"> 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  <w:r w:rsidRPr="0097343B">
              <w:rPr>
                <w:rFonts w:ascii="Times New Roman" w:hAnsi="Times New Roman"/>
                <w:b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>60−85</w:t>
            </w: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 xml:space="preserve">n </w:t>
            </w:r>
            <w:r w:rsidRPr="0097343B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>=</w:t>
            </w:r>
            <w:r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 xml:space="preserve"> </w:t>
            </w:r>
            <w:r w:rsidRPr="0097343B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u w:color="FF0000"/>
                <w:lang w:val="en-GB"/>
              </w:rPr>
              <w:t>30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GB"/>
              </w:rPr>
              <w:t>15−59</w:t>
            </w: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 xml:space="preserve">n 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=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 xml:space="preserve"> 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22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GB"/>
              </w:rPr>
              <w:t xml:space="preserve">p </w:t>
            </w:r>
          </w:p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hAnsi="Times New Roman"/>
                <w:b/>
                <w:i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en-GB"/>
              </w:rPr>
              <w:t>for trend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Age, years</w:t>
            </w: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68±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77±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8</w:t>
            </w: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vertAlign w:val="superscript"/>
                <w:lang w:val="en-GB"/>
              </w:rPr>
              <w:t>***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81±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8</w:t>
            </w: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vertAlign w:val="superscript"/>
                <w:lang w:val="en-GB"/>
              </w:rPr>
              <w:t>***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1171" w:type="dxa"/>
            <w:tcBorders>
              <w:top w:val="nil"/>
            </w:tcBorders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&lt;0.001</w:t>
            </w:r>
          </w:p>
        </w:tc>
      </w:tr>
      <w:tr w:rsidR="00867D96" w:rsidRPr="0097343B" w:rsidTr="00B054CF">
        <w:trPr>
          <w:jc w:val="center"/>
        </w:trPr>
        <w:tc>
          <w:tcPr>
            <w:tcW w:w="2495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Body-surface area, m</w:t>
            </w:r>
            <w:r w:rsidRPr="0097343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2.0±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0.2</w:t>
            </w:r>
          </w:p>
        </w:tc>
        <w:tc>
          <w:tcPr>
            <w:tcW w:w="1758" w:type="dxa"/>
            <w:tcBorders>
              <w:top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1.9±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0.2</w:t>
            </w:r>
          </w:p>
        </w:tc>
        <w:tc>
          <w:tcPr>
            <w:tcW w:w="1644" w:type="dxa"/>
            <w:tcBorders>
              <w:top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1.9±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0.2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0.9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0.8</w:t>
            </w:r>
          </w:p>
        </w:tc>
      </w:tr>
      <w:tr w:rsidR="00867D96" w:rsidRPr="0097343B" w:rsidTr="00B054CF">
        <w:trPr>
          <w:jc w:val="center"/>
        </w:trPr>
        <w:tc>
          <w:tcPr>
            <w:tcW w:w="2495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Body-mass index, kg/m</w:t>
            </w:r>
            <w:r w:rsidRPr="0097343B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29.6±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3.9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26.8±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3.0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27.3±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2.1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0.7</w:t>
            </w: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0.8</w:t>
            </w:r>
          </w:p>
        </w:tc>
      </w:tr>
      <w:tr w:rsidR="00867D96" w:rsidRPr="0097343B" w:rsidTr="00B054CF">
        <w:trPr>
          <w:jc w:val="center"/>
        </w:trPr>
        <w:tc>
          <w:tcPr>
            <w:tcW w:w="2495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Men/</w:t>
            </w: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12/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6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70/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30%)</w:t>
            </w:r>
          </w:p>
        </w:tc>
        <w:tc>
          <w:tcPr>
            <w:tcW w:w="1814" w:type="dxa"/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18/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12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60/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40%)</w:t>
            </w:r>
          </w:p>
        </w:tc>
        <w:tc>
          <w:tcPr>
            <w:tcW w:w="170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8/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14 (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36/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64%)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0.08</w:t>
            </w:r>
          </w:p>
        </w:tc>
        <w:tc>
          <w:tcPr>
            <w:tcW w:w="1021" w:type="dxa"/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0.05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Symptoms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10 (57%)</w:t>
            </w:r>
          </w:p>
        </w:tc>
        <w:tc>
          <w:tcPr>
            <w:tcW w:w="1814" w:type="dxa"/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18 (62%)</w:t>
            </w:r>
          </w:p>
        </w:tc>
        <w:tc>
          <w:tcPr>
            <w:tcW w:w="170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14 (62%)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0.9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0.8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Diabetes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4 (24%)</w:t>
            </w:r>
          </w:p>
        </w:tc>
        <w:tc>
          <w:tcPr>
            <w:tcW w:w="1814" w:type="dxa"/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 (23%)</w:t>
            </w:r>
          </w:p>
        </w:tc>
        <w:tc>
          <w:tcPr>
            <w:tcW w:w="170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 (32%)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0.8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0.5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Hypertension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11 (60%)</w:t>
            </w: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25 (84%)</w:t>
            </w: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15 (69%)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0.3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0.7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CAD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11 (61%)</w:t>
            </w: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19 (63%)</w:t>
            </w: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9 (41%)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0.2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0.1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Systolic BP, mm </w:t>
            </w: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Hg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129±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 xml:space="preserve">26  </w:t>
            </w: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148±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29</w:t>
            </w: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vertAlign w:val="superscript"/>
                <w:lang w:val="en-GB"/>
              </w:rPr>
              <w:t>*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147±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16</w:t>
            </w:r>
            <w:r w:rsidRPr="0097343B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vertAlign w:val="superscript"/>
                <w:lang w:val="en-GB"/>
              </w:rPr>
              <w:t>*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0.03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0.02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Diastolic BP, mm Hg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77±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11</w:t>
            </w: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79±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12</w:t>
            </w: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81±</w:t>
            </w: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11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0.5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0.1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>Medications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   ACEI or ARB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8 (47%)</w:t>
            </w: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13 (43%)</w:t>
            </w: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6 (27%)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0.4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0.2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   Beta-blocker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7 (41%)</w:t>
            </w: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11 (37%)</w:t>
            </w: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5 (23%)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0.4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0.2</w:t>
            </w:r>
          </w:p>
        </w:tc>
      </w:tr>
      <w:tr w:rsidR="00867D96" w:rsidRPr="0097343B" w:rsidTr="00B054CF">
        <w:trPr>
          <w:jc w:val="center"/>
        </w:trPr>
        <w:tc>
          <w:tcPr>
            <w:tcW w:w="2321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spacing w:val="-3"/>
                <w:sz w:val="24"/>
                <w:szCs w:val="24"/>
                <w:lang w:val="en-GB"/>
              </w:rPr>
              <w:t xml:space="preserve">   Diuretic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6 (35%)</w:t>
            </w:r>
          </w:p>
        </w:tc>
        <w:tc>
          <w:tcPr>
            <w:tcW w:w="1637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9 (30%)</w:t>
            </w:r>
          </w:p>
        </w:tc>
        <w:tc>
          <w:tcPr>
            <w:tcW w:w="1533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5 (23%)</w:t>
            </w:r>
          </w:p>
        </w:tc>
        <w:tc>
          <w:tcPr>
            <w:tcW w:w="964" w:type="dxa"/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0.7</w:t>
            </w:r>
          </w:p>
        </w:tc>
        <w:tc>
          <w:tcPr>
            <w:tcW w:w="1171" w:type="dxa"/>
          </w:tcPr>
          <w:p w:rsidR="00867D96" w:rsidRPr="0097343B" w:rsidRDefault="00867D96" w:rsidP="00B054CF">
            <w:pPr>
              <w:tabs>
                <w:tab w:val="left" w:pos="-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</w:pPr>
            <w:r w:rsidRPr="0097343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GB"/>
              </w:rPr>
              <w:t>0.4</w:t>
            </w:r>
          </w:p>
        </w:tc>
      </w:tr>
    </w:tbl>
    <w:p w:rsidR="00867D96" w:rsidRPr="0059553D" w:rsidRDefault="00867D96" w:rsidP="00867D96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uppressAutoHyphens/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Data are shown mean </w:t>
      </w:r>
      <w:r w:rsidRPr="0097343B">
        <w:rPr>
          <w:rFonts w:ascii="Times New Roman" w:hAnsi="Times New Roman"/>
          <w:color w:val="000000"/>
          <w:spacing w:val="-3"/>
          <w:sz w:val="24"/>
          <w:szCs w:val="24"/>
          <w:lang w:val="en-GB"/>
        </w:rPr>
        <w:t>±</w:t>
      </w:r>
      <w:r>
        <w:rPr>
          <w:rFonts w:ascii="Times New Roman" w:hAnsi="Times New Roman"/>
          <w:sz w:val="24"/>
          <w:szCs w:val="24"/>
          <w:lang w:val="en-GB"/>
        </w:rPr>
        <w:t xml:space="preserve"> standard deviation or number (percentage).</w:t>
      </w:r>
    </w:p>
    <w:p w:rsidR="00867D96" w:rsidRPr="0097343B" w:rsidRDefault="00867D96" w:rsidP="00867D96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uppressAutoHyphens/>
        <w:spacing w:after="0" w:line="276" w:lineRule="auto"/>
        <w:rPr>
          <w:rFonts w:ascii="Times New Roman" w:hAnsi="Times New Roman"/>
          <w:sz w:val="24"/>
          <w:szCs w:val="24"/>
          <w:lang w:val="en-GB"/>
        </w:rPr>
      </w:pPr>
      <w:r w:rsidRPr="0097343B">
        <w:rPr>
          <w:rFonts w:ascii="Times New Roman" w:hAnsi="Times New Roman"/>
          <w:b/>
          <w:sz w:val="24"/>
          <w:szCs w:val="24"/>
          <w:vertAlign w:val="superscript"/>
          <w:lang w:val="en-GB"/>
        </w:rPr>
        <w:t>*</w:t>
      </w:r>
      <w:r w:rsidRPr="0097343B">
        <w:rPr>
          <w:rFonts w:ascii="Times New Roman" w:hAnsi="Times New Roman"/>
          <w:sz w:val="24"/>
          <w:szCs w:val="24"/>
          <w:lang w:val="en-GB"/>
        </w:rPr>
        <w:t>p&lt;0.05,</w:t>
      </w:r>
      <w:r w:rsidRPr="0097343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7343B">
        <w:rPr>
          <w:rFonts w:ascii="Times New Roman" w:hAnsi="Times New Roman"/>
          <w:b/>
          <w:sz w:val="24"/>
          <w:szCs w:val="24"/>
          <w:vertAlign w:val="superscript"/>
          <w:lang w:val="en-GB"/>
        </w:rPr>
        <w:t>**</w:t>
      </w:r>
      <w:r w:rsidRPr="0097343B">
        <w:rPr>
          <w:rFonts w:ascii="Times New Roman" w:hAnsi="Times New Roman"/>
          <w:sz w:val="24"/>
          <w:szCs w:val="24"/>
          <w:lang w:val="en-GB"/>
        </w:rPr>
        <w:t xml:space="preserve">p=0.001, </w:t>
      </w:r>
      <w:r w:rsidRPr="0097343B">
        <w:rPr>
          <w:rFonts w:ascii="Times New Roman" w:hAnsi="Times New Roman"/>
          <w:b/>
          <w:sz w:val="24"/>
          <w:szCs w:val="24"/>
          <w:vertAlign w:val="superscript"/>
          <w:lang w:val="en-GB"/>
        </w:rPr>
        <w:t>***</w:t>
      </w:r>
      <w:r w:rsidRPr="0097343B">
        <w:rPr>
          <w:rFonts w:ascii="Times New Roman" w:hAnsi="Times New Roman"/>
          <w:sz w:val="24"/>
          <w:szCs w:val="24"/>
          <w:lang w:val="en-GB"/>
        </w:rPr>
        <w:t>p&lt;0.01 vs. GFR &gt;85 mL/min per 1.73 m</w:t>
      </w:r>
      <w:r w:rsidRPr="0097343B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by post-hoc Fisher test.</w:t>
      </w:r>
    </w:p>
    <w:p w:rsidR="00CB5DD5" w:rsidRDefault="00867D96" w:rsidP="00867D96">
      <w:pPr>
        <w:tabs>
          <w:tab w:val="left" w:pos="-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uppressAutoHyphens/>
        <w:spacing w:after="0" w:line="276" w:lineRule="auto"/>
      </w:pPr>
      <w:r w:rsidRPr="0097343B">
        <w:rPr>
          <w:rFonts w:ascii="Times New Roman" w:hAnsi="Times New Roman"/>
          <w:sz w:val="24"/>
          <w:szCs w:val="24"/>
          <w:lang w:val="en-GB"/>
        </w:rPr>
        <w:t>ACEI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97343B">
        <w:rPr>
          <w:rFonts w:ascii="Times New Roman" w:hAnsi="Times New Roman"/>
          <w:sz w:val="24"/>
          <w:szCs w:val="24"/>
          <w:lang w:val="en-GB"/>
        </w:rPr>
        <w:t>angiotensin-converting enzyme inhibitor; ARB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97343B">
        <w:rPr>
          <w:rFonts w:ascii="Times New Roman" w:hAnsi="Times New Roman"/>
          <w:sz w:val="24"/>
          <w:szCs w:val="24"/>
          <w:lang w:val="en-GB"/>
        </w:rPr>
        <w:t>angiotensin receptor blocker; BP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97343B">
        <w:rPr>
          <w:rFonts w:ascii="Times New Roman" w:hAnsi="Times New Roman"/>
          <w:sz w:val="24"/>
          <w:szCs w:val="24"/>
          <w:lang w:val="en-GB"/>
        </w:rPr>
        <w:t>blood pressure; CAD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97343B">
        <w:rPr>
          <w:rFonts w:ascii="Times New Roman" w:hAnsi="Times New Roman"/>
          <w:sz w:val="24"/>
          <w:szCs w:val="24"/>
          <w:lang w:val="en-GB"/>
        </w:rPr>
        <w:t>coronary artery disease; GFR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97343B">
        <w:rPr>
          <w:rFonts w:ascii="Times New Roman" w:hAnsi="Times New Roman"/>
          <w:sz w:val="24"/>
          <w:szCs w:val="24"/>
          <w:lang w:val="en-GB"/>
        </w:rPr>
        <w:t>glomerular filtration rate.</w:t>
      </w:r>
      <w:bookmarkStart w:id="0" w:name="_GoBack"/>
      <w:bookmarkEnd w:id="0"/>
    </w:p>
    <w:sectPr w:rsidR="00CB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96"/>
    <w:rsid w:val="00366344"/>
    <w:rsid w:val="00867D96"/>
    <w:rsid w:val="00CB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8E4C-4DD2-4EAC-81D4-A35274DC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2018-08-07T09:22:00Z</dcterms:created>
  <dcterms:modified xsi:type="dcterms:W3CDTF">2018-08-07T09:39:00Z</dcterms:modified>
</cp:coreProperties>
</file>