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Appendix 1</w:t>
      </w:r>
      <w:r>
        <w:rPr>
          <w:rFonts w:ascii="Times New Roman" w:hAnsi="Times New Roman"/>
          <w:sz w:val="24"/>
          <w:szCs w:val="24"/>
          <w:rtl w:val="0"/>
          <w:lang w:val="en-US"/>
        </w:rPr>
        <w:t>. A list of candidate predictor variables.</w:t>
      </w:r>
    </w:p>
    <w:tbl>
      <w:tblPr>
        <w:tblW w:w="90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10"/>
        <w:gridCol w:w="2357"/>
        <w:gridCol w:w="2495"/>
        <w:gridCol w:w="2284"/>
      </w:tblGrid>
      <w:tr>
        <w:tblPrEx>
          <w:shd w:val="clear" w:color="auto" w:fill="cdd4e9"/>
        </w:tblPrEx>
        <w:trPr>
          <w:trHeight w:val="2079" w:hRule="atLeast"/>
        </w:trPr>
        <w:tc>
          <w:tcPr>
            <w:tcW w:type="dxa" w:w="1910"/>
            <w:tcBorders>
              <w:top w:val="single" w:color="4472c4" w:sz="8" w:space="0" w:shadow="0" w:frame="0"/>
              <w:left w:val="single" w:color="4472c4" w:sz="8" w:space="0" w:shadow="0" w:frame="0"/>
              <w:bottom w:val="single" w:color="4472c4" w:sz="8" w:space="0" w:shadow="0" w:frame="0"/>
              <w:right w:val="nil"/>
            </w:tcBorders>
            <w:shd w:val="clear" w:color="auto" w:fill="8496b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MEDICAL HISTORY</w:t>
            </w:r>
          </w:p>
        </w:tc>
        <w:tc>
          <w:tcPr>
            <w:tcW w:type="dxa" w:w="2356"/>
            <w:tcBorders>
              <w:top w:val="single" w:color="4472c4" w:sz="8" w:space="0" w:shadow="0" w:frame="0"/>
              <w:left w:val="nil"/>
              <w:bottom w:val="single" w:color="4472c4" w:sz="8" w:space="0" w:shadow="0" w:frame="0"/>
              <w:right w:val="nil"/>
            </w:tcBorders>
            <w:shd w:val="clear" w:color="auto" w:fill="8496b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VARIABLES COLLECTED AT ADMISSION</w:t>
            </w:r>
          </w:p>
        </w:tc>
        <w:tc>
          <w:tcPr>
            <w:tcW w:type="dxa" w:w="2495"/>
            <w:tcBorders>
              <w:top w:val="single" w:color="4472c4" w:sz="8" w:space="0" w:shadow="0" w:frame="0"/>
              <w:left w:val="nil"/>
              <w:bottom w:val="single" w:color="4472c4" w:sz="8" w:space="0" w:shadow="0" w:frame="0"/>
              <w:right w:val="nil"/>
            </w:tcBorders>
            <w:shd w:val="clear" w:color="auto" w:fill="8496b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VARIABLES COLLECTED DURING HOSPITALIZATION</w:t>
            </w:r>
          </w:p>
        </w:tc>
        <w:tc>
          <w:tcPr>
            <w:tcW w:type="dxa" w:w="2283"/>
            <w:tcBorders>
              <w:top w:val="single" w:color="4472c4" w:sz="8" w:space="0" w:shadow="0" w:frame="0"/>
              <w:left w:val="nil"/>
              <w:bottom w:val="single" w:color="4472c4" w:sz="8" w:space="0" w:shadow="0" w:frame="0"/>
              <w:right w:val="single" w:color="4472c4" w:sz="8" w:space="0" w:shadow="0" w:frame="0"/>
            </w:tcBorders>
            <w:shd w:val="clear" w:color="auto" w:fill="8496b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VARIABLES COLLECTED AT DISCHARGE</w:t>
            </w:r>
          </w:p>
        </w:tc>
      </w:tr>
      <w:tr>
        <w:tblPrEx>
          <w:shd w:val="clear" w:color="auto" w:fill="cdd4e9"/>
        </w:tblPrEx>
        <w:trPr>
          <w:trHeight w:val="13846" w:hRule="atLeast"/>
        </w:trPr>
        <w:tc>
          <w:tcPr>
            <w:tcW w:type="dxa" w:w="1910"/>
            <w:tcBorders>
              <w:top w:val="single" w:color="4472c4" w:sz="8" w:space="0" w:shadow="0" w:frame="0"/>
              <w:left w:val="single" w:color="4472c4" w:sz="8" w:space="0" w:shadow="0" w:frame="0"/>
              <w:bottom w:val="single" w:color="4472c4" w:sz="8" w:space="0" w:shadow="0" w:frame="0"/>
              <w:right w:val="single" w:color="4472c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Age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Male gender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Time from symptom onset to admission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Angina pectoris de novo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480" w:lineRule="auto"/>
              <w:ind w:right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&gt;2 weeks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480" w:lineRule="auto"/>
              <w:ind w:right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&lt;2 weeks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480" w:lineRule="auto"/>
              <w:ind w:right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&gt;2months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480" w:lineRule="auto"/>
              <w:ind w:right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&lt;2months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Hypertension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Diabetes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Dyslipidemia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Smoking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Previous MI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Prior PCI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Prior CABG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Prior stroke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Prior PVD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CHF NYHA class III/IV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COPD or asthma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SCA prior to hospitalization </w:t>
            </w:r>
          </w:p>
        </w:tc>
        <w:tc>
          <w:tcPr>
            <w:tcW w:type="dxa" w:w="2356"/>
            <w:tcBorders>
              <w:top w:val="single" w:color="4472c4" w:sz="8" w:space="0" w:shadow="0" w:frame="0"/>
              <w:left w:val="single" w:color="4472c4" w:sz="4" w:space="0" w:shadow="0" w:frame="0"/>
              <w:bottom w:val="single" w:color="4472c4" w:sz="8" w:space="0" w:shadow="0" w:frame="0"/>
              <w:right w:val="single" w:color="4472c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Heart rate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SBP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DBP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Killip class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ST-segment elevation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ST-segment depression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Negative T waves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Sinus rhythm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Regular rhythm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ST elevation in leads II, III and aVF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ST elevation in leads V1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V4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LBBB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RBBB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First measurement of troponin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Maximum troponin I value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Maximum CK-MB isoenzyme value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TC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TAG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Creatinine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eGFR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MDRD</w:t>
            </w:r>
          </w:p>
        </w:tc>
        <w:tc>
          <w:tcPr>
            <w:tcW w:type="dxa" w:w="2495"/>
            <w:tcBorders>
              <w:top w:val="single" w:color="4472c4" w:sz="8" w:space="0" w:shadow="0" w:frame="0"/>
              <w:left w:val="single" w:color="4472c4" w:sz="4" w:space="0" w:shadow="0" w:frame="0"/>
              <w:bottom w:val="single" w:color="4472c4" w:sz="8" w:space="0" w:shadow="0" w:frame="0"/>
              <w:right w:val="single" w:color="4472c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MV-CAD 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PCI 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CABG 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LM stenosis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LAD stenosis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LCx stenosis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RCA stenosis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TIMI flow before PCI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TIMI flow after PCI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POBA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Cardiac stent implantation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IABP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Pharmacotherapy ASA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480" w:lineRule="auto"/>
              <w:ind w:right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Antiplatelets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480" w:lineRule="auto"/>
              <w:ind w:right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GP IIb/IIIa inhibitors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480" w:lineRule="auto"/>
              <w:ind w:right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UFH/LMWH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480" w:lineRule="auto"/>
              <w:ind w:right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ACE inhibitors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480" w:lineRule="auto"/>
              <w:ind w:right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Statins 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480" w:lineRule="auto"/>
              <w:ind w:right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Beta adrenolytics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Re-infarction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Resuscitated SCA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Recurrence of angina pectoris with ischemia on ECG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Recurrence of angina pectoris without ischemia on ECG 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Stroke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Ventricular arrhythmias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Supraventricular arrhythmias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Pulmonary edema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Cardiogenic shock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Significant bleeding</w:t>
            </w:r>
          </w:p>
        </w:tc>
        <w:tc>
          <w:tcPr>
            <w:tcW w:type="dxa" w:w="2283"/>
            <w:tcBorders>
              <w:top w:val="single" w:color="4472c4" w:sz="8" w:space="0" w:shadow="0" w:frame="0"/>
              <w:left w:val="single" w:color="4472c4" w:sz="4" w:space="0" w:shadow="0" w:frame="0"/>
              <w:bottom w:val="single" w:color="4472c4" w:sz="8" w:space="0" w:shadow="0" w:frame="0"/>
              <w:right w:val="single" w:color="4472c4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Length of hospital stay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Discharged home </w:t>
            </w:r>
          </w:p>
          <w:p>
            <w:pPr>
              <w:pStyle w:val="List Paragraph"/>
              <w:bidi w:val="0"/>
              <w:spacing w:line="480" w:lineRule="auto"/>
              <w:ind w:left="199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Pharmacotherapy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48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ASA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48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Antiplatelets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48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GP IIb/IIIa inhibitors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48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UFH/LMWH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48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ACE inhibitors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48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Statins 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48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Beta adrenolytics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ACE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angiotensin-converting-enzyme; ASA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acetylsalicylic acid; CABG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coronary artery bypass grafting; CHF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chronic heart failure; COPD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chronic obstructive pulmonary disease; DBP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diastolic blood pressure; ECG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electrocardiogra</w:t>
      </w:r>
      <w:r>
        <w:rPr>
          <w:rFonts w:ascii="Times New Roman" w:hAnsi="Times New Roman"/>
          <w:sz w:val="24"/>
          <w:szCs w:val="24"/>
          <w:rtl w:val="0"/>
          <w:lang w:val="en-US"/>
        </w:rPr>
        <w:t>phy</w:t>
      </w:r>
      <w:r>
        <w:rPr>
          <w:rFonts w:ascii="Times New Roman" w:hAnsi="Times New Roman"/>
          <w:sz w:val="24"/>
          <w:szCs w:val="24"/>
          <w:rtl w:val="0"/>
          <w:lang w:val="en-US"/>
        </w:rPr>
        <w:t>; eGFR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estimated glomerular filtration rate; HDL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high-density lipoprotein; HR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heart rate; IABP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intra-aortic balloon pump; LAD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left anterior descending artery; LBBB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left bundle branch block; LCX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left circumflex artery; LDL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low-density lipoprotein; LM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left main coronary artery; LMWH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low molecular weight heparin; MI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myocardial infarction; MDRD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glomerular filtration rate using the modification of diet in renal disease; MV-CAD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multivessel coronary artery disease; PCI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percutaneous coronary intervention; POBA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plain old balloon angioplasty; PVD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peripheral vascular disease; RBBB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right bundle branch block; RCA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right coronary artery; SCA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sudden cardiac arrest; SBP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systolic blood pressure; TAG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triglycerides; TC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total cholesterol; TIMI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thrombolysis in myocardial infarction; UFH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unfractionated heparin</w:t>
      </w:r>
    </w:p>
    <w:p>
      <w:pPr>
        <w:pStyle w:val="Normal.0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334" w:hanging="2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54" w:hanging="2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74" w:hanging="2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94" w:hanging="2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14" w:hanging="2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34" w:hanging="2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54" w:hanging="2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74" w:hanging="2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94" w:hanging="2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314" w:hanging="18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4" w:hanging="18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4" w:hanging="18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4" w:hanging="18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4" w:hanging="18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4" w:hanging="18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4" w:hanging="18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4" w:hanging="18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4" w:hanging="18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334" w:hanging="2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54" w:hanging="2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74" w:hanging="2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94" w:hanging="2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14" w:hanging="2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34" w:hanging="2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54" w:hanging="2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74" w:hanging="2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94" w:hanging="2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