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D" w:rsidRPr="003B361D" w:rsidRDefault="003B361D" w:rsidP="003B3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val="vi-VN" w:eastAsia="vi-VN"/>
        </w:rPr>
      </w:pP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lang w:val="vi-VN" w:eastAsia="vi-VN"/>
        </w:rPr>
        <w:t>Figure 1. The mutation rate of the EGFR gene and its subgroups</w:t>
      </w: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  <w:r w:rsidRPr="003B361D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9264" behindDoc="0" locked="0" layoutInCell="1" allowOverlap="1" wp14:anchorId="4F971B5A" wp14:editId="73012010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552700" cy="3019425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  <w:r w:rsidRPr="003B361D">
        <w:rPr>
          <w:rFonts w:ascii="Arial" w:eastAsia="Arial" w:hAnsi="Arial" w:cs="Times New Roman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F3E3" wp14:editId="3693F87F">
                <wp:simplePos x="0" y="0"/>
                <wp:positionH relativeFrom="column">
                  <wp:posOffset>1285875</wp:posOffset>
                </wp:positionH>
                <wp:positionV relativeFrom="paragraph">
                  <wp:posOffset>116205</wp:posOffset>
                </wp:positionV>
                <wp:extent cx="2686050" cy="1524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6AB21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9.15pt" to="312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Pr="003B361D">
        <w:rPr>
          <w:rFonts w:ascii="Arial" w:eastAsia="Arial" w:hAnsi="Arial" w:cs="Times New Roman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10058" wp14:editId="52671280">
                <wp:simplePos x="0" y="0"/>
                <wp:positionH relativeFrom="column">
                  <wp:posOffset>1762125</wp:posOffset>
                </wp:positionH>
                <wp:positionV relativeFrom="paragraph">
                  <wp:posOffset>1792605</wp:posOffset>
                </wp:positionV>
                <wp:extent cx="2152650" cy="1238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3DA00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41.15pt" to="308.2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Pr="003B361D">
        <w:rPr>
          <w:rFonts w:ascii="Arial" w:eastAsia="Arial" w:hAnsi="Arial" w:cs="Times New Roman"/>
          <w:noProof/>
        </w:rPr>
        <w:drawing>
          <wp:inline distT="0" distB="0" distL="0" distR="0" wp14:anchorId="573D8CDE" wp14:editId="6F520EB7">
            <wp:extent cx="2581275" cy="20669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Pr="003B361D" w:rsidRDefault="003B361D" w:rsidP="003B36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</w:pP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>Figure 1 presents the EGFR gene mutation rate and the rate of mutation subgroups. The EGFR mutation rate is 41.9%, of which Exon 19 and L858R exon 21 deletion mutations account for the majority.</w:t>
      </w: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Default="003B361D" w:rsidP="003B361D">
      <w:pPr>
        <w:rPr>
          <w:rFonts w:ascii="Arial" w:eastAsia="Arial" w:hAnsi="Arial" w:cs="Times New Roman"/>
          <w:lang w:val="vi-VN"/>
        </w:rPr>
      </w:pPr>
    </w:p>
    <w:p w:rsidR="003B361D" w:rsidRPr="003B361D" w:rsidRDefault="003B361D" w:rsidP="003B361D">
      <w:pPr>
        <w:rPr>
          <w:rFonts w:ascii="Times New Roman" w:eastAsia="Calibri" w:hAnsi="Times New Roman" w:cs="Times New Roman"/>
          <w:sz w:val="24"/>
          <w:szCs w:val="24"/>
        </w:rPr>
      </w:pPr>
      <w:r w:rsidRPr="003B361D">
        <w:rPr>
          <w:rFonts w:ascii="Times New Roman" w:eastAsia="Calibri" w:hAnsi="Times New Roman" w:cs="Times New Roman"/>
          <w:sz w:val="24"/>
          <w:szCs w:val="24"/>
        </w:rPr>
        <w:lastRenderedPageBreak/>
        <w:t>Figure 2. ROC curve analyses: Sensitivity and Specificity of CEA value for predicting the presence of EGFR mutations in patients with NSCLC</w:t>
      </w:r>
    </w:p>
    <w:p w:rsidR="003B361D" w:rsidRPr="003B361D" w:rsidRDefault="003B361D" w:rsidP="003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vi-VN" w:eastAsia="vi-VN"/>
        </w:rPr>
      </w:pPr>
      <w:r w:rsidRPr="003B36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A02DCC" wp14:editId="5F09A3D4">
            <wp:extent cx="6038850" cy="3400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67" cy="340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1D" w:rsidRPr="003B361D" w:rsidRDefault="003B361D" w:rsidP="003B3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CF0"/>
          <w:lang w:eastAsia="vi-VN"/>
        </w:rPr>
      </w:pP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A ROC curve was analyzed to select a cut-off value for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 xml:space="preserve">the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CEA level, which could be used to identify patients with an increased risk of EGFR mutations. A cut-off value of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 xml:space="preserve">8.95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was determined and ROC analysis of CEA levels indicated a sensitivity of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 xml:space="preserve">76.4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%, a specificity of 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47.5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>%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,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 and an area under the curve (AUC) of 0.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627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 xml:space="preserve"> (95% CI, 0.5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71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>–0.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683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vi-VN" w:eastAsia="vi-VN"/>
        </w:rPr>
        <w:t>)</w:t>
      </w:r>
      <w:r w:rsidRPr="003B36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vi-VN"/>
        </w:rPr>
        <w:t>.</w:t>
      </w:r>
    </w:p>
    <w:p w:rsidR="003B361D" w:rsidRPr="003B361D" w:rsidRDefault="003B361D" w:rsidP="003B361D">
      <w:pPr>
        <w:rPr>
          <w:rFonts w:ascii="Arial" w:eastAsia="Arial" w:hAnsi="Arial" w:cs="Times New Roman"/>
          <w:lang w:val="vi-VN"/>
        </w:rPr>
      </w:pPr>
      <w:bookmarkStart w:id="0" w:name="_GoBack"/>
      <w:bookmarkEnd w:id="0"/>
    </w:p>
    <w:p w:rsidR="00A375F8" w:rsidRDefault="00A375F8"/>
    <w:sectPr w:rsidR="00A3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C4" w:rsidRDefault="00A934C4" w:rsidP="00A375F8">
      <w:pPr>
        <w:spacing w:after="0" w:line="240" w:lineRule="auto"/>
      </w:pPr>
      <w:r>
        <w:separator/>
      </w:r>
    </w:p>
  </w:endnote>
  <w:endnote w:type="continuationSeparator" w:id="0">
    <w:p w:rsidR="00A934C4" w:rsidRDefault="00A934C4" w:rsidP="00A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C4" w:rsidRDefault="00A934C4" w:rsidP="00A375F8">
      <w:pPr>
        <w:spacing w:after="0" w:line="240" w:lineRule="auto"/>
      </w:pPr>
      <w:r>
        <w:separator/>
      </w:r>
    </w:p>
  </w:footnote>
  <w:footnote w:type="continuationSeparator" w:id="0">
    <w:p w:rsidR="00A934C4" w:rsidRDefault="00A934C4" w:rsidP="00A37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F8"/>
    <w:rsid w:val="000853FA"/>
    <w:rsid w:val="00314AF3"/>
    <w:rsid w:val="003B361D"/>
    <w:rsid w:val="007E4775"/>
    <w:rsid w:val="00A375F8"/>
    <w:rsid w:val="00A934C4"/>
    <w:rsid w:val="00C0025F"/>
    <w:rsid w:val="00C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7FCFE"/>
  <w15:chartTrackingRefBased/>
  <w15:docId w15:val="{29C6EED3-FF92-4BAA-BBC7-1BE8BDF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F8"/>
  </w:style>
  <w:style w:type="paragraph" w:styleId="Footer">
    <w:name w:val="footer"/>
    <w:basedOn w:val="Normal"/>
    <w:link w:val="FooterChar"/>
    <w:uiPriority w:val="99"/>
    <w:unhideWhenUsed/>
    <w:rsid w:val="00A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E-45F1-A0FE-CBC8EE279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E-45F1-A0FE-CBC8EE279E48}"/>
              </c:ext>
            </c:extLst>
          </c:dPt>
          <c:dLbls>
            <c:dLbl>
              <c:idx val="0"/>
              <c:layout>
                <c:manualLayout>
                  <c:x val="-0.22126712808585769"/>
                  <c:y val="6.3113317357069501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anose="02020603050405020304" pitchFamily="18" charset="0"/>
                        <a:ea typeface="Tahoma" panose="020B0604030504040204" pitchFamily="34" charset="0"/>
                        <a:cs typeface="Times New Roman" panose="02020603050405020304" pitchFamily="18" charset="0"/>
                      </a:rPr>
                      <a:t>EGFR</a:t>
                    </a:r>
                    <a:r>
                      <a:rPr lang="en-US" sz="900" baseline="0">
                        <a:latin typeface="Times New Roman" panose="02020603050405020304" pitchFamily="18" charset="0"/>
                        <a:ea typeface="Tahoma" panose="020B0604030504040204" pitchFamily="34" charset="0"/>
                        <a:cs typeface="Times New Roman" panose="02020603050405020304" pitchFamily="18" charset="0"/>
                      </a:rPr>
                      <a:t> Positive 41.9%</a:t>
                    </a:r>
                    <a:endParaRPr lang="en-US" sz="900">
                      <a:latin typeface="Times New Roman" panose="02020603050405020304" pitchFamily="18" charset="0"/>
                      <a:ea typeface="Tahoma" panose="020B0604030504040204" pitchFamily="34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6405693950178"/>
                      <c:h val="0.1973045760584274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E-45F1-A0FE-CBC8EE279E48}"/>
                </c:ext>
              </c:extLst>
            </c:dLbl>
            <c:dLbl>
              <c:idx val="1"/>
              <c:layout>
                <c:manualLayout>
                  <c:x val="0.20192488394466707"/>
                  <c:y val="-5.4793335615656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EGFR</a:t>
                    </a:r>
                    <a:r>
                      <a:rPr lang="en-US" baseline="0"/>
                      <a:t> Negative </a:t>
                    </a:r>
                  </a:p>
                  <a:p>
                    <a:r>
                      <a:rPr lang="en-US" baseline="0"/>
                      <a:t>58.1%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00948991696323"/>
                      <c:h val="0.208435010841036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2E-45F1-A0FE-CBC8EE279E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Duowng</c:v>
                </c:pt>
                <c:pt idx="1">
                  <c:v>Am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41.9</c:v>
                </c:pt>
                <c:pt idx="1">
                  <c:v>58.1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2E-45F1-A0FE-CBC8EE279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AC-4093-98F4-0C11262390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AC-4093-98F4-0C11262390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AC-4093-98F4-0C11262390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AC-4093-98F4-0C11262390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AC-4093-98F4-0C112623901E}"/>
              </c:ext>
            </c:extLst>
          </c:dPt>
          <c:dLbls>
            <c:dLbl>
              <c:idx val="0"/>
              <c:layout>
                <c:manualLayout>
                  <c:x val="-0.24150943396226415"/>
                  <c:y val="-2.729484781253172E-2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/>
                      <a:t>Del Exon</a:t>
                    </a:r>
                    <a:r>
                      <a:rPr lang="en-US" baseline="0"/>
                      <a:t> 19</a:t>
                    </a:r>
                  </a:p>
                  <a:p>
                    <a:fld id="{CC19FF17-B3E6-40DF-9EF7-A1EEA836EF93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89308176100629"/>
                      <c:h val="0.342541436464088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4AC-4093-98F4-0C112623901E}"/>
                </c:ext>
              </c:extLst>
            </c:dLbl>
            <c:dLbl>
              <c:idx val="1"/>
              <c:layout>
                <c:manualLayout>
                  <c:x val="0.23203763680483336"/>
                  <c:y val="-0.131090906454372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L858R Exon</a:t>
                    </a:r>
                    <a:r>
                      <a:rPr lang="en-US" baseline="0"/>
                      <a:t> 21</a:t>
                    </a:r>
                    <a:endParaRPr lang="en-US"/>
                  </a:p>
                  <a:p>
                    <a:r>
                      <a:rPr lang="en-US"/>
                      <a:t>34.8%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43396226415094"/>
                      <c:h val="0.264862168472034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4AC-4093-98F4-0C112623901E}"/>
                </c:ext>
              </c:extLst>
            </c:dLbl>
            <c:dLbl>
              <c:idx val="2"/>
              <c:layout>
                <c:manualLayout>
                  <c:x val="-5.7670603674540681E-2"/>
                  <c:y val="0.133941105463082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Exon</a:t>
                    </a:r>
                    <a:r>
                      <a:rPr lang="en-US" baseline="0"/>
                      <a:t> 20</a:t>
                    </a:r>
                  </a:p>
                  <a:p>
                    <a:fld id="{DDA16E71-59EB-403B-8542-970750155D38}" type="VALUE">
                      <a:rPr lang="en-US"/>
                      <a:pPr/>
                      <a:t>[VALUE]</a:t>
                    </a:fld>
                    <a:r>
                      <a:rPr lang="en-US"/>
                      <a:t>.0 %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4AC-4093-98F4-0C112623901E}"/>
                </c:ext>
              </c:extLst>
            </c:dLbl>
            <c:dLbl>
              <c:idx val="3"/>
              <c:layout>
                <c:manualLayout>
                  <c:x val="-0.10583449127682569"/>
                  <c:y val="7.91104909354685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Exon</a:t>
                    </a:r>
                    <a:r>
                      <a:rPr lang="en-US" baseline="0"/>
                      <a:t> 18</a:t>
                    </a:r>
                  </a:p>
                  <a:p>
                    <a:fld id="{9FDE8F3D-9320-4A1D-9B0E-6AFB86A8CAE4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4AC-4093-98F4-0C112623901E}"/>
                </c:ext>
              </c:extLst>
            </c:dLbl>
            <c:dLbl>
              <c:idx val="4"/>
              <c:layout>
                <c:manualLayout>
                  <c:x val="0.12318408538416092"/>
                  <c:y val="2.43186220750580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Double mut</a:t>
                    </a:r>
                  </a:p>
                  <a:p>
                    <a:pPr>
                      <a:defRPr/>
                    </a:pPr>
                    <a:endParaRPr lang="en-US"/>
                  </a:p>
                  <a:p>
                    <a:pPr>
                      <a:defRPr/>
                    </a:pPr>
                    <a:r>
                      <a:rPr lang="en-US"/>
                      <a:t>  5.6%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151252772370241"/>
                      <c:h val="0.25068205184029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4AC-4093-98F4-0C11262390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Sheet1!$A$4:$A$8</c:f>
              <c:strCache>
                <c:ptCount val="5"/>
                <c:pt idx="0">
                  <c:v>Del exon 19</c:v>
                </c:pt>
                <c:pt idx="1">
                  <c:v>L858R exon 21</c:v>
                </c:pt>
                <c:pt idx="2">
                  <c:v>Exon 20 Ins</c:v>
                </c:pt>
                <c:pt idx="3">
                  <c:v>EGFR Exon 18</c:v>
                </c:pt>
                <c:pt idx="4">
                  <c:v>Double EGFR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50.9</c:v>
                </c:pt>
                <c:pt idx="1">
                  <c:v>34.799999999999997</c:v>
                </c:pt>
                <c:pt idx="2">
                  <c:v>5</c:v>
                </c:pt>
                <c:pt idx="3">
                  <c:v>3.7</c:v>
                </c:pt>
                <c:pt idx="4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AC-4093-98F4-0C1126239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615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2023-08-29T15:13:00Z</dcterms:created>
  <dcterms:modified xsi:type="dcterms:W3CDTF">2023-11-09T03:31:00Z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c0168fa9-9d8b-4305-8a82-78c818306c7b</vt:lpwstr>
  </property>
</Properties>
</file>