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A9" w:rsidRDefault="006B0EA9" w:rsidP="006B0EA9">
      <w:pPr>
        <w:pStyle w:val="EndNoteBibliography"/>
        <w:spacing w:after="0"/>
        <w:ind w:left="720" w:hanging="720"/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6B0EA9" w:rsidRDefault="006B0EA9" w:rsidP="006B0EA9">
      <w:pPr>
        <w:pStyle w:val="EndNoteBibliography"/>
        <w:ind w:left="720" w:hanging="720"/>
      </w:pPr>
    </w:p>
    <w:p w:rsidR="006B0EA9" w:rsidRPr="00040E31" w:rsidRDefault="006B0EA9" w:rsidP="006B0EA9">
      <w:pPr>
        <w:pStyle w:val="EndNoteBibliography"/>
        <w:ind w:left="720" w:hanging="720"/>
        <w:rPr>
          <w:rFonts w:ascii="Times New Roman" w:hAnsi="Times New Roman" w:cs="Times New Roman"/>
          <w:b/>
        </w:rPr>
      </w:pPr>
      <w:r w:rsidRPr="00040E31">
        <w:rPr>
          <w:rFonts w:ascii="Times New Roman" w:hAnsi="Times New Roman" w:cs="Times New Roman"/>
          <w:b/>
        </w:rPr>
        <w:t>Tables</w:t>
      </w:r>
    </w:p>
    <w:p w:rsidR="006B0EA9" w:rsidRPr="00745498" w:rsidRDefault="006B0EA9" w:rsidP="006B0E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745498">
        <w:rPr>
          <w:rFonts w:ascii="Times New Roman" w:hAnsi="Times New Roman" w:cs="Times New Roman"/>
          <w:sz w:val="24"/>
          <w:szCs w:val="24"/>
          <w:lang w:val="en-US"/>
        </w:rPr>
        <w:t xml:space="preserve">Table1: Results of gender-specific total </w:t>
      </w:r>
      <w:proofErr w:type="spellStart"/>
      <w:r w:rsidRPr="00745498">
        <w:rPr>
          <w:rFonts w:ascii="Times New Roman" w:hAnsi="Times New Roman" w:cs="Times New Roman"/>
          <w:sz w:val="24"/>
          <w:szCs w:val="24"/>
          <w:lang w:val="en-US"/>
        </w:rPr>
        <w:t>psoas</w:t>
      </w:r>
      <w:proofErr w:type="spellEnd"/>
      <w:r w:rsidRPr="00745498">
        <w:rPr>
          <w:rFonts w:ascii="Times New Roman" w:hAnsi="Times New Roman" w:cs="Times New Roman"/>
          <w:sz w:val="24"/>
          <w:szCs w:val="24"/>
          <w:lang w:val="en-US"/>
        </w:rPr>
        <w:t xml:space="preserve"> area, TPAI and HUAC</w:t>
      </w:r>
    </w:p>
    <w:tbl>
      <w:tblPr>
        <w:tblStyle w:val="TableNormal"/>
        <w:tblW w:w="10494" w:type="dxa"/>
        <w:tblInd w:w="-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7"/>
        <w:gridCol w:w="4967"/>
      </w:tblGrid>
      <w:tr w:rsidR="006B0EA9" w:rsidRPr="00745498" w:rsidTr="00177A9C">
        <w:trPr>
          <w:trHeight w:val="265"/>
        </w:trPr>
        <w:tc>
          <w:tcPr>
            <w:tcW w:w="5527" w:type="dxa"/>
          </w:tcPr>
          <w:p w:rsidR="006B0EA9" w:rsidRPr="00745498" w:rsidRDefault="006B0EA9" w:rsidP="00177A9C">
            <w:pPr>
              <w:pStyle w:val="TableParagraph"/>
              <w:tabs>
                <w:tab w:val="left" w:pos="4410"/>
              </w:tabs>
              <w:spacing w:line="480" w:lineRule="auto"/>
              <w:ind w:left="2211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Male</w:t>
            </w:r>
            <w:r w:rsidRPr="00745498">
              <w:rPr>
                <w:sz w:val="24"/>
                <w:szCs w:val="24"/>
              </w:rPr>
              <w:tab/>
              <w:t>Female</w:t>
            </w:r>
          </w:p>
        </w:tc>
        <w:tc>
          <w:tcPr>
            <w:tcW w:w="4967" w:type="dxa"/>
          </w:tcPr>
          <w:p w:rsidR="006B0EA9" w:rsidRPr="00745498" w:rsidRDefault="006B0EA9" w:rsidP="00177A9C">
            <w:pPr>
              <w:pStyle w:val="TableParagraph"/>
              <w:tabs>
                <w:tab w:val="left" w:pos="2971"/>
              </w:tabs>
              <w:spacing w:line="480" w:lineRule="auto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745498">
              <w:rPr>
                <w:sz w:val="24"/>
                <w:szCs w:val="24"/>
              </w:rPr>
              <w:t>Sarcopenic</w:t>
            </w:r>
            <w:proofErr w:type="spellEnd"/>
            <w:r w:rsidRPr="00745498">
              <w:rPr>
                <w:sz w:val="24"/>
                <w:szCs w:val="24"/>
              </w:rPr>
              <w:tab/>
            </w:r>
            <w:proofErr w:type="spellStart"/>
            <w:r w:rsidRPr="00745498">
              <w:rPr>
                <w:sz w:val="24"/>
                <w:szCs w:val="24"/>
              </w:rPr>
              <w:t>Nonsarcopenic</w:t>
            </w:r>
            <w:proofErr w:type="spellEnd"/>
          </w:p>
        </w:tc>
      </w:tr>
      <w:tr w:rsidR="006B0EA9" w:rsidRPr="00745498" w:rsidTr="00177A9C">
        <w:trPr>
          <w:trHeight w:val="795"/>
        </w:trPr>
        <w:tc>
          <w:tcPr>
            <w:tcW w:w="5527" w:type="dxa"/>
          </w:tcPr>
          <w:p w:rsidR="006B0EA9" w:rsidRPr="00745498" w:rsidRDefault="006B0EA9" w:rsidP="00177A9C">
            <w:pPr>
              <w:pStyle w:val="TableParagraph"/>
              <w:tabs>
                <w:tab w:val="left" w:pos="2023"/>
                <w:tab w:val="left" w:pos="4313"/>
              </w:tabs>
              <w:spacing w:line="480" w:lineRule="auto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745498">
              <w:rPr>
                <w:sz w:val="24"/>
                <w:szCs w:val="24"/>
              </w:rPr>
              <w:t>Totalpsoasarea</w:t>
            </w:r>
            <w:proofErr w:type="spellEnd"/>
            <w:r w:rsidRPr="00745498">
              <w:rPr>
                <w:sz w:val="24"/>
                <w:szCs w:val="24"/>
              </w:rPr>
              <w:tab/>
              <w:t>17.37±4.3</w:t>
            </w:r>
            <w:r w:rsidRPr="00745498">
              <w:rPr>
                <w:sz w:val="24"/>
                <w:szCs w:val="24"/>
              </w:rPr>
              <w:tab/>
              <w:t>10.05±2.5</w:t>
            </w:r>
          </w:p>
          <w:p w:rsidR="006B0EA9" w:rsidRPr="00745498" w:rsidRDefault="006B0EA9" w:rsidP="00177A9C">
            <w:pPr>
              <w:pStyle w:val="TableParagraph"/>
              <w:tabs>
                <w:tab w:val="left" w:pos="2050"/>
                <w:tab w:val="left" w:pos="4345"/>
              </w:tabs>
              <w:spacing w:line="480" w:lineRule="auto"/>
              <w:ind w:left="110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TPAI (cm</w:t>
            </w:r>
            <w:r w:rsidRPr="00745498">
              <w:rPr>
                <w:sz w:val="24"/>
                <w:szCs w:val="24"/>
                <w:vertAlign w:val="superscript"/>
              </w:rPr>
              <w:t>2</w:t>
            </w:r>
            <w:r w:rsidRPr="00745498">
              <w:rPr>
                <w:sz w:val="24"/>
                <w:szCs w:val="24"/>
              </w:rPr>
              <w:t>/m</w:t>
            </w:r>
            <w:r w:rsidRPr="00745498">
              <w:rPr>
                <w:sz w:val="24"/>
                <w:szCs w:val="24"/>
                <w:vertAlign w:val="superscript"/>
              </w:rPr>
              <w:t>2</w:t>
            </w:r>
            <w:r w:rsidRPr="00745498">
              <w:rPr>
                <w:sz w:val="24"/>
                <w:szCs w:val="24"/>
              </w:rPr>
              <w:t>)</w:t>
            </w:r>
            <w:r w:rsidRPr="00745498">
              <w:rPr>
                <w:sz w:val="24"/>
                <w:szCs w:val="24"/>
              </w:rPr>
              <w:tab/>
              <w:t>6.06±1.5</w:t>
            </w:r>
            <w:r w:rsidRPr="00745498">
              <w:rPr>
                <w:sz w:val="24"/>
                <w:szCs w:val="24"/>
              </w:rPr>
              <w:tab/>
              <w:t>22±4</w:t>
            </w:r>
          </w:p>
          <w:p w:rsidR="006B0EA9" w:rsidRPr="00745498" w:rsidRDefault="006B0EA9" w:rsidP="00177A9C">
            <w:pPr>
              <w:pStyle w:val="TableParagraph"/>
              <w:tabs>
                <w:tab w:val="left" w:pos="2054"/>
                <w:tab w:val="left" w:pos="4283"/>
              </w:tabs>
              <w:spacing w:line="480" w:lineRule="auto"/>
              <w:ind w:left="110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HUAC</w:t>
            </w:r>
            <w:r w:rsidRPr="00745498">
              <w:rPr>
                <w:sz w:val="24"/>
                <w:szCs w:val="24"/>
              </w:rPr>
              <w:tab/>
              <w:t>22.44±4.08</w:t>
            </w:r>
            <w:r w:rsidRPr="00745498">
              <w:rPr>
                <w:sz w:val="24"/>
                <w:szCs w:val="24"/>
              </w:rPr>
              <w:tab/>
              <w:t>18.16±5.3</w:t>
            </w:r>
          </w:p>
        </w:tc>
        <w:tc>
          <w:tcPr>
            <w:tcW w:w="4967" w:type="dxa"/>
          </w:tcPr>
          <w:p w:rsidR="006B0EA9" w:rsidRPr="00745498" w:rsidRDefault="006B0EA9" w:rsidP="00177A9C">
            <w:pPr>
              <w:pStyle w:val="TableParagraph"/>
              <w:tabs>
                <w:tab w:val="left" w:pos="3000"/>
              </w:tabs>
              <w:spacing w:line="480" w:lineRule="auto"/>
              <w:ind w:left="110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12.5±4.9</w:t>
            </w:r>
            <w:r w:rsidRPr="00745498">
              <w:rPr>
                <w:sz w:val="24"/>
                <w:szCs w:val="24"/>
              </w:rPr>
              <w:tab/>
              <w:t>15.91±5.02</w:t>
            </w:r>
          </w:p>
          <w:p w:rsidR="006B0EA9" w:rsidRPr="00745498" w:rsidRDefault="006B0EA9" w:rsidP="00177A9C">
            <w:pPr>
              <w:pStyle w:val="TableParagraph"/>
              <w:tabs>
                <w:tab w:val="left" w:pos="3060"/>
              </w:tabs>
              <w:spacing w:line="480" w:lineRule="auto"/>
              <w:ind w:left="110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4.8±1.5</w:t>
            </w:r>
            <w:r w:rsidRPr="00745498">
              <w:rPr>
                <w:sz w:val="24"/>
                <w:szCs w:val="24"/>
              </w:rPr>
              <w:tab/>
              <w:t>5.64±1.67</w:t>
            </w:r>
          </w:p>
          <w:p w:rsidR="006B0EA9" w:rsidRPr="00745498" w:rsidRDefault="006B0EA9" w:rsidP="00177A9C">
            <w:pPr>
              <w:pStyle w:val="TableParagraph"/>
              <w:tabs>
                <w:tab w:val="left" w:pos="3060"/>
              </w:tabs>
              <w:spacing w:line="480" w:lineRule="auto"/>
              <w:ind w:left="110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15.95±4.57</w:t>
            </w:r>
            <w:r w:rsidRPr="00745498">
              <w:rPr>
                <w:sz w:val="24"/>
                <w:szCs w:val="24"/>
              </w:rPr>
              <w:tab/>
              <w:t>22.93±3.56</w:t>
            </w:r>
          </w:p>
        </w:tc>
      </w:tr>
    </w:tbl>
    <w:p w:rsidR="006B0EA9" w:rsidRPr="00745498" w:rsidRDefault="006B0EA9" w:rsidP="006B0EA9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4549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TPAI: total </w:t>
      </w:r>
      <w:proofErr w:type="spellStart"/>
      <w:r w:rsidRPr="00745498">
        <w:rPr>
          <w:rFonts w:ascii="Times New Roman" w:hAnsi="Times New Roman" w:cs="Times New Roman"/>
          <w:i/>
          <w:iCs/>
          <w:sz w:val="24"/>
          <w:szCs w:val="24"/>
          <w:lang w:val="en-US"/>
        </w:rPr>
        <w:t>psoas</w:t>
      </w:r>
      <w:proofErr w:type="spellEnd"/>
      <w:r w:rsidRPr="0074549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area index, HUAC: Hounsfield unit average calculation </w:t>
      </w:r>
    </w:p>
    <w:p w:rsidR="006B0EA9" w:rsidRPr="00745498" w:rsidRDefault="006B0EA9" w:rsidP="006B0E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5498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able 2.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Patient characteristics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1815"/>
        <w:gridCol w:w="2297"/>
        <w:gridCol w:w="1782"/>
      </w:tblGrid>
      <w:tr w:rsidR="006B0EA9" w:rsidRPr="00745498" w:rsidTr="00177A9C">
        <w:trPr>
          <w:trHeight w:val="355"/>
        </w:trPr>
        <w:tc>
          <w:tcPr>
            <w:tcW w:w="3404" w:type="dxa"/>
          </w:tcPr>
          <w:p w:rsidR="006B0EA9" w:rsidRPr="00745498" w:rsidRDefault="006B0EA9" w:rsidP="00177A9C">
            <w:pPr>
              <w:pStyle w:val="TableParagraph"/>
              <w:spacing w:line="480" w:lineRule="auto"/>
              <w:ind w:left="110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Variables</w:t>
            </w:r>
          </w:p>
        </w:tc>
        <w:tc>
          <w:tcPr>
            <w:tcW w:w="1815" w:type="dxa"/>
          </w:tcPr>
          <w:p w:rsidR="006B0EA9" w:rsidRPr="00745498" w:rsidRDefault="006B0EA9" w:rsidP="00177A9C">
            <w:pPr>
              <w:pStyle w:val="TableParagraph"/>
              <w:spacing w:line="480" w:lineRule="auto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745498">
              <w:rPr>
                <w:sz w:val="24"/>
                <w:szCs w:val="24"/>
              </w:rPr>
              <w:t>Sarcopenic</w:t>
            </w:r>
            <w:proofErr w:type="spellEnd"/>
          </w:p>
        </w:tc>
        <w:tc>
          <w:tcPr>
            <w:tcW w:w="2297" w:type="dxa"/>
          </w:tcPr>
          <w:p w:rsidR="006B0EA9" w:rsidRPr="00745498" w:rsidRDefault="006B0EA9" w:rsidP="00177A9C">
            <w:pPr>
              <w:pStyle w:val="TableParagraph"/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Non-</w:t>
            </w:r>
            <w:proofErr w:type="spellStart"/>
            <w:r w:rsidRPr="00745498">
              <w:rPr>
                <w:sz w:val="24"/>
                <w:szCs w:val="24"/>
              </w:rPr>
              <w:t>sarcopenic</w:t>
            </w:r>
            <w:proofErr w:type="spellEnd"/>
          </w:p>
        </w:tc>
        <w:tc>
          <w:tcPr>
            <w:tcW w:w="1782" w:type="dxa"/>
          </w:tcPr>
          <w:p w:rsidR="006B0EA9" w:rsidRPr="00745498" w:rsidRDefault="006B0EA9" w:rsidP="00177A9C">
            <w:pPr>
              <w:pStyle w:val="TableParagraph"/>
              <w:spacing w:line="48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745498">
              <w:rPr>
                <w:sz w:val="24"/>
                <w:szCs w:val="24"/>
              </w:rPr>
              <w:t>Pvalue</w:t>
            </w:r>
            <w:proofErr w:type="spellEnd"/>
          </w:p>
        </w:tc>
      </w:tr>
      <w:tr w:rsidR="006B0EA9" w:rsidRPr="00745498" w:rsidTr="00177A9C">
        <w:trPr>
          <w:trHeight w:val="1065"/>
        </w:trPr>
        <w:tc>
          <w:tcPr>
            <w:tcW w:w="3404" w:type="dxa"/>
          </w:tcPr>
          <w:p w:rsidR="006B0EA9" w:rsidRPr="00745498" w:rsidRDefault="006B0EA9" w:rsidP="00177A9C">
            <w:pPr>
              <w:pStyle w:val="TableParagraph"/>
              <w:spacing w:line="480" w:lineRule="auto"/>
              <w:ind w:left="110" w:right="1880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Gender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10" w:right="1880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 xml:space="preserve">Female 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10" w:right="1880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 xml:space="preserve">Male </w:t>
            </w:r>
          </w:p>
        </w:tc>
        <w:tc>
          <w:tcPr>
            <w:tcW w:w="1815" w:type="dxa"/>
          </w:tcPr>
          <w:p w:rsidR="006B0EA9" w:rsidRPr="00745498" w:rsidRDefault="006B0EA9" w:rsidP="00177A9C">
            <w:pPr>
              <w:pStyle w:val="TableParagraph"/>
              <w:spacing w:before="7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9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6(33.3)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09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12(66.7)</w:t>
            </w:r>
          </w:p>
        </w:tc>
        <w:tc>
          <w:tcPr>
            <w:tcW w:w="2297" w:type="dxa"/>
          </w:tcPr>
          <w:p w:rsidR="006B0EA9" w:rsidRPr="00745498" w:rsidRDefault="006B0EA9" w:rsidP="00177A9C">
            <w:pPr>
              <w:pStyle w:val="TableParagraph"/>
              <w:spacing w:before="7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17(32.7)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35(67.3)</w:t>
            </w:r>
          </w:p>
        </w:tc>
        <w:tc>
          <w:tcPr>
            <w:tcW w:w="1782" w:type="dxa"/>
          </w:tcPr>
          <w:p w:rsidR="006B0EA9" w:rsidRPr="00745498" w:rsidRDefault="006B0EA9" w:rsidP="00177A9C">
            <w:pPr>
              <w:pStyle w:val="TableParagraph"/>
              <w:spacing w:before="7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7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0.623</w:t>
            </w:r>
          </w:p>
        </w:tc>
      </w:tr>
      <w:tr w:rsidR="006B0EA9" w:rsidRPr="00745498" w:rsidTr="00177A9C">
        <w:trPr>
          <w:trHeight w:val="707"/>
        </w:trPr>
        <w:tc>
          <w:tcPr>
            <w:tcW w:w="3404" w:type="dxa"/>
          </w:tcPr>
          <w:p w:rsidR="006B0EA9" w:rsidRPr="00745498" w:rsidRDefault="006B0EA9" w:rsidP="00177A9C">
            <w:pPr>
              <w:pStyle w:val="TableParagraph"/>
              <w:spacing w:line="480" w:lineRule="auto"/>
              <w:ind w:left="110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 xml:space="preserve">Age (years) 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10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&lt;65</w:t>
            </w:r>
          </w:p>
        </w:tc>
        <w:tc>
          <w:tcPr>
            <w:tcW w:w="1815" w:type="dxa"/>
          </w:tcPr>
          <w:p w:rsidR="006B0EA9" w:rsidRPr="00745498" w:rsidRDefault="006B0EA9" w:rsidP="00177A9C">
            <w:pPr>
              <w:pStyle w:val="TableParagraph"/>
              <w:spacing w:before="5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9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5(27.8)</w:t>
            </w:r>
          </w:p>
        </w:tc>
        <w:tc>
          <w:tcPr>
            <w:tcW w:w="2297" w:type="dxa"/>
          </w:tcPr>
          <w:p w:rsidR="006B0EA9" w:rsidRPr="00745498" w:rsidRDefault="006B0EA9" w:rsidP="00177A9C">
            <w:pPr>
              <w:pStyle w:val="TableParagraph"/>
              <w:spacing w:before="5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36(69.2)</w:t>
            </w:r>
          </w:p>
        </w:tc>
        <w:tc>
          <w:tcPr>
            <w:tcW w:w="1782" w:type="dxa"/>
            <w:vMerge w:val="restart"/>
          </w:tcPr>
          <w:p w:rsidR="006B0EA9" w:rsidRPr="00745498" w:rsidRDefault="006B0EA9" w:rsidP="00177A9C">
            <w:pPr>
              <w:pStyle w:val="TableParagraph"/>
              <w:spacing w:before="5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7"/>
              <w:jc w:val="both"/>
              <w:rPr>
                <w:b/>
                <w:sz w:val="24"/>
                <w:szCs w:val="24"/>
              </w:rPr>
            </w:pPr>
            <w:r w:rsidRPr="00745498">
              <w:rPr>
                <w:b/>
                <w:sz w:val="24"/>
                <w:szCs w:val="24"/>
              </w:rPr>
              <w:t>0.002</w:t>
            </w:r>
          </w:p>
        </w:tc>
      </w:tr>
      <w:tr w:rsidR="006B0EA9" w:rsidRPr="00745498" w:rsidTr="00177A9C">
        <w:trPr>
          <w:trHeight w:val="355"/>
        </w:trPr>
        <w:tc>
          <w:tcPr>
            <w:tcW w:w="3404" w:type="dxa"/>
          </w:tcPr>
          <w:p w:rsidR="006B0EA9" w:rsidRPr="00745498" w:rsidRDefault="006B0EA9" w:rsidP="00177A9C">
            <w:pPr>
              <w:pStyle w:val="TableParagraph"/>
              <w:spacing w:line="480" w:lineRule="auto"/>
              <w:ind w:left="110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&gt;65</w:t>
            </w:r>
          </w:p>
        </w:tc>
        <w:tc>
          <w:tcPr>
            <w:tcW w:w="1815" w:type="dxa"/>
          </w:tcPr>
          <w:p w:rsidR="006B0EA9" w:rsidRPr="00745498" w:rsidRDefault="006B0EA9" w:rsidP="00177A9C">
            <w:pPr>
              <w:pStyle w:val="TableParagraph"/>
              <w:spacing w:line="480" w:lineRule="auto"/>
              <w:ind w:left="109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13(72.2)</w:t>
            </w:r>
          </w:p>
        </w:tc>
        <w:tc>
          <w:tcPr>
            <w:tcW w:w="2297" w:type="dxa"/>
          </w:tcPr>
          <w:p w:rsidR="006B0EA9" w:rsidRPr="00745498" w:rsidRDefault="006B0EA9" w:rsidP="00177A9C">
            <w:pPr>
              <w:pStyle w:val="TableParagraph"/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16(30.8)</w:t>
            </w:r>
          </w:p>
        </w:tc>
        <w:tc>
          <w:tcPr>
            <w:tcW w:w="1782" w:type="dxa"/>
            <w:vMerge/>
          </w:tcPr>
          <w:p w:rsidR="006B0EA9" w:rsidRPr="00745498" w:rsidRDefault="006B0EA9" w:rsidP="00177A9C">
            <w:pPr>
              <w:pStyle w:val="TableParagraph"/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6B0EA9" w:rsidRPr="00745498" w:rsidTr="00177A9C">
        <w:trPr>
          <w:trHeight w:val="1065"/>
        </w:trPr>
        <w:tc>
          <w:tcPr>
            <w:tcW w:w="3404" w:type="dxa"/>
          </w:tcPr>
          <w:p w:rsidR="006B0EA9" w:rsidRPr="00745498" w:rsidRDefault="006B0EA9" w:rsidP="00177A9C">
            <w:pPr>
              <w:pStyle w:val="TableParagraph"/>
              <w:spacing w:line="480" w:lineRule="auto"/>
              <w:ind w:left="110" w:right="2075"/>
              <w:jc w:val="both"/>
              <w:rPr>
                <w:w w:val="99"/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ECOG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10" w:right="2075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0 or 1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10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2 or 3</w:t>
            </w:r>
          </w:p>
        </w:tc>
        <w:tc>
          <w:tcPr>
            <w:tcW w:w="1815" w:type="dxa"/>
          </w:tcPr>
          <w:p w:rsidR="006B0EA9" w:rsidRPr="00745498" w:rsidRDefault="006B0EA9" w:rsidP="00177A9C">
            <w:pPr>
              <w:pStyle w:val="TableParagraph"/>
              <w:spacing w:before="3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9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17(89.5)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09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2(10.5)</w:t>
            </w:r>
          </w:p>
        </w:tc>
        <w:tc>
          <w:tcPr>
            <w:tcW w:w="2297" w:type="dxa"/>
          </w:tcPr>
          <w:p w:rsidR="006B0EA9" w:rsidRPr="00745498" w:rsidRDefault="006B0EA9" w:rsidP="00177A9C">
            <w:pPr>
              <w:pStyle w:val="TableParagraph"/>
              <w:spacing w:before="3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44(86.3)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7(12.9)</w:t>
            </w:r>
          </w:p>
        </w:tc>
        <w:tc>
          <w:tcPr>
            <w:tcW w:w="1782" w:type="dxa"/>
          </w:tcPr>
          <w:p w:rsidR="006B0EA9" w:rsidRPr="00745498" w:rsidRDefault="006B0EA9" w:rsidP="00177A9C">
            <w:pPr>
              <w:pStyle w:val="TableParagraph"/>
              <w:spacing w:before="3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7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0.722</w:t>
            </w:r>
          </w:p>
        </w:tc>
      </w:tr>
      <w:tr w:rsidR="006B0EA9" w:rsidRPr="00745498" w:rsidTr="00177A9C">
        <w:trPr>
          <w:trHeight w:val="1065"/>
        </w:trPr>
        <w:tc>
          <w:tcPr>
            <w:tcW w:w="3404" w:type="dxa"/>
          </w:tcPr>
          <w:p w:rsidR="006B0EA9" w:rsidRPr="00745498" w:rsidRDefault="006B0EA9" w:rsidP="00177A9C">
            <w:pPr>
              <w:pStyle w:val="TableParagraph"/>
              <w:spacing w:line="480" w:lineRule="auto"/>
              <w:ind w:left="110" w:right="1759"/>
              <w:jc w:val="both"/>
              <w:rPr>
                <w:spacing w:val="-1"/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Grade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10" w:right="1759"/>
              <w:jc w:val="both"/>
              <w:rPr>
                <w:sz w:val="24"/>
                <w:szCs w:val="24"/>
              </w:rPr>
            </w:pPr>
            <w:r w:rsidRPr="00745498">
              <w:rPr>
                <w:spacing w:val="-1"/>
                <w:sz w:val="24"/>
                <w:szCs w:val="24"/>
              </w:rPr>
              <w:t>1 or 2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10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6B0EA9" w:rsidRPr="00745498" w:rsidRDefault="006B0EA9" w:rsidP="00177A9C">
            <w:pPr>
              <w:pStyle w:val="TableParagraph"/>
              <w:spacing w:before="3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9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14(77.8)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09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4(22.2)</w:t>
            </w:r>
          </w:p>
        </w:tc>
        <w:tc>
          <w:tcPr>
            <w:tcW w:w="2297" w:type="dxa"/>
          </w:tcPr>
          <w:p w:rsidR="006B0EA9" w:rsidRPr="00745498" w:rsidRDefault="006B0EA9" w:rsidP="00177A9C">
            <w:pPr>
              <w:pStyle w:val="TableParagraph"/>
              <w:spacing w:before="3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32(61.5)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20(38.5)</w:t>
            </w:r>
          </w:p>
        </w:tc>
        <w:tc>
          <w:tcPr>
            <w:tcW w:w="1782" w:type="dxa"/>
          </w:tcPr>
          <w:p w:rsidR="006B0EA9" w:rsidRPr="00745498" w:rsidRDefault="006B0EA9" w:rsidP="00177A9C">
            <w:pPr>
              <w:pStyle w:val="TableParagraph"/>
              <w:spacing w:before="3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7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0.211</w:t>
            </w:r>
          </w:p>
        </w:tc>
      </w:tr>
      <w:tr w:rsidR="006B0EA9" w:rsidRPr="00745498" w:rsidTr="00177A9C">
        <w:trPr>
          <w:trHeight w:val="1060"/>
        </w:trPr>
        <w:tc>
          <w:tcPr>
            <w:tcW w:w="3404" w:type="dxa"/>
          </w:tcPr>
          <w:p w:rsidR="006B0EA9" w:rsidRPr="00745498" w:rsidRDefault="006B0EA9" w:rsidP="00177A9C">
            <w:pPr>
              <w:pStyle w:val="TableParagraph"/>
              <w:spacing w:line="480" w:lineRule="auto"/>
              <w:ind w:left="110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lastRenderedPageBreak/>
              <w:t xml:space="preserve">Tumor location 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10" w:right="165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Right sided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10" w:right="165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 xml:space="preserve">Left sided </w:t>
            </w:r>
          </w:p>
        </w:tc>
        <w:tc>
          <w:tcPr>
            <w:tcW w:w="1815" w:type="dxa"/>
          </w:tcPr>
          <w:p w:rsidR="006B0EA9" w:rsidRPr="00745498" w:rsidRDefault="006B0EA9" w:rsidP="00177A9C">
            <w:pPr>
              <w:pStyle w:val="TableParagraph"/>
              <w:spacing w:before="10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9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5(27.8)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09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13(72.2)</w:t>
            </w:r>
          </w:p>
        </w:tc>
        <w:tc>
          <w:tcPr>
            <w:tcW w:w="2297" w:type="dxa"/>
          </w:tcPr>
          <w:p w:rsidR="006B0EA9" w:rsidRPr="00745498" w:rsidRDefault="006B0EA9" w:rsidP="00177A9C">
            <w:pPr>
              <w:pStyle w:val="TableParagraph"/>
              <w:spacing w:before="10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11(21.2)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41(78.8)</w:t>
            </w:r>
          </w:p>
        </w:tc>
        <w:tc>
          <w:tcPr>
            <w:tcW w:w="1782" w:type="dxa"/>
          </w:tcPr>
          <w:p w:rsidR="006B0EA9" w:rsidRPr="00745498" w:rsidRDefault="006B0EA9" w:rsidP="00177A9C">
            <w:pPr>
              <w:pStyle w:val="TableParagraph"/>
              <w:spacing w:before="10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7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0.536</w:t>
            </w:r>
          </w:p>
        </w:tc>
      </w:tr>
      <w:tr w:rsidR="006B0EA9" w:rsidRPr="00745498" w:rsidTr="00177A9C">
        <w:trPr>
          <w:trHeight w:val="1065"/>
        </w:trPr>
        <w:tc>
          <w:tcPr>
            <w:tcW w:w="3404" w:type="dxa"/>
          </w:tcPr>
          <w:p w:rsidR="006B0EA9" w:rsidRPr="00745498" w:rsidRDefault="006B0EA9" w:rsidP="00177A9C">
            <w:pPr>
              <w:pStyle w:val="TableParagraph"/>
              <w:spacing w:line="480" w:lineRule="auto"/>
              <w:ind w:left="110" w:right="877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 xml:space="preserve">KRAS mutation 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10" w:right="877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 xml:space="preserve">Yes 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10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 xml:space="preserve">No </w:t>
            </w:r>
          </w:p>
        </w:tc>
        <w:tc>
          <w:tcPr>
            <w:tcW w:w="1815" w:type="dxa"/>
          </w:tcPr>
          <w:p w:rsidR="006B0EA9" w:rsidRPr="00745498" w:rsidRDefault="006B0EA9" w:rsidP="00177A9C">
            <w:pPr>
              <w:pStyle w:val="TableParagraph"/>
              <w:spacing w:before="3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9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6(33.3)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09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12(66.7)</w:t>
            </w:r>
          </w:p>
        </w:tc>
        <w:tc>
          <w:tcPr>
            <w:tcW w:w="2297" w:type="dxa"/>
          </w:tcPr>
          <w:p w:rsidR="006B0EA9" w:rsidRPr="00745498" w:rsidRDefault="006B0EA9" w:rsidP="00177A9C">
            <w:pPr>
              <w:pStyle w:val="TableParagraph"/>
              <w:spacing w:before="3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26(50)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26(50)</w:t>
            </w:r>
          </w:p>
        </w:tc>
        <w:tc>
          <w:tcPr>
            <w:tcW w:w="1782" w:type="dxa"/>
          </w:tcPr>
          <w:p w:rsidR="006B0EA9" w:rsidRPr="00745498" w:rsidRDefault="006B0EA9" w:rsidP="00177A9C">
            <w:pPr>
              <w:pStyle w:val="TableParagraph"/>
              <w:spacing w:before="3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7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0.221</w:t>
            </w:r>
          </w:p>
        </w:tc>
      </w:tr>
      <w:tr w:rsidR="006B0EA9" w:rsidRPr="00745498" w:rsidTr="00177A9C">
        <w:trPr>
          <w:trHeight w:val="1770"/>
        </w:trPr>
        <w:tc>
          <w:tcPr>
            <w:tcW w:w="3404" w:type="dxa"/>
          </w:tcPr>
          <w:p w:rsidR="006B0EA9" w:rsidRPr="00745498" w:rsidRDefault="006B0EA9" w:rsidP="00177A9C">
            <w:pPr>
              <w:pStyle w:val="TableParagraph"/>
              <w:spacing w:line="480" w:lineRule="auto"/>
              <w:ind w:left="110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BMI (kg/m</w:t>
            </w:r>
            <w:r w:rsidRPr="00745498">
              <w:rPr>
                <w:sz w:val="24"/>
                <w:szCs w:val="24"/>
                <w:vertAlign w:val="superscript"/>
              </w:rPr>
              <w:t>2</w:t>
            </w:r>
            <w:r w:rsidRPr="00745498">
              <w:rPr>
                <w:sz w:val="24"/>
                <w:szCs w:val="24"/>
              </w:rPr>
              <w:t xml:space="preserve">) </w:t>
            </w:r>
          </w:p>
          <w:p w:rsidR="006B0EA9" w:rsidRPr="00745498" w:rsidRDefault="006B0EA9" w:rsidP="00177A9C">
            <w:pPr>
              <w:pStyle w:val="TableParagraph"/>
              <w:spacing w:before="8" w:line="480" w:lineRule="auto"/>
              <w:ind w:left="110" w:right="344"/>
              <w:jc w:val="both"/>
              <w:rPr>
                <w:sz w:val="24"/>
                <w:szCs w:val="24"/>
              </w:rPr>
            </w:pPr>
            <w:r w:rsidRPr="00745498">
              <w:rPr>
                <w:spacing w:val="-1"/>
                <w:sz w:val="24"/>
                <w:szCs w:val="24"/>
              </w:rPr>
              <w:t>Underweight (&lt;18.5)</w:t>
            </w:r>
            <w:r w:rsidRPr="00745498">
              <w:rPr>
                <w:sz w:val="24"/>
                <w:szCs w:val="24"/>
              </w:rPr>
              <w:t>Normal (18.5-24.9)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10" w:right="255"/>
              <w:jc w:val="both"/>
              <w:rPr>
                <w:sz w:val="24"/>
                <w:szCs w:val="24"/>
              </w:rPr>
            </w:pPr>
            <w:r w:rsidRPr="00745498">
              <w:rPr>
                <w:spacing w:val="-1"/>
                <w:sz w:val="24"/>
                <w:szCs w:val="24"/>
              </w:rPr>
              <w:t>Overweight (25-29.9)</w:t>
            </w:r>
            <w:r w:rsidRPr="00745498">
              <w:rPr>
                <w:sz w:val="24"/>
                <w:szCs w:val="24"/>
              </w:rPr>
              <w:t>Obese (≥30)</w:t>
            </w:r>
          </w:p>
        </w:tc>
        <w:tc>
          <w:tcPr>
            <w:tcW w:w="1815" w:type="dxa"/>
          </w:tcPr>
          <w:p w:rsidR="006B0EA9" w:rsidRPr="00745498" w:rsidRDefault="006B0EA9" w:rsidP="00177A9C">
            <w:pPr>
              <w:pStyle w:val="TableParagraph"/>
              <w:spacing w:before="3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9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0(0)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09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8(44.4)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09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8(44.4)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09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2(11.2)</w:t>
            </w:r>
          </w:p>
        </w:tc>
        <w:tc>
          <w:tcPr>
            <w:tcW w:w="2297" w:type="dxa"/>
          </w:tcPr>
          <w:p w:rsidR="006B0EA9" w:rsidRPr="00745498" w:rsidRDefault="006B0EA9" w:rsidP="00177A9C">
            <w:pPr>
              <w:pStyle w:val="TableParagraph"/>
              <w:spacing w:before="3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3(5.8)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28(53.8)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18(34.6)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3(5.8)</w:t>
            </w:r>
          </w:p>
        </w:tc>
        <w:tc>
          <w:tcPr>
            <w:tcW w:w="1782" w:type="dxa"/>
          </w:tcPr>
          <w:p w:rsidR="006B0EA9" w:rsidRPr="00745498" w:rsidRDefault="006B0EA9" w:rsidP="00177A9C">
            <w:pPr>
              <w:pStyle w:val="TableParagraph"/>
              <w:spacing w:before="3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7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0.564</w:t>
            </w:r>
          </w:p>
        </w:tc>
      </w:tr>
      <w:tr w:rsidR="006B0EA9" w:rsidRPr="00745498" w:rsidTr="00177A9C">
        <w:trPr>
          <w:trHeight w:val="1065"/>
        </w:trPr>
        <w:tc>
          <w:tcPr>
            <w:tcW w:w="3404" w:type="dxa"/>
          </w:tcPr>
          <w:p w:rsidR="006B0EA9" w:rsidRPr="00745498" w:rsidRDefault="006B0EA9" w:rsidP="00177A9C">
            <w:pPr>
              <w:pStyle w:val="TableParagraph"/>
              <w:spacing w:line="480" w:lineRule="auto"/>
              <w:ind w:left="110" w:right="415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 xml:space="preserve">Liver metastasis 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10" w:right="415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 xml:space="preserve">No 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10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1815" w:type="dxa"/>
          </w:tcPr>
          <w:p w:rsidR="006B0EA9" w:rsidRPr="00745498" w:rsidRDefault="006B0EA9" w:rsidP="00177A9C">
            <w:pPr>
              <w:pStyle w:val="TableParagraph"/>
              <w:spacing w:before="3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9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3(16.7)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09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15(83.3)</w:t>
            </w:r>
          </w:p>
        </w:tc>
        <w:tc>
          <w:tcPr>
            <w:tcW w:w="2297" w:type="dxa"/>
          </w:tcPr>
          <w:p w:rsidR="006B0EA9" w:rsidRPr="00745498" w:rsidRDefault="006B0EA9" w:rsidP="00177A9C">
            <w:pPr>
              <w:pStyle w:val="TableParagraph"/>
              <w:spacing w:before="3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10(19.2)</w:t>
            </w:r>
          </w:p>
          <w:p w:rsidR="006B0EA9" w:rsidRPr="00745498" w:rsidRDefault="006B0EA9" w:rsidP="00177A9C">
            <w:pPr>
              <w:pStyle w:val="TableParagraph"/>
              <w:spacing w:line="480" w:lineRule="auto"/>
              <w:ind w:left="108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42(80.8)</w:t>
            </w:r>
          </w:p>
        </w:tc>
        <w:tc>
          <w:tcPr>
            <w:tcW w:w="1782" w:type="dxa"/>
          </w:tcPr>
          <w:p w:rsidR="006B0EA9" w:rsidRPr="00745498" w:rsidRDefault="006B0EA9" w:rsidP="00177A9C">
            <w:pPr>
              <w:pStyle w:val="TableParagraph"/>
              <w:spacing w:before="3" w:line="480" w:lineRule="auto"/>
              <w:jc w:val="both"/>
              <w:rPr>
                <w:sz w:val="24"/>
                <w:szCs w:val="24"/>
              </w:rPr>
            </w:pPr>
          </w:p>
          <w:p w:rsidR="006B0EA9" w:rsidRPr="00745498" w:rsidRDefault="006B0EA9" w:rsidP="00177A9C">
            <w:pPr>
              <w:pStyle w:val="TableParagraph"/>
              <w:spacing w:line="480" w:lineRule="auto"/>
              <w:ind w:left="107"/>
              <w:jc w:val="both"/>
              <w:rPr>
                <w:sz w:val="24"/>
                <w:szCs w:val="24"/>
              </w:rPr>
            </w:pPr>
            <w:r w:rsidRPr="00745498">
              <w:rPr>
                <w:sz w:val="24"/>
                <w:szCs w:val="24"/>
              </w:rPr>
              <w:t>0.558</w:t>
            </w:r>
          </w:p>
        </w:tc>
      </w:tr>
    </w:tbl>
    <w:p w:rsidR="006B0EA9" w:rsidRPr="00745498" w:rsidRDefault="006B0EA9" w:rsidP="006B0E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5498">
        <w:rPr>
          <w:rFonts w:ascii="Times New Roman" w:hAnsi="Times New Roman" w:cs="Times New Roman"/>
          <w:sz w:val="24"/>
          <w:szCs w:val="24"/>
          <w:lang w:val="en-US"/>
        </w:rPr>
        <w:t xml:space="preserve">BMI: Body mass index, ECOG:  Eastern Cooperative Oncology Group performance status, KRAS: Kirsten rat sarcoma viral </w:t>
      </w:r>
      <w:proofErr w:type="spellStart"/>
      <w:r w:rsidRPr="00745498">
        <w:rPr>
          <w:rFonts w:ascii="Times New Roman" w:hAnsi="Times New Roman" w:cs="Times New Roman"/>
          <w:sz w:val="24"/>
          <w:szCs w:val="24"/>
          <w:lang w:val="en-US"/>
        </w:rPr>
        <w:t>oncogene</w:t>
      </w:r>
      <w:proofErr w:type="spellEnd"/>
      <w:r w:rsidRPr="00745498">
        <w:rPr>
          <w:rFonts w:ascii="Times New Roman" w:hAnsi="Times New Roman" w:cs="Times New Roman"/>
          <w:sz w:val="24"/>
          <w:szCs w:val="24"/>
          <w:lang w:val="en-US"/>
        </w:rPr>
        <w:t xml:space="preserve"> homolog </w:t>
      </w:r>
    </w:p>
    <w:p w:rsidR="006B0EA9" w:rsidRDefault="006B0EA9" w:rsidP="006B0E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0EA9" w:rsidRPr="00745498" w:rsidRDefault="006B0EA9" w:rsidP="006B0EA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5498">
        <w:rPr>
          <w:rFonts w:ascii="Times New Roman" w:hAnsi="Times New Roman" w:cs="Times New Roman"/>
          <w:sz w:val="24"/>
          <w:szCs w:val="24"/>
          <w:lang w:val="en-US"/>
        </w:rPr>
        <w:t xml:space="preserve">Table 3: Effects of </w:t>
      </w:r>
      <w:proofErr w:type="spellStart"/>
      <w:r w:rsidRPr="00745498">
        <w:rPr>
          <w:rFonts w:ascii="Times New Roman" w:hAnsi="Times New Roman" w:cs="Times New Roman"/>
          <w:sz w:val="24"/>
          <w:szCs w:val="24"/>
          <w:lang w:val="en-US"/>
        </w:rPr>
        <w:t>clinicopathologic</w:t>
      </w:r>
      <w:proofErr w:type="spellEnd"/>
      <w:r w:rsidRPr="00745498">
        <w:rPr>
          <w:rFonts w:ascii="Times New Roman" w:hAnsi="Times New Roman" w:cs="Times New Roman"/>
          <w:sz w:val="24"/>
          <w:szCs w:val="24"/>
          <w:lang w:val="en-US"/>
        </w:rPr>
        <w:t xml:space="preserve"> factors and </w:t>
      </w:r>
      <w:proofErr w:type="spellStart"/>
      <w:r w:rsidRPr="00745498">
        <w:rPr>
          <w:rFonts w:ascii="Times New Roman" w:hAnsi="Times New Roman" w:cs="Times New Roman"/>
          <w:sz w:val="24"/>
          <w:szCs w:val="24"/>
          <w:lang w:val="en-US"/>
        </w:rPr>
        <w:t>sarcopenia</w:t>
      </w:r>
      <w:proofErr w:type="spellEnd"/>
      <w:r w:rsidRPr="00745498">
        <w:rPr>
          <w:rFonts w:ascii="Times New Roman" w:hAnsi="Times New Roman" w:cs="Times New Roman"/>
          <w:sz w:val="24"/>
          <w:szCs w:val="24"/>
          <w:lang w:val="en-US"/>
        </w:rPr>
        <w:t xml:space="preserve"> on survival: </w:t>
      </w:r>
      <w:proofErr w:type="spellStart"/>
      <w:r w:rsidRPr="00745498">
        <w:rPr>
          <w:rFonts w:ascii="Times New Roman" w:hAnsi="Times New Roman" w:cs="Times New Roman"/>
          <w:sz w:val="24"/>
          <w:szCs w:val="24"/>
          <w:lang w:val="en-US"/>
        </w:rPr>
        <w:t>univariate</w:t>
      </w:r>
      <w:proofErr w:type="spellEnd"/>
      <w:r w:rsidRPr="00745498">
        <w:rPr>
          <w:rFonts w:ascii="Times New Roman" w:hAnsi="Times New Roman" w:cs="Times New Roman"/>
          <w:sz w:val="24"/>
          <w:szCs w:val="24"/>
          <w:lang w:val="en-US"/>
        </w:rPr>
        <w:t xml:space="preserve"> analysis </w:t>
      </w:r>
    </w:p>
    <w:tbl>
      <w:tblPr>
        <w:tblStyle w:val="TableNormal"/>
        <w:tblW w:w="9045" w:type="dxa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3"/>
        <w:gridCol w:w="1105"/>
        <w:gridCol w:w="2266"/>
        <w:gridCol w:w="1561"/>
      </w:tblGrid>
      <w:tr w:rsidR="006B0EA9" w:rsidRPr="00745498" w:rsidTr="00177A9C">
        <w:trPr>
          <w:trHeight w:val="710"/>
        </w:trPr>
        <w:tc>
          <w:tcPr>
            <w:tcW w:w="4113" w:type="dxa"/>
          </w:tcPr>
          <w:p w:rsidR="006B0EA9" w:rsidRPr="00745498" w:rsidRDefault="006B0EA9" w:rsidP="00177A9C">
            <w:pPr>
              <w:spacing w:line="480" w:lineRule="auto"/>
              <w:ind w:left="110" w:right="184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proofErr w:type="spellStart"/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Sarcopenia</w:t>
            </w:r>
            <w:proofErr w:type="spellEnd"/>
          </w:p>
          <w:p w:rsidR="006B0EA9" w:rsidRPr="00745498" w:rsidRDefault="006B0EA9" w:rsidP="00177A9C">
            <w:pPr>
              <w:spacing w:line="480" w:lineRule="auto"/>
              <w:ind w:left="110" w:right="18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presentvsnone</w:t>
            </w:r>
            <w:proofErr w:type="spellEnd"/>
          </w:p>
        </w:tc>
        <w:tc>
          <w:tcPr>
            <w:tcW w:w="1105" w:type="dxa"/>
          </w:tcPr>
          <w:p w:rsidR="006B0EA9" w:rsidRPr="00745498" w:rsidRDefault="006B0EA9" w:rsidP="00177A9C">
            <w:pPr>
              <w:spacing w:before="7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0.511</w:t>
            </w:r>
          </w:p>
        </w:tc>
        <w:tc>
          <w:tcPr>
            <w:tcW w:w="2266" w:type="dxa"/>
          </w:tcPr>
          <w:p w:rsidR="006B0EA9" w:rsidRPr="00745498" w:rsidRDefault="006B0EA9" w:rsidP="00177A9C">
            <w:pPr>
              <w:spacing w:before="7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0.288-0.907</w:t>
            </w:r>
          </w:p>
        </w:tc>
        <w:tc>
          <w:tcPr>
            <w:tcW w:w="1561" w:type="dxa"/>
          </w:tcPr>
          <w:p w:rsidR="006B0EA9" w:rsidRPr="00745498" w:rsidRDefault="006B0EA9" w:rsidP="00177A9C">
            <w:pPr>
              <w:spacing w:before="7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0.022</w:t>
            </w:r>
          </w:p>
        </w:tc>
      </w:tr>
      <w:tr w:rsidR="006B0EA9" w:rsidRPr="00745498" w:rsidTr="00177A9C">
        <w:trPr>
          <w:trHeight w:val="883"/>
        </w:trPr>
        <w:tc>
          <w:tcPr>
            <w:tcW w:w="4113" w:type="dxa"/>
          </w:tcPr>
          <w:p w:rsidR="006B0EA9" w:rsidRPr="00745498" w:rsidRDefault="006B0EA9" w:rsidP="00177A9C">
            <w:pPr>
              <w:spacing w:line="48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 (years) </w:t>
            </w:r>
          </w:p>
          <w:p w:rsidR="006B0EA9" w:rsidRPr="00745498" w:rsidRDefault="006B0EA9" w:rsidP="00177A9C">
            <w:pPr>
              <w:spacing w:line="48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&lt;65 </w:t>
            </w:r>
            <w:proofErr w:type="spellStart"/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≥65</w:t>
            </w:r>
          </w:p>
        </w:tc>
        <w:tc>
          <w:tcPr>
            <w:tcW w:w="1105" w:type="dxa"/>
          </w:tcPr>
          <w:p w:rsidR="006B0EA9" w:rsidRPr="00745498" w:rsidRDefault="006B0EA9" w:rsidP="00177A9C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1.420</w:t>
            </w:r>
          </w:p>
        </w:tc>
        <w:tc>
          <w:tcPr>
            <w:tcW w:w="2266" w:type="dxa"/>
          </w:tcPr>
          <w:p w:rsidR="006B0EA9" w:rsidRPr="00745498" w:rsidRDefault="006B0EA9" w:rsidP="00177A9C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0.836-2.414</w:t>
            </w:r>
          </w:p>
        </w:tc>
        <w:tc>
          <w:tcPr>
            <w:tcW w:w="1561" w:type="dxa"/>
          </w:tcPr>
          <w:p w:rsidR="006B0EA9" w:rsidRPr="00745498" w:rsidRDefault="006B0EA9" w:rsidP="00177A9C">
            <w:pPr>
              <w:spacing w:before="5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0.195</w:t>
            </w:r>
          </w:p>
        </w:tc>
      </w:tr>
      <w:tr w:rsidR="006B0EA9" w:rsidRPr="00745498" w:rsidTr="00177A9C">
        <w:trPr>
          <w:trHeight w:val="880"/>
        </w:trPr>
        <w:tc>
          <w:tcPr>
            <w:tcW w:w="4113" w:type="dxa"/>
          </w:tcPr>
          <w:p w:rsidR="006B0EA9" w:rsidRPr="00745498" w:rsidRDefault="006B0EA9" w:rsidP="00177A9C">
            <w:pPr>
              <w:spacing w:line="480" w:lineRule="auto"/>
              <w:ind w:left="110" w:right="200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ECOG</w:t>
            </w:r>
          </w:p>
          <w:p w:rsidR="006B0EA9" w:rsidRPr="00745498" w:rsidRDefault="006B0EA9" w:rsidP="00177A9C">
            <w:pPr>
              <w:spacing w:line="480" w:lineRule="auto"/>
              <w:ind w:left="110" w:right="20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 or 1vs2 or 3</w:t>
            </w:r>
          </w:p>
        </w:tc>
        <w:tc>
          <w:tcPr>
            <w:tcW w:w="1105" w:type="dxa"/>
          </w:tcPr>
          <w:p w:rsidR="006B0EA9" w:rsidRPr="00745498" w:rsidRDefault="006B0EA9" w:rsidP="00177A9C">
            <w:pPr>
              <w:spacing w:before="8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0.946</w:t>
            </w:r>
          </w:p>
        </w:tc>
        <w:tc>
          <w:tcPr>
            <w:tcW w:w="2266" w:type="dxa"/>
          </w:tcPr>
          <w:p w:rsidR="006B0EA9" w:rsidRPr="00745498" w:rsidRDefault="006B0EA9" w:rsidP="00177A9C">
            <w:pPr>
              <w:spacing w:before="8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0.670-1.336</w:t>
            </w:r>
          </w:p>
        </w:tc>
        <w:tc>
          <w:tcPr>
            <w:tcW w:w="1561" w:type="dxa"/>
          </w:tcPr>
          <w:p w:rsidR="006B0EA9" w:rsidRPr="00745498" w:rsidRDefault="006B0EA9" w:rsidP="00177A9C">
            <w:pPr>
              <w:spacing w:before="8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0.751</w:t>
            </w:r>
          </w:p>
        </w:tc>
      </w:tr>
      <w:tr w:rsidR="006B0EA9" w:rsidRPr="00745498" w:rsidTr="00177A9C">
        <w:trPr>
          <w:trHeight w:val="710"/>
        </w:trPr>
        <w:tc>
          <w:tcPr>
            <w:tcW w:w="4113" w:type="dxa"/>
          </w:tcPr>
          <w:p w:rsidR="006B0EA9" w:rsidRPr="00745498" w:rsidRDefault="006B0EA9" w:rsidP="00177A9C">
            <w:pPr>
              <w:spacing w:line="48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Gender</w:t>
            </w:r>
          </w:p>
          <w:p w:rsidR="006B0EA9" w:rsidRPr="00745498" w:rsidRDefault="006B0EA9" w:rsidP="00177A9C">
            <w:pPr>
              <w:spacing w:line="48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Femalevsmen</w:t>
            </w:r>
            <w:proofErr w:type="spellEnd"/>
          </w:p>
        </w:tc>
        <w:tc>
          <w:tcPr>
            <w:tcW w:w="1105" w:type="dxa"/>
          </w:tcPr>
          <w:p w:rsidR="006B0EA9" w:rsidRPr="00745498" w:rsidRDefault="006B0EA9" w:rsidP="00177A9C">
            <w:pPr>
              <w:spacing w:before="3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0.860</w:t>
            </w:r>
          </w:p>
        </w:tc>
        <w:tc>
          <w:tcPr>
            <w:tcW w:w="2266" w:type="dxa"/>
          </w:tcPr>
          <w:p w:rsidR="006B0EA9" w:rsidRPr="00745498" w:rsidRDefault="006B0EA9" w:rsidP="00177A9C">
            <w:pPr>
              <w:spacing w:before="3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0.488-1.515</w:t>
            </w:r>
          </w:p>
        </w:tc>
        <w:tc>
          <w:tcPr>
            <w:tcW w:w="1561" w:type="dxa"/>
          </w:tcPr>
          <w:p w:rsidR="006B0EA9" w:rsidRPr="00745498" w:rsidRDefault="006B0EA9" w:rsidP="00177A9C">
            <w:pPr>
              <w:spacing w:before="3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0.602</w:t>
            </w:r>
          </w:p>
        </w:tc>
      </w:tr>
      <w:tr w:rsidR="006B0EA9" w:rsidRPr="00745498" w:rsidTr="00177A9C">
        <w:trPr>
          <w:trHeight w:val="710"/>
        </w:trPr>
        <w:tc>
          <w:tcPr>
            <w:tcW w:w="4113" w:type="dxa"/>
          </w:tcPr>
          <w:p w:rsidR="006B0EA9" w:rsidRPr="00745498" w:rsidRDefault="006B0EA9" w:rsidP="00177A9C">
            <w:pPr>
              <w:spacing w:line="48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Liver metastasis</w:t>
            </w:r>
          </w:p>
          <w:p w:rsidR="006B0EA9" w:rsidRPr="00745498" w:rsidRDefault="006B0EA9" w:rsidP="00177A9C">
            <w:pPr>
              <w:spacing w:line="48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presentvsnone</w:t>
            </w:r>
            <w:proofErr w:type="spellEnd"/>
          </w:p>
        </w:tc>
        <w:tc>
          <w:tcPr>
            <w:tcW w:w="1105" w:type="dxa"/>
          </w:tcPr>
          <w:p w:rsidR="006B0EA9" w:rsidRPr="00745498" w:rsidRDefault="006B0EA9" w:rsidP="00177A9C">
            <w:pPr>
              <w:spacing w:before="3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1.023</w:t>
            </w:r>
          </w:p>
        </w:tc>
        <w:tc>
          <w:tcPr>
            <w:tcW w:w="2266" w:type="dxa"/>
          </w:tcPr>
          <w:p w:rsidR="006B0EA9" w:rsidRPr="00745498" w:rsidRDefault="006B0EA9" w:rsidP="00177A9C">
            <w:pPr>
              <w:spacing w:before="3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0.527-1.986</w:t>
            </w:r>
          </w:p>
        </w:tc>
        <w:tc>
          <w:tcPr>
            <w:tcW w:w="1561" w:type="dxa"/>
          </w:tcPr>
          <w:p w:rsidR="006B0EA9" w:rsidRPr="00745498" w:rsidRDefault="006B0EA9" w:rsidP="00177A9C">
            <w:pPr>
              <w:spacing w:before="3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0.946</w:t>
            </w:r>
          </w:p>
        </w:tc>
      </w:tr>
      <w:tr w:rsidR="006B0EA9" w:rsidRPr="00745498" w:rsidTr="00177A9C">
        <w:trPr>
          <w:trHeight w:val="710"/>
        </w:trPr>
        <w:tc>
          <w:tcPr>
            <w:tcW w:w="4113" w:type="dxa"/>
          </w:tcPr>
          <w:p w:rsidR="006B0EA9" w:rsidRPr="00745498" w:rsidRDefault="006B0EA9" w:rsidP="00177A9C">
            <w:pPr>
              <w:spacing w:line="48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KRAS mutation </w:t>
            </w:r>
          </w:p>
          <w:p w:rsidR="006B0EA9" w:rsidRPr="00745498" w:rsidRDefault="006B0EA9" w:rsidP="00177A9C">
            <w:pPr>
              <w:spacing w:line="48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Mutantvs</w:t>
            </w:r>
            <w:proofErr w:type="spellEnd"/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wild</w:t>
            </w:r>
          </w:p>
        </w:tc>
        <w:tc>
          <w:tcPr>
            <w:tcW w:w="1105" w:type="dxa"/>
          </w:tcPr>
          <w:p w:rsidR="006B0EA9" w:rsidRPr="00745498" w:rsidRDefault="006B0EA9" w:rsidP="00177A9C">
            <w:pPr>
              <w:spacing w:before="3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1.061</w:t>
            </w:r>
          </w:p>
        </w:tc>
        <w:tc>
          <w:tcPr>
            <w:tcW w:w="2266" w:type="dxa"/>
          </w:tcPr>
          <w:p w:rsidR="006B0EA9" w:rsidRPr="00745498" w:rsidRDefault="006B0EA9" w:rsidP="00177A9C">
            <w:pPr>
              <w:spacing w:before="3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0.626-1.798</w:t>
            </w:r>
          </w:p>
        </w:tc>
        <w:tc>
          <w:tcPr>
            <w:tcW w:w="1561" w:type="dxa"/>
          </w:tcPr>
          <w:p w:rsidR="006B0EA9" w:rsidRPr="00745498" w:rsidRDefault="006B0EA9" w:rsidP="00177A9C">
            <w:pPr>
              <w:spacing w:before="3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0.827</w:t>
            </w:r>
          </w:p>
        </w:tc>
      </w:tr>
      <w:tr w:rsidR="006B0EA9" w:rsidRPr="00745498" w:rsidTr="00177A9C">
        <w:trPr>
          <w:trHeight w:val="705"/>
        </w:trPr>
        <w:tc>
          <w:tcPr>
            <w:tcW w:w="4113" w:type="dxa"/>
          </w:tcPr>
          <w:p w:rsidR="006B0EA9" w:rsidRPr="00745498" w:rsidRDefault="006B0EA9" w:rsidP="00177A9C">
            <w:pPr>
              <w:spacing w:line="48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CEA</w:t>
            </w:r>
          </w:p>
          <w:p w:rsidR="006B0EA9" w:rsidRPr="00745498" w:rsidRDefault="006B0EA9" w:rsidP="00177A9C">
            <w:pPr>
              <w:spacing w:line="48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&lt;5 </w:t>
            </w:r>
            <w:proofErr w:type="spellStart"/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≥5</w:t>
            </w:r>
          </w:p>
        </w:tc>
        <w:tc>
          <w:tcPr>
            <w:tcW w:w="1105" w:type="dxa"/>
          </w:tcPr>
          <w:p w:rsidR="006B0EA9" w:rsidRPr="00745498" w:rsidRDefault="006B0EA9" w:rsidP="00177A9C">
            <w:pPr>
              <w:spacing w:before="9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before="1"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1.526</w:t>
            </w:r>
          </w:p>
        </w:tc>
        <w:tc>
          <w:tcPr>
            <w:tcW w:w="2266" w:type="dxa"/>
          </w:tcPr>
          <w:p w:rsidR="006B0EA9" w:rsidRPr="00745498" w:rsidRDefault="006B0EA9" w:rsidP="00177A9C">
            <w:pPr>
              <w:spacing w:before="9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before="1"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0.847-2.744</w:t>
            </w:r>
          </w:p>
        </w:tc>
        <w:tc>
          <w:tcPr>
            <w:tcW w:w="1561" w:type="dxa"/>
          </w:tcPr>
          <w:p w:rsidR="006B0EA9" w:rsidRPr="00745498" w:rsidRDefault="006B0EA9" w:rsidP="00177A9C">
            <w:pPr>
              <w:spacing w:before="9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before="1"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0.159</w:t>
            </w:r>
          </w:p>
        </w:tc>
      </w:tr>
      <w:tr w:rsidR="006B0EA9" w:rsidRPr="00745498" w:rsidTr="00177A9C">
        <w:trPr>
          <w:trHeight w:val="710"/>
        </w:trPr>
        <w:tc>
          <w:tcPr>
            <w:tcW w:w="4113" w:type="dxa"/>
          </w:tcPr>
          <w:p w:rsidR="006B0EA9" w:rsidRPr="00745498" w:rsidRDefault="006B0EA9" w:rsidP="00177A9C">
            <w:pPr>
              <w:spacing w:line="48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Tumor localization </w:t>
            </w:r>
          </w:p>
          <w:p w:rsidR="006B0EA9" w:rsidRPr="00745498" w:rsidRDefault="006B0EA9" w:rsidP="00177A9C">
            <w:pPr>
              <w:spacing w:line="480" w:lineRule="auto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Right </w:t>
            </w:r>
            <w:proofErr w:type="spellStart"/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vsleft</w:t>
            </w:r>
            <w:proofErr w:type="spellEnd"/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-sided </w:t>
            </w:r>
          </w:p>
        </w:tc>
        <w:tc>
          <w:tcPr>
            <w:tcW w:w="1105" w:type="dxa"/>
          </w:tcPr>
          <w:p w:rsidR="006B0EA9" w:rsidRPr="00745498" w:rsidRDefault="006B0EA9" w:rsidP="00177A9C">
            <w:pPr>
              <w:spacing w:before="3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1.227</w:t>
            </w:r>
          </w:p>
        </w:tc>
        <w:tc>
          <w:tcPr>
            <w:tcW w:w="2266" w:type="dxa"/>
          </w:tcPr>
          <w:p w:rsidR="006B0EA9" w:rsidRPr="00745498" w:rsidRDefault="006B0EA9" w:rsidP="00177A9C">
            <w:pPr>
              <w:spacing w:before="3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0.657-2.291</w:t>
            </w:r>
          </w:p>
        </w:tc>
        <w:tc>
          <w:tcPr>
            <w:tcW w:w="1561" w:type="dxa"/>
          </w:tcPr>
          <w:p w:rsidR="006B0EA9" w:rsidRPr="00745498" w:rsidRDefault="006B0EA9" w:rsidP="00177A9C">
            <w:pPr>
              <w:spacing w:before="3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0EA9" w:rsidRPr="00745498" w:rsidRDefault="006B0EA9" w:rsidP="00177A9C">
            <w:pPr>
              <w:spacing w:line="480" w:lineRule="auto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498">
              <w:rPr>
                <w:rFonts w:ascii="Times New Roman" w:eastAsia="Times New Roman" w:hAnsi="Times New Roman" w:cs="Times New Roman"/>
                <w:sz w:val="24"/>
                <w:szCs w:val="24"/>
              </w:rPr>
              <w:t>0.520</w:t>
            </w:r>
          </w:p>
        </w:tc>
      </w:tr>
    </w:tbl>
    <w:p w:rsidR="006B0EA9" w:rsidRPr="00745498" w:rsidRDefault="006B0EA9" w:rsidP="006B0EA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B0EA9" w:rsidRPr="00745498" w:rsidRDefault="006B0EA9" w:rsidP="006B0EA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45498">
        <w:rPr>
          <w:rFonts w:ascii="Times New Roman" w:hAnsi="Times New Roman" w:cs="Times New Roman"/>
          <w:sz w:val="24"/>
          <w:szCs w:val="24"/>
          <w:lang w:val="en-US"/>
        </w:rPr>
        <w:t xml:space="preserve">CEA: </w:t>
      </w:r>
      <w:proofErr w:type="spellStart"/>
      <w:r w:rsidRPr="00745498">
        <w:rPr>
          <w:rFonts w:ascii="Times New Roman" w:hAnsi="Times New Roman" w:cs="Times New Roman"/>
          <w:sz w:val="24"/>
          <w:szCs w:val="24"/>
          <w:lang w:val="en-US"/>
        </w:rPr>
        <w:t>Carcinoembryonic</w:t>
      </w:r>
      <w:proofErr w:type="spellEnd"/>
      <w:r w:rsidRPr="00745498">
        <w:rPr>
          <w:rFonts w:ascii="Times New Roman" w:hAnsi="Times New Roman" w:cs="Times New Roman"/>
          <w:sz w:val="24"/>
          <w:szCs w:val="24"/>
          <w:lang w:val="en-US"/>
        </w:rPr>
        <w:t xml:space="preserve"> antigen, ECOG: Eastern Cooperative Oncology Group performance status, KRAS: Kirsten rat sarcoma viral </w:t>
      </w:r>
      <w:proofErr w:type="spellStart"/>
      <w:r w:rsidRPr="00745498">
        <w:rPr>
          <w:rFonts w:ascii="Times New Roman" w:hAnsi="Times New Roman" w:cs="Times New Roman"/>
          <w:sz w:val="24"/>
          <w:szCs w:val="24"/>
          <w:lang w:val="en-US"/>
        </w:rPr>
        <w:t>oncogene</w:t>
      </w:r>
      <w:proofErr w:type="spellEnd"/>
      <w:r w:rsidRPr="00745498">
        <w:rPr>
          <w:rFonts w:ascii="Times New Roman" w:hAnsi="Times New Roman" w:cs="Times New Roman"/>
          <w:sz w:val="24"/>
          <w:szCs w:val="24"/>
          <w:lang w:val="en-US"/>
        </w:rPr>
        <w:t xml:space="preserve"> homolog</w:t>
      </w:r>
    </w:p>
    <w:p w:rsidR="006B0EA9" w:rsidRDefault="006B0EA9" w:rsidP="006B0EA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0EA9" w:rsidRDefault="006B0EA9" w:rsidP="006B0EA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0EA9" w:rsidRDefault="006B0EA9" w:rsidP="006B0EA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0EA9" w:rsidRDefault="006B0EA9" w:rsidP="006B0EA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0EA9" w:rsidRDefault="006B0EA9" w:rsidP="006B0EA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2B15" w:rsidRDefault="00EC2B15"/>
    <w:sectPr w:rsidR="00EC2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B0EA9"/>
    <w:rsid w:val="006B0EA9"/>
    <w:rsid w:val="00EC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E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0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6B0EA9"/>
    <w:pPr>
      <w:spacing w:line="240" w:lineRule="auto"/>
    </w:pPr>
    <w:rPr>
      <w:rFonts w:ascii="Calibri" w:eastAsiaTheme="minorHAnsi" w:hAnsi="Calibri" w:cs="Calibri"/>
      <w:noProof/>
      <w:lang w:val="en-US" w:eastAsia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6B0EA9"/>
    <w:rPr>
      <w:rFonts w:ascii="Calibri" w:eastAsiaTheme="minorHAnsi" w:hAnsi="Calibri" w:cs="Calibri"/>
      <w:noProof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</dc:creator>
  <cp:keywords/>
  <dc:description/>
  <cp:lastModifiedBy>DOGAN</cp:lastModifiedBy>
  <cp:revision>2</cp:revision>
  <dcterms:created xsi:type="dcterms:W3CDTF">2024-12-16T09:49:00Z</dcterms:created>
  <dcterms:modified xsi:type="dcterms:W3CDTF">2024-12-16T09:49:00Z</dcterms:modified>
</cp:coreProperties>
</file>