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480F1" w14:textId="31A1390C" w:rsidR="00AD4D6F" w:rsidRPr="009D212A" w:rsidRDefault="00AD4D6F" w:rsidP="00AD4D6F">
      <w:pPr>
        <w:spacing w:line="360" w:lineRule="auto"/>
        <w:rPr>
          <w:rFonts w:ascii="Times New Roman" w:eastAsia="Times New Roman" w:hAnsi="Times New Roman" w:cs="Times New Roman"/>
          <w:b/>
          <w:sz w:val="24"/>
          <w:szCs w:val="24"/>
          <w:lang w:eastAsia="pl-PL"/>
        </w:rPr>
      </w:pPr>
      <w:r w:rsidRPr="009D212A">
        <w:rPr>
          <w:rFonts w:ascii="Times New Roman" w:eastAsia="Times New Roman" w:hAnsi="Times New Roman" w:cs="Times New Roman"/>
          <w:b/>
          <w:sz w:val="24"/>
          <w:szCs w:val="24"/>
          <w:lang w:eastAsia="pl-PL"/>
        </w:rPr>
        <w:t>von Hippel-Lindau syndrome  - of the urologist and oncologist perspective;  literature review</w:t>
      </w:r>
    </w:p>
    <w:p w14:paraId="753CCC1E" w14:textId="664DE970" w:rsidR="00EA2233" w:rsidRPr="009D212A" w:rsidRDefault="00EA2233" w:rsidP="00CB2913">
      <w:pPr>
        <w:spacing w:line="360" w:lineRule="auto"/>
        <w:jc w:val="both"/>
        <w:rPr>
          <w:rFonts w:ascii="Times New Roman" w:eastAsia="Times New Roman" w:hAnsi="Times New Roman" w:cs="Times New Roman"/>
          <w:b/>
          <w:sz w:val="24"/>
          <w:szCs w:val="24"/>
          <w:lang w:eastAsia="pl-PL"/>
        </w:rPr>
      </w:pPr>
      <w:r w:rsidRPr="009D212A">
        <w:rPr>
          <w:rFonts w:ascii="Times New Roman" w:eastAsia="Times New Roman" w:hAnsi="Times New Roman" w:cs="Times New Roman"/>
          <w:b/>
          <w:sz w:val="24"/>
          <w:szCs w:val="24"/>
          <w:lang w:eastAsia="pl-PL"/>
        </w:rPr>
        <w:t>Krzysztof Kowalik</w:t>
      </w:r>
      <w:r w:rsidRPr="009D212A">
        <w:rPr>
          <w:rFonts w:ascii="Times New Roman" w:eastAsia="Times New Roman" w:hAnsi="Times New Roman" w:cs="Times New Roman"/>
          <w:b/>
          <w:sz w:val="24"/>
          <w:szCs w:val="24"/>
          <w:vertAlign w:val="superscript"/>
          <w:lang w:eastAsia="pl-PL"/>
        </w:rPr>
        <w:t>1</w:t>
      </w:r>
      <w:r w:rsidR="005F7A2A" w:rsidRPr="009D212A">
        <w:rPr>
          <w:rFonts w:ascii="Times New Roman" w:eastAsia="Times New Roman" w:hAnsi="Times New Roman" w:cs="Times New Roman"/>
          <w:b/>
          <w:sz w:val="24"/>
          <w:szCs w:val="24"/>
          <w:lang w:eastAsia="pl-PL"/>
        </w:rPr>
        <w:t>, Paweł Narożnicki</w:t>
      </w:r>
      <w:r w:rsidR="005F7A2A" w:rsidRPr="009D212A">
        <w:rPr>
          <w:rFonts w:ascii="Times New Roman" w:eastAsia="Times New Roman" w:hAnsi="Times New Roman" w:cs="Times New Roman"/>
          <w:b/>
          <w:sz w:val="24"/>
          <w:szCs w:val="24"/>
          <w:vertAlign w:val="superscript"/>
          <w:lang w:eastAsia="pl-PL"/>
        </w:rPr>
        <w:t>2</w:t>
      </w:r>
      <w:r w:rsidR="005F7A2A" w:rsidRPr="009D212A">
        <w:rPr>
          <w:rFonts w:ascii="Times New Roman" w:eastAsia="Times New Roman" w:hAnsi="Times New Roman" w:cs="Times New Roman"/>
          <w:b/>
          <w:sz w:val="24"/>
          <w:szCs w:val="24"/>
          <w:lang w:eastAsia="pl-PL"/>
        </w:rPr>
        <w:t>,</w:t>
      </w:r>
      <w:r w:rsidR="00F30B77" w:rsidRPr="009D212A">
        <w:rPr>
          <w:rFonts w:ascii="Times New Roman" w:eastAsia="Times New Roman" w:hAnsi="Times New Roman" w:cs="Times New Roman"/>
          <w:b/>
          <w:sz w:val="24"/>
          <w:szCs w:val="24"/>
          <w:lang w:eastAsia="pl-PL"/>
        </w:rPr>
        <w:t>Katarzyna Hetman</w:t>
      </w:r>
      <w:r w:rsidR="00F30B77" w:rsidRPr="009D212A">
        <w:rPr>
          <w:rFonts w:ascii="Times New Roman" w:eastAsia="Times New Roman" w:hAnsi="Times New Roman" w:cs="Times New Roman"/>
          <w:b/>
          <w:sz w:val="24"/>
          <w:szCs w:val="24"/>
          <w:vertAlign w:val="superscript"/>
          <w:lang w:eastAsia="pl-PL"/>
        </w:rPr>
        <w:t>3</w:t>
      </w:r>
      <w:r w:rsidR="00F30B77" w:rsidRPr="009D212A">
        <w:rPr>
          <w:rFonts w:ascii="Times New Roman" w:eastAsia="Times New Roman" w:hAnsi="Times New Roman" w:cs="Times New Roman"/>
          <w:b/>
          <w:sz w:val="24"/>
          <w:szCs w:val="24"/>
          <w:lang w:eastAsia="pl-PL"/>
        </w:rPr>
        <w:t>,</w:t>
      </w:r>
      <w:r w:rsidR="00AE084F" w:rsidRPr="009D212A">
        <w:rPr>
          <w:rFonts w:ascii="Times New Roman" w:eastAsia="Times New Roman" w:hAnsi="Times New Roman" w:cs="Times New Roman"/>
          <w:b/>
          <w:sz w:val="24"/>
          <w:szCs w:val="24"/>
          <w:lang w:eastAsia="pl-PL"/>
        </w:rPr>
        <w:t xml:space="preserve"> Artur Smogór</w:t>
      </w:r>
      <w:r w:rsidR="00F30B77" w:rsidRPr="009D212A">
        <w:rPr>
          <w:rFonts w:ascii="Times New Roman" w:eastAsia="Times New Roman" w:hAnsi="Times New Roman" w:cs="Times New Roman"/>
          <w:b/>
          <w:sz w:val="24"/>
          <w:szCs w:val="24"/>
          <w:vertAlign w:val="superscript"/>
          <w:lang w:eastAsia="pl-PL"/>
        </w:rPr>
        <w:t>4</w:t>
      </w:r>
      <w:r w:rsidR="00AE084F" w:rsidRPr="009D212A">
        <w:rPr>
          <w:rFonts w:ascii="Times New Roman" w:eastAsia="Times New Roman" w:hAnsi="Times New Roman" w:cs="Times New Roman"/>
          <w:b/>
          <w:sz w:val="24"/>
          <w:szCs w:val="24"/>
          <w:lang w:eastAsia="pl-PL"/>
        </w:rPr>
        <w:t>,</w:t>
      </w:r>
      <w:r w:rsidR="005F7A2A" w:rsidRPr="009D212A">
        <w:rPr>
          <w:rFonts w:ascii="Times New Roman" w:eastAsia="Times New Roman" w:hAnsi="Times New Roman" w:cs="Times New Roman"/>
          <w:b/>
          <w:sz w:val="24"/>
          <w:szCs w:val="24"/>
          <w:lang w:eastAsia="pl-PL"/>
        </w:rPr>
        <w:t xml:space="preserve"> </w:t>
      </w:r>
      <w:r w:rsidR="009902E7" w:rsidRPr="009D212A">
        <w:rPr>
          <w:rFonts w:ascii="Times New Roman" w:eastAsia="Times New Roman" w:hAnsi="Times New Roman" w:cs="Times New Roman"/>
          <w:b/>
          <w:sz w:val="24"/>
          <w:szCs w:val="24"/>
          <w:lang w:eastAsia="pl-PL"/>
        </w:rPr>
        <w:t>Katarzyna Kołaczyk</w:t>
      </w:r>
      <w:r w:rsidR="00F30B77" w:rsidRPr="009D212A">
        <w:rPr>
          <w:rFonts w:ascii="Times New Roman" w:eastAsia="Times New Roman" w:hAnsi="Times New Roman" w:cs="Times New Roman"/>
          <w:b/>
          <w:sz w:val="24"/>
          <w:szCs w:val="24"/>
          <w:vertAlign w:val="superscript"/>
          <w:lang w:eastAsia="pl-PL"/>
        </w:rPr>
        <w:t>5</w:t>
      </w:r>
      <w:r w:rsidR="009902E7" w:rsidRPr="009D212A">
        <w:rPr>
          <w:rFonts w:ascii="Times New Roman" w:eastAsia="Times New Roman" w:hAnsi="Times New Roman" w:cs="Times New Roman"/>
          <w:b/>
          <w:sz w:val="24"/>
          <w:szCs w:val="24"/>
          <w:lang w:eastAsia="pl-PL"/>
        </w:rPr>
        <w:t>,</w:t>
      </w:r>
      <w:r w:rsidR="00372F45" w:rsidRPr="009D212A">
        <w:rPr>
          <w:rFonts w:ascii="Times New Roman" w:eastAsia="Times New Roman" w:hAnsi="Times New Roman" w:cs="Times New Roman"/>
          <w:b/>
          <w:sz w:val="24"/>
          <w:szCs w:val="24"/>
          <w:lang w:eastAsia="pl-PL"/>
        </w:rPr>
        <w:t xml:space="preserve"> Krystian Kasperowicz</w:t>
      </w:r>
      <w:r w:rsidR="00372F45" w:rsidRPr="009D212A">
        <w:rPr>
          <w:rFonts w:ascii="Times New Roman" w:eastAsia="Times New Roman" w:hAnsi="Times New Roman" w:cs="Times New Roman"/>
          <w:b/>
          <w:sz w:val="24"/>
          <w:szCs w:val="24"/>
          <w:vertAlign w:val="superscript"/>
          <w:lang w:eastAsia="pl-PL"/>
        </w:rPr>
        <w:t>6</w:t>
      </w:r>
      <w:r w:rsidR="00372F45" w:rsidRPr="009D212A">
        <w:rPr>
          <w:rFonts w:ascii="Times New Roman" w:eastAsia="Times New Roman" w:hAnsi="Times New Roman" w:cs="Times New Roman"/>
          <w:b/>
          <w:sz w:val="24"/>
          <w:szCs w:val="24"/>
          <w:lang w:eastAsia="pl-PL"/>
        </w:rPr>
        <w:t>,</w:t>
      </w:r>
      <w:r w:rsidR="004619F6" w:rsidRPr="009D212A">
        <w:rPr>
          <w:rFonts w:ascii="Times New Roman" w:eastAsia="Times New Roman" w:hAnsi="Times New Roman" w:cs="Times New Roman"/>
          <w:b/>
          <w:sz w:val="24"/>
          <w:szCs w:val="24"/>
          <w:lang w:eastAsia="pl-PL"/>
        </w:rPr>
        <w:t>Anna Gruszczyńska</w:t>
      </w:r>
      <w:r w:rsidR="004619F6" w:rsidRPr="009D212A">
        <w:rPr>
          <w:rFonts w:ascii="Times New Roman" w:eastAsia="Times New Roman" w:hAnsi="Times New Roman" w:cs="Times New Roman"/>
          <w:b/>
          <w:sz w:val="24"/>
          <w:szCs w:val="24"/>
          <w:vertAlign w:val="superscript"/>
          <w:lang w:eastAsia="pl-PL"/>
        </w:rPr>
        <w:t>7</w:t>
      </w:r>
      <w:r w:rsidR="00CB2913" w:rsidRPr="009D212A">
        <w:rPr>
          <w:rFonts w:ascii="Times New Roman" w:eastAsia="Times New Roman" w:hAnsi="Times New Roman" w:cs="Times New Roman"/>
          <w:b/>
          <w:sz w:val="24"/>
          <w:szCs w:val="24"/>
          <w:lang w:eastAsia="pl-PL"/>
        </w:rPr>
        <w:t xml:space="preserve"> Grażyna Dutkiewicz</w:t>
      </w:r>
      <w:r w:rsidR="004619F6" w:rsidRPr="009D212A">
        <w:rPr>
          <w:rFonts w:ascii="Times New Roman" w:eastAsia="Times New Roman" w:hAnsi="Times New Roman" w:cs="Times New Roman"/>
          <w:b/>
          <w:sz w:val="24"/>
          <w:szCs w:val="24"/>
          <w:vertAlign w:val="superscript"/>
          <w:lang w:eastAsia="pl-PL"/>
        </w:rPr>
        <w:t>8</w:t>
      </w:r>
      <w:r w:rsidR="00CB2913" w:rsidRPr="009D212A">
        <w:rPr>
          <w:rFonts w:ascii="Times New Roman" w:eastAsia="Times New Roman" w:hAnsi="Times New Roman" w:cs="Times New Roman"/>
          <w:b/>
          <w:sz w:val="24"/>
          <w:szCs w:val="24"/>
          <w:lang w:eastAsia="pl-PL"/>
        </w:rPr>
        <w:t>,</w:t>
      </w:r>
      <w:r w:rsidR="009902E7" w:rsidRPr="009D212A">
        <w:rPr>
          <w:rFonts w:ascii="Times New Roman" w:eastAsia="Times New Roman" w:hAnsi="Times New Roman" w:cs="Times New Roman"/>
          <w:b/>
          <w:sz w:val="24"/>
          <w:szCs w:val="24"/>
          <w:lang w:eastAsia="pl-PL"/>
        </w:rPr>
        <w:t xml:space="preserve"> </w:t>
      </w:r>
      <w:r w:rsidR="005F7A2A" w:rsidRPr="009D212A">
        <w:rPr>
          <w:rFonts w:ascii="Times New Roman" w:eastAsia="Times New Roman" w:hAnsi="Times New Roman" w:cs="Times New Roman"/>
          <w:b/>
          <w:sz w:val="24"/>
          <w:szCs w:val="24"/>
          <w:lang w:eastAsia="pl-PL"/>
        </w:rPr>
        <w:t>Andrzej Modrzejewski</w:t>
      </w:r>
      <w:r w:rsidR="005F7A2A" w:rsidRPr="009D212A">
        <w:rPr>
          <w:rFonts w:ascii="Times New Roman" w:eastAsia="Times New Roman" w:hAnsi="Times New Roman" w:cs="Times New Roman"/>
          <w:b/>
          <w:sz w:val="24"/>
          <w:szCs w:val="24"/>
          <w:vertAlign w:val="superscript"/>
          <w:lang w:eastAsia="pl-PL"/>
        </w:rPr>
        <w:t>1</w:t>
      </w:r>
    </w:p>
    <w:p w14:paraId="61BEE5B6" w14:textId="49E27805" w:rsidR="00EA2233" w:rsidRPr="009D212A" w:rsidRDefault="00EA2233" w:rsidP="00CB2913">
      <w:pPr>
        <w:spacing w:before="160" w:line="360" w:lineRule="auto"/>
        <w:rPr>
          <w:rFonts w:ascii="Times New Roman" w:eastAsiaTheme="minorEastAsia" w:hAnsi="Times New Roman" w:cs="Times New Roman"/>
          <w:sz w:val="24"/>
          <w:szCs w:val="24"/>
        </w:rPr>
      </w:pPr>
      <w:r w:rsidRPr="009D212A">
        <w:rPr>
          <w:rFonts w:ascii="Times New Roman" w:eastAsiaTheme="minorEastAsia" w:hAnsi="Times New Roman" w:cs="Times New Roman"/>
          <w:sz w:val="24"/>
          <w:szCs w:val="24"/>
          <w:vertAlign w:val="superscript"/>
        </w:rPr>
        <w:t xml:space="preserve">1 </w:t>
      </w:r>
      <w:r w:rsidR="00BD6432" w:rsidRPr="009D212A">
        <w:rPr>
          <w:rFonts w:ascii="Times New Roman" w:eastAsiaTheme="minorEastAsia" w:hAnsi="Times New Roman" w:cs="Times New Roman"/>
          <w:sz w:val="24"/>
          <w:szCs w:val="24"/>
        </w:rPr>
        <w:t>Clinical Department of General Surgery of the Pomeranian Medical University, Szczecin, Poland</w:t>
      </w:r>
      <w:r w:rsidRPr="009D212A">
        <w:rPr>
          <w:rFonts w:ascii="Times New Roman" w:eastAsiaTheme="minorEastAsia" w:hAnsi="Times New Roman" w:cs="Times New Roman"/>
          <w:sz w:val="24"/>
          <w:szCs w:val="24"/>
        </w:rPr>
        <w:br/>
      </w:r>
      <w:r w:rsidR="00BD6432" w:rsidRPr="009D212A">
        <w:rPr>
          <w:rFonts w:ascii="Times New Roman" w:eastAsiaTheme="minorEastAsia" w:hAnsi="Times New Roman" w:cs="Times New Roman"/>
          <w:sz w:val="24"/>
          <w:szCs w:val="24"/>
        </w:rPr>
        <w:t xml:space="preserve">Head: prof. </w:t>
      </w:r>
      <w:r w:rsidRPr="009D212A">
        <w:rPr>
          <w:rFonts w:ascii="Times New Roman" w:eastAsiaTheme="minorEastAsia" w:hAnsi="Times New Roman" w:cs="Times New Roman"/>
          <w:sz w:val="24"/>
          <w:szCs w:val="24"/>
        </w:rPr>
        <w:t>Andrzej Modrzejewski</w:t>
      </w:r>
      <w:r w:rsidR="00BD6432" w:rsidRPr="009D212A">
        <w:rPr>
          <w:rFonts w:ascii="Times New Roman" w:eastAsiaTheme="minorEastAsia" w:hAnsi="Times New Roman" w:cs="Times New Roman"/>
          <w:sz w:val="24"/>
          <w:szCs w:val="24"/>
        </w:rPr>
        <w:t xml:space="preserve">, MD, PhD </w:t>
      </w:r>
    </w:p>
    <w:p w14:paraId="69AD59DE" w14:textId="03BF49FD" w:rsidR="00F30B77" w:rsidRPr="009D212A" w:rsidRDefault="00BD6432" w:rsidP="00CB2913">
      <w:pPr>
        <w:spacing w:line="360" w:lineRule="auto"/>
        <w:rPr>
          <w:rFonts w:ascii="Times New Roman" w:eastAsia="Calibri" w:hAnsi="Times New Roman" w:cs="Times New Roman"/>
          <w:sz w:val="24"/>
          <w:szCs w:val="24"/>
        </w:rPr>
      </w:pPr>
      <w:r w:rsidRPr="009D212A">
        <w:rPr>
          <w:rFonts w:ascii="Times New Roman" w:eastAsiaTheme="minorEastAsia" w:hAnsi="Times New Roman" w:cs="Times New Roman"/>
          <w:sz w:val="24"/>
          <w:szCs w:val="24"/>
          <w:vertAlign w:val="superscript"/>
        </w:rPr>
        <w:t>2</w:t>
      </w:r>
      <w:r w:rsidRPr="009D212A">
        <w:rPr>
          <w:rFonts w:ascii="Times New Roman" w:eastAsiaTheme="minorEastAsia" w:hAnsi="Times New Roman" w:cs="Times New Roman"/>
          <w:sz w:val="24"/>
          <w:szCs w:val="24"/>
        </w:rPr>
        <w:t>Medical Faculty, Collegium of Military Medicine, Faculty of Medicine, Medical University of Łódź, Poland</w:t>
      </w:r>
    </w:p>
    <w:p w14:paraId="3C5E4E78" w14:textId="33EF4C47" w:rsidR="001805C7" w:rsidRPr="009D212A" w:rsidRDefault="00F30B77" w:rsidP="00CB2913">
      <w:pPr>
        <w:spacing w:line="360" w:lineRule="auto"/>
        <w:rPr>
          <w:rFonts w:ascii="Times New Roman" w:eastAsia="Calibri" w:hAnsi="Times New Roman" w:cs="Times New Roman"/>
          <w:sz w:val="24"/>
          <w:szCs w:val="24"/>
        </w:rPr>
      </w:pPr>
      <w:r w:rsidRPr="009D212A">
        <w:rPr>
          <w:rFonts w:ascii="Times New Roman" w:eastAsiaTheme="minorEastAsia" w:hAnsi="Times New Roman" w:cs="Times New Roman"/>
          <w:sz w:val="24"/>
          <w:szCs w:val="24"/>
          <w:vertAlign w:val="superscript"/>
        </w:rPr>
        <w:t>3</w:t>
      </w:r>
      <w:r w:rsidR="00BD6432" w:rsidRPr="009D212A">
        <w:rPr>
          <w:rFonts w:ascii="Times New Roman" w:eastAsiaTheme="minorEastAsia" w:hAnsi="Times New Roman" w:cs="Times New Roman"/>
          <w:sz w:val="24"/>
          <w:szCs w:val="24"/>
        </w:rPr>
        <w:t>Department of Clinical Oncology West Pomeranian Oncology Center, Szczecin, Poland</w:t>
      </w:r>
      <w:r w:rsidRPr="009D212A">
        <w:rPr>
          <w:rFonts w:ascii="Times New Roman" w:eastAsiaTheme="minorEastAsia" w:hAnsi="Times New Roman" w:cs="Times New Roman"/>
          <w:sz w:val="24"/>
          <w:szCs w:val="24"/>
        </w:rPr>
        <w:br/>
      </w:r>
      <w:r w:rsidR="001805C7" w:rsidRPr="009D212A">
        <w:rPr>
          <w:rFonts w:ascii="Times New Roman" w:eastAsiaTheme="minorEastAsia" w:hAnsi="Times New Roman" w:cs="Times New Roman"/>
          <w:sz w:val="24"/>
          <w:szCs w:val="24"/>
        </w:rPr>
        <w:t xml:space="preserve">Head: </w:t>
      </w:r>
      <w:r w:rsidR="00EE2FCC" w:rsidRPr="009D212A">
        <w:rPr>
          <w:rFonts w:ascii="Times New Roman" w:eastAsiaTheme="minorEastAsia" w:hAnsi="Times New Roman" w:cs="Times New Roman"/>
          <w:sz w:val="24"/>
          <w:szCs w:val="24"/>
        </w:rPr>
        <w:t>Roman Dubiański</w:t>
      </w:r>
      <w:r w:rsidR="001805C7" w:rsidRPr="009D212A">
        <w:rPr>
          <w:rFonts w:ascii="Times New Roman" w:eastAsiaTheme="minorEastAsia" w:hAnsi="Times New Roman" w:cs="Times New Roman"/>
          <w:sz w:val="24"/>
          <w:szCs w:val="24"/>
        </w:rPr>
        <w:t>, MD, PhD</w:t>
      </w:r>
      <w:r w:rsidR="00AE084F" w:rsidRPr="009D212A">
        <w:rPr>
          <w:rFonts w:ascii="Times New Roman" w:eastAsia="Calibri" w:hAnsi="Times New Roman" w:cs="Times New Roman"/>
          <w:sz w:val="24"/>
          <w:szCs w:val="24"/>
        </w:rPr>
        <w:br/>
      </w:r>
      <w:r w:rsidR="001805C7" w:rsidRPr="009D212A">
        <w:rPr>
          <w:rFonts w:ascii="Times New Roman" w:eastAsia="Calibri" w:hAnsi="Times New Roman" w:cs="Times New Roman"/>
          <w:sz w:val="24"/>
          <w:szCs w:val="24"/>
        </w:rPr>
        <w:br/>
      </w:r>
      <w:r w:rsidR="001805C7" w:rsidRPr="009D212A">
        <w:rPr>
          <w:rFonts w:ascii="Times New Roman" w:eastAsia="Calibri" w:hAnsi="Times New Roman" w:cs="Times New Roman"/>
          <w:sz w:val="24"/>
          <w:szCs w:val="24"/>
          <w:vertAlign w:val="superscript"/>
        </w:rPr>
        <w:t>4</w:t>
      </w:r>
      <w:r w:rsidR="001805C7" w:rsidRPr="009D212A">
        <w:rPr>
          <w:rFonts w:ascii="Times New Roman" w:eastAsia="Calibri" w:hAnsi="Times New Roman" w:cs="Times New Roman"/>
          <w:sz w:val="24"/>
          <w:szCs w:val="24"/>
        </w:rPr>
        <w:t>Medical offices "ARTIMED" Szczecin</w:t>
      </w:r>
    </w:p>
    <w:p w14:paraId="6207C22E" w14:textId="58430B71" w:rsidR="009902E7" w:rsidRPr="009D212A" w:rsidRDefault="001805C7" w:rsidP="00CB2913">
      <w:pPr>
        <w:spacing w:line="360" w:lineRule="auto"/>
        <w:rPr>
          <w:rFonts w:ascii="Times New Roman" w:eastAsia="Calibri" w:hAnsi="Times New Roman" w:cs="Times New Roman"/>
          <w:sz w:val="24"/>
          <w:szCs w:val="24"/>
        </w:rPr>
      </w:pPr>
      <w:r w:rsidRPr="009D212A">
        <w:rPr>
          <w:rFonts w:ascii="Times New Roman" w:eastAsia="Calibri" w:hAnsi="Times New Roman" w:cs="Times New Roman"/>
          <w:sz w:val="24"/>
          <w:szCs w:val="24"/>
          <w:vertAlign w:val="superscript"/>
        </w:rPr>
        <w:t>5</w:t>
      </w:r>
      <w:r w:rsidRPr="009D212A">
        <w:rPr>
          <w:rFonts w:ascii="Times New Roman" w:eastAsia="Calibri" w:hAnsi="Times New Roman" w:cs="Times New Roman"/>
          <w:sz w:val="24"/>
          <w:szCs w:val="24"/>
        </w:rPr>
        <w:t>Department of Imaging Diagnosti</w:t>
      </w:r>
      <w:r w:rsidR="005F0D3F" w:rsidRPr="009D212A">
        <w:rPr>
          <w:rFonts w:ascii="Times New Roman" w:eastAsia="Calibri" w:hAnsi="Times New Roman" w:cs="Times New Roman"/>
          <w:sz w:val="24"/>
          <w:szCs w:val="24"/>
        </w:rPr>
        <w:t>cs and Interventional Radiology,</w:t>
      </w:r>
      <w:r w:rsidR="005F0D3F" w:rsidRPr="009D212A">
        <w:rPr>
          <w:rFonts w:ascii="Segoe UI" w:hAnsi="Segoe UI" w:cs="Segoe UI"/>
        </w:rPr>
        <w:t xml:space="preserve"> </w:t>
      </w:r>
      <w:r w:rsidR="005F0D3F" w:rsidRPr="009D212A">
        <w:rPr>
          <w:rFonts w:ascii="Times New Roman" w:eastAsia="Calibri" w:hAnsi="Times New Roman" w:cs="Times New Roman"/>
          <w:sz w:val="24"/>
          <w:szCs w:val="24"/>
        </w:rPr>
        <w:t xml:space="preserve">University Clinical Hospital No. 1 </w:t>
      </w:r>
      <w:r w:rsidRPr="009D212A">
        <w:rPr>
          <w:rFonts w:ascii="Times New Roman" w:eastAsia="Calibri" w:hAnsi="Times New Roman" w:cs="Times New Roman"/>
          <w:sz w:val="24"/>
          <w:szCs w:val="24"/>
        </w:rPr>
        <w:t>of the Pomeranian Medical Univ</w:t>
      </w:r>
      <w:r w:rsidR="009A2352" w:rsidRPr="009D212A">
        <w:rPr>
          <w:rFonts w:ascii="Times New Roman" w:eastAsia="Calibri" w:hAnsi="Times New Roman" w:cs="Times New Roman"/>
          <w:sz w:val="24"/>
          <w:szCs w:val="24"/>
        </w:rPr>
        <w:t>ersity, Szczecin, Poland</w:t>
      </w:r>
      <w:r w:rsidRPr="009D212A">
        <w:rPr>
          <w:rFonts w:ascii="Times New Roman" w:eastAsia="Calibri" w:hAnsi="Times New Roman" w:cs="Times New Roman"/>
          <w:sz w:val="24"/>
          <w:szCs w:val="24"/>
        </w:rPr>
        <w:br/>
        <w:t>Head: Prof. Wojciech Poncyljusz, MD, PhD</w:t>
      </w:r>
    </w:p>
    <w:p w14:paraId="3E471095" w14:textId="6ED15CA5" w:rsidR="00372F45" w:rsidRPr="009D212A" w:rsidRDefault="00372F45" w:rsidP="00CB2913">
      <w:pPr>
        <w:spacing w:line="360" w:lineRule="auto"/>
        <w:rPr>
          <w:rFonts w:ascii="Times New Roman" w:eastAsiaTheme="minorEastAsia" w:hAnsi="Times New Roman" w:cs="Times New Roman"/>
          <w:sz w:val="24"/>
          <w:szCs w:val="24"/>
        </w:rPr>
      </w:pPr>
      <w:r w:rsidRPr="009D212A">
        <w:rPr>
          <w:rFonts w:ascii="Times New Roman" w:eastAsiaTheme="minorEastAsia" w:hAnsi="Times New Roman" w:cs="Times New Roman"/>
          <w:sz w:val="24"/>
          <w:szCs w:val="24"/>
          <w:vertAlign w:val="superscript"/>
        </w:rPr>
        <w:t>6</w:t>
      </w:r>
      <w:r w:rsidRPr="009D212A">
        <w:rPr>
          <w:rFonts w:ascii="Times New Roman" w:eastAsiaTheme="minorEastAsia" w:hAnsi="Times New Roman" w:cs="Times New Roman"/>
          <w:sz w:val="24"/>
          <w:szCs w:val="24"/>
        </w:rPr>
        <w:t>Faculty of Health and Life Sciences, Northumbria University, Newcastle upon Tyne, UK</w:t>
      </w:r>
    </w:p>
    <w:p w14:paraId="70DC11E9" w14:textId="317269CD" w:rsidR="004619F6" w:rsidRPr="009D212A" w:rsidRDefault="004619F6" w:rsidP="004619F6">
      <w:pPr>
        <w:spacing w:line="360" w:lineRule="auto"/>
        <w:rPr>
          <w:rFonts w:ascii="Times New Roman" w:eastAsiaTheme="minorEastAsia" w:hAnsi="Times New Roman" w:cs="Times New Roman"/>
          <w:sz w:val="24"/>
          <w:szCs w:val="24"/>
        </w:rPr>
      </w:pPr>
      <w:r w:rsidRPr="009D212A">
        <w:rPr>
          <w:rFonts w:ascii="Times New Roman" w:eastAsiaTheme="minorEastAsia" w:hAnsi="Times New Roman" w:cs="Times New Roman"/>
          <w:sz w:val="24"/>
          <w:szCs w:val="24"/>
          <w:vertAlign w:val="superscript"/>
        </w:rPr>
        <w:t>7</w:t>
      </w:r>
      <w:r w:rsidRPr="009D212A">
        <w:rPr>
          <w:rFonts w:ascii="Times New Roman" w:eastAsiaTheme="minorEastAsia" w:hAnsi="Times New Roman" w:cs="Times New Roman"/>
          <w:sz w:val="24"/>
          <w:szCs w:val="24"/>
        </w:rPr>
        <w:t>Department of Forensic Medicine of the Pomeranian Medical University, Szczecin, Poland</w:t>
      </w:r>
    </w:p>
    <w:p w14:paraId="505E1D1A" w14:textId="3459A6A7" w:rsidR="00CB2913" w:rsidRPr="009D212A" w:rsidRDefault="004619F6" w:rsidP="00CB2913">
      <w:pPr>
        <w:spacing w:line="360" w:lineRule="auto"/>
        <w:rPr>
          <w:rFonts w:ascii="Times New Roman" w:eastAsiaTheme="minorEastAsia" w:hAnsi="Times New Roman" w:cs="Times New Roman"/>
          <w:sz w:val="24"/>
          <w:szCs w:val="24"/>
        </w:rPr>
      </w:pPr>
      <w:r w:rsidRPr="009D212A">
        <w:rPr>
          <w:rFonts w:ascii="Times New Roman" w:eastAsiaTheme="minorEastAsia" w:hAnsi="Times New Roman" w:cs="Times New Roman"/>
          <w:sz w:val="24"/>
          <w:szCs w:val="24"/>
          <w:vertAlign w:val="superscript"/>
        </w:rPr>
        <w:t>8</w:t>
      </w:r>
      <w:r w:rsidR="00CB2913" w:rsidRPr="009D212A">
        <w:rPr>
          <w:rFonts w:ascii="Times New Roman" w:eastAsiaTheme="minorEastAsia" w:hAnsi="Times New Roman" w:cs="Times New Roman"/>
          <w:sz w:val="24"/>
          <w:szCs w:val="24"/>
        </w:rPr>
        <w:t>Department of Nephrology, Transplantology, and Internal Medicine</w:t>
      </w:r>
      <w:r w:rsidR="006C5570" w:rsidRPr="009D212A">
        <w:rPr>
          <w:rFonts w:ascii="Times New Roman" w:eastAsiaTheme="minorEastAsia" w:hAnsi="Times New Roman" w:cs="Times New Roman"/>
          <w:sz w:val="24"/>
          <w:szCs w:val="24"/>
        </w:rPr>
        <w:t xml:space="preserve">, </w:t>
      </w:r>
      <w:r w:rsidR="006C5570" w:rsidRPr="009D212A">
        <w:rPr>
          <w:rFonts w:ascii="Times New Roman" w:eastAsia="Calibri" w:hAnsi="Times New Roman" w:cs="Times New Roman"/>
          <w:sz w:val="24"/>
          <w:szCs w:val="24"/>
        </w:rPr>
        <w:t>University Clinical Hospital No. 2</w:t>
      </w:r>
      <w:r w:rsidR="00CB2913" w:rsidRPr="009D212A">
        <w:rPr>
          <w:rFonts w:ascii="Times New Roman" w:eastAsiaTheme="minorEastAsia" w:hAnsi="Times New Roman" w:cs="Times New Roman"/>
          <w:sz w:val="24"/>
          <w:szCs w:val="24"/>
        </w:rPr>
        <w:t xml:space="preserve"> of the Pomeranian Medical University, Szczecin, Poland</w:t>
      </w:r>
      <w:r w:rsidR="00CB2913" w:rsidRPr="009D212A">
        <w:rPr>
          <w:rFonts w:ascii="Times New Roman" w:eastAsiaTheme="minorEastAsia" w:hAnsi="Times New Roman" w:cs="Times New Roman"/>
          <w:sz w:val="24"/>
          <w:szCs w:val="24"/>
        </w:rPr>
        <w:br/>
        <w:t>Head: Prof. Kazimierz Ciechanowski, MD, PhD</w:t>
      </w:r>
    </w:p>
    <w:p w14:paraId="2D6CF9D0" w14:textId="77777777" w:rsidR="001805C7" w:rsidRPr="009D212A" w:rsidRDefault="001805C7" w:rsidP="00CB2913">
      <w:pPr>
        <w:spacing w:line="360" w:lineRule="auto"/>
        <w:rPr>
          <w:rFonts w:ascii="Times New Roman" w:eastAsiaTheme="minorEastAsia" w:hAnsi="Times New Roman" w:cs="Times New Roman"/>
          <w:b/>
          <w:sz w:val="24"/>
          <w:szCs w:val="24"/>
        </w:rPr>
      </w:pPr>
      <w:r w:rsidRPr="009D212A">
        <w:rPr>
          <w:rFonts w:ascii="Times New Roman" w:eastAsiaTheme="minorEastAsia" w:hAnsi="Times New Roman" w:cs="Times New Roman"/>
          <w:b/>
          <w:sz w:val="24"/>
          <w:szCs w:val="24"/>
        </w:rPr>
        <w:t>Address for correspondence:</w:t>
      </w:r>
    </w:p>
    <w:p w14:paraId="49E4027C" w14:textId="6FACED12" w:rsidR="001805C7" w:rsidRPr="009D212A" w:rsidRDefault="001805C7" w:rsidP="00CB2913">
      <w:pPr>
        <w:spacing w:line="360" w:lineRule="auto"/>
        <w:rPr>
          <w:rFonts w:ascii="Times New Roman" w:eastAsiaTheme="minorEastAsia" w:hAnsi="Times New Roman" w:cs="Times New Roman"/>
          <w:sz w:val="24"/>
          <w:szCs w:val="24"/>
        </w:rPr>
      </w:pPr>
      <w:r w:rsidRPr="009D212A">
        <w:rPr>
          <w:rFonts w:ascii="Times New Roman" w:eastAsiaTheme="minorEastAsia" w:hAnsi="Times New Roman" w:cs="Times New Roman"/>
          <w:sz w:val="24"/>
          <w:szCs w:val="24"/>
        </w:rPr>
        <w:t>Krzysztof Kowalik</w:t>
      </w:r>
      <w:r w:rsidR="004619F6" w:rsidRPr="009D212A">
        <w:rPr>
          <w:rFonts w:ascii="Times New Roman" w:eastAsiaTheme="minorEastAsia" w:hAnsi="Times New Roman" w:cs="Times New Roman"/>
          <w:sz w:val="24"/>
          <w:szCs w:val="24"/>
        </w:rPr>
        <w:t>, MD</w:t>
      </w:r>
      <w:r w:rsidRPr="009D212A">
        <w:rPr>
          <w:rFonts w:ascii="Times New Roman" w:eastAsiaTheme="minorEastAsia" w:hAnsi="Times New Roman" w:cs="Times New Roman"/>
          <w:sz w:val="24"/>
          <w:szCs w:val="24"/>
        </w:rPr>
        <w:br/>
      </w:r>
      <w:r w:rsidR="0009421D" w:rsidRPr="009D212A">
        <w:rPr>
          <w:rFonts w:ascii="Times New Roman" w:eastAsiaTheme="minorEastAsia" w:hAnsi="Times New Roman" w:cs="Times New Roman"/>
          <w:sz w:val="24"/>
          <w:szCs w:val="24"/>
        </w:rPr>
        <w:t xml:space="preserve">Clinical </w:t>
      </w:r>
      <w:r w:rsidRPr="009D212A">
        <w:rPr>
          <w:rFonts w:ascii="Times New Roman" w:eastAsiaTheme="minorEastAsia" w:hAnsi="Times New Roman" w:cs="Times New Roman"/>
          <w:sz w:val="24"/>
          <w:szCs w:val="24"/>
        </w:rPr>
        <w:t>Department of General Surgery,</w:t>
      </w:r>
      <w:r w:rsidRPr="009D212A">
        <w:rPr>
          <w:rFonts w:ascii="Times New Roman" w:eastAsiaTheme="minorEastAsia" w:hAnsi="Times New Roman" w:cs="Times New Roman"/>
          <w:sz w:val="24"/>
          <w:szCs w:val="24"/>
        </w:rPr>
        <w:br/>
        <w:t>Pomeranian Medical University</w:t>
      </w:r>
      <w:r w:rsidRPr="009D212A">
        <w:rPr>
          <w:rFonts w:ascii="Times New Roman" w:eastAsiaTheme="minorEastAsia" w:hAnsi="Times New Roman" w:cs="Times New Roman"/>
          <w:sz w:val="24"/>
          <w:szCs w:val="24"/>
        </w:rPr>
        <w:br/>
        <w:t>Piotra Skargi St., 9–11, 70–965</w:t>
      </w:r>
      <w:r w:rsidRPr="009D212A">
        <w:rPr>
          <w:rFonts w:ascii="Times New Roman" w:eastAsiaTheme="minorEastAsia" w:hAnsi="Times New Roman" w:cs="Times New Roman"/>
          <w:sz w:val="24"/>
          <w:szCs w:val="24"/>
        </w:rPr>
        <w:br/>
        <w:t>Szczecin, Poland</w:t>
      </w:r>
      <w:r w:rsidRPr="009D212A">
        <w:rPr>
          <w:rFonts w:ascii="Times New Roman" w:eastAsiaTheme="minorEastAsia" w:hAnsi="Times New Roman" w:cs="Times New Roman"/>
          <w:sz w:val="24"/>
          <w:szCs w:val="24"/>
        </w:rPr>
        <w:br/>
        <w:t xml:space="preserve">e-mail: </w:t>
      </w:r>
      <w:hyperlink r:id="rId8" w:history="1">
        <w:r w:rsidR="00847B82" w:rsidRPr="009D212A">
          <w:rPr>
            <w:rStyle w:val="Hipercze"/>
            <w:rFonts w:ascii="Times New Roman" w:eastAsiaTheme="minorEastAsia" w:hAnsi="Times New Roman" w:cs="Times New Roman"/>
            <w:color w:val="auto"/>
            <w:sz w:val="24"/>
            <w:szCs w:val="24"/>
          </w:rPr>
          <w:t>krzysztof.kowalik.uro@gmail.com</w:t>
        </w:r>
      </w:hyperlink>
    </w:p>
    <w:p w14:paraId="3BDD3C45" w14:textId="77777777" w:rsidR="0063269C" w:rsidRPr="009D212A" w:rsidRDefault="00EA2233" w:rsidP="00CB2913">
      <w:pPr>
        <w:shd w:val="clear" w:color="auto" w:fill="FFFFFF"/>
        <w:spacing w:after="0" w:line="360" w:lineRule="auto"/>
        <w:rPr>
          <w:rFonts w:ascii="Times New Roman" w:hAnsi="Times New Roman" w:cs="Times New Roman"/>
          <w:b/>
          <w:sz w:val="24"/>
          <w:szCs w:val="24"/>
          <w:shd w:val="clear" w:color="auto" w:fill="F7F7F8"/>
        </w:rPr>
      </w:pPr>
      <w:r w:rsidRPr="009D212A">
        <w:rPr>
          <w:rFonts w:ascii="Times New Roman" w:hAnsi="Times New Roman" w:cs="Times New Roman"/>
          <w:b/>
          <w:sz w:val="24"/>
          <w:szCs w:val="24"/>
          <w:shd w:val="clear" w:color="auto" w:fill="F7F7F8"/>
        </w:rPr>
        <w:lastRenderedPageBreak/>
        <w:t>Abstract</w:t>
      </w:r>
    </w:p>
    <w:p w14:paraId="6CA840F7" w14:textId="0C83EB0E" w:rsidR="00CB2913" w:rsidRPr="009D212A" w:rsidRDefault="006C5570" w:rsidP="00CB2913">
      <w:pPr>
        <w:shd w:val="clear" w:color="auto" w:fill="FFFFFF"/>
        <w:spacing w:after="0" w:line="360" w:lineRule="auto"/>
        <w:rPr>
          <w:rFonts w:ascii="Times New Roman" w:hAnsi="Times New Roman" w:cs="Times New Roman"/>
          <w:b/>
          <w:sz w:val="24"/>
          <w:szCs w:val="24"/>
          <w:shd w:val="clear" w:color="auto" w:fill="F7F7F8"/>
        </w:rPr>
      </w:pPr>
      <w:r w:rsidRPr="009D212A">
        <w:rPr>
          <w:rFonts w:ascii="Times New Roman" w:hAnsi="Times New Roman" w:cs="Times New Roman"/>
          <w:sz w:val="24"/>
          <w:szCs w:val="24"/>
          <w:shd w:val="clear" w:color="auto" w:fill="F7F7F8"/>
          <w:lang w:val="en-GB"/>
        </w:rPr>
        <w:t xml:space="preserve"> </w:t>
      </w:r>
      <w:r w:rsidR="00CB2913" w:rsidRPr="009D212A">
        <w:rPr>
          <w:rFonts w:ascii="Times New Roman" w:hAnsi="Times New Roman" w:cs="Times New Roman"/>
          <w:sz w:val="24"/>
          <w:szCs w:val="24"/>
          <w:shd w:val="clear" w:color="auto" w:fill="F7F7F8"/>
          <w:lang w:val="en-GB"/>
        </w:rPr>
        <w:t>Von Hippel-Lindau (VHL) syndrome is a rare genetic disorder characterized by multipleretinal and cerebellar hemangioblastomas that tend to occur in a familial setting. The pattern of inheritence is autosomal dominant. Patients with VHL syndrome have an increased risk of clear cell renal cell carcinoma (ccRCC) as well as pancreatic and testicular cysts and cystadenomas. Tumours associated with VHL syndrome manifest at a young age.</w:t>
      </w:r>
    </w:p>
    <w:p w14:paraId="304D57D1" w14:textId="288AE4C0" w:rsidR="00CB2913" w:rsidRPr="009D212A" w:rsidRDefault="00CB2913" w:rsidP="00CB2913">
      <w:pPr>
        <w:shd w:val="clear" w:color="auto" w:fill="FFFFFF"/>
        <w:spacing w:after="0" w:line="360" w:lineRule="auto"/>
        <w:rPr>
          <w:rFonts w:ascii="Times New Roman" w:hAnsi="Times New Roman" w:cs="Times New Roman"/>
          <w:sz w:val="24"/>
          <w:szCs w:val="24"/>
          <w:shd w:val="clear" w:color="auto" w:fill="F7F7F8"/>
          <w:lang w:val="en-GB"/>
        </w:rPr>
      </w:pPr>
      <w:r w:rsidRPr="009D212A">
        <w:rPr>
          <w:rFonts w:ascii="Times New Roman" w:hAnsi="Times New Roman" w:cs="Times New Roman"/>
          <w:sz w:val="24"/>
          <w:szCs w:val="24"/>
          <w:shd w:val="clear" w:color="auto" w:fill="F7F7F8"/>
          <w:lang w:val="en-GB"/>
        </w:rPr>
        <w:t>This article presents diagnostic methods and discusses the treatment approaches for this syndrome based on a review of the global literature.</w:t>
      </w:r>
    </w:p>
    <w:p w14:paraId="3B5506FC" w14:textId="77777777" w:rsidR="005B4FCA" w:rsidRPr="009D212A" w:rsidRDefault="005B4FCA" w:rsidP="00CB2913">
      <w:pPr>
        <w:shd w:val="clear" w:color="auto" w:fill="FFFFFF"/>
        <w:spacing w:after="0" w:line="360" w:lineRule="auto"/>
        <w:rPr>
          <w:rFonts w:ascii="Times New Roman" w:hAnsi="Times New Roman" w:cs="Times New Roman"/>
          <w:b/>
          <w:sz w:val="24"/>
          <w:szCs w:val="24"/>
          <w:shd w:val="clear" w:color="auto" w:fill="F7F7F8"/>
          <w:lang w:val="en-GB"/>
        </w:rPr>
      </w:pPr>
    </w:p>
    <w:p w14:paraId="1C37EC41" w14:textId="5C3A156E" w:rsidR="00CB2913" w:rsidRPr="009D212A" w:rsidRDefault="00CB2913" w:rsidP="00CB2913">
      <w:pPr>
        <w:shd w:val="clear" w:color="auto" w:fill="FFFFFF"/>
        <w:spacing w:after="0" w:line="360" w:lineRule="auto"/>
        <w:rPr>
          <w:rFonts w:ascii="Times New Roman" w:eastAsia="Times New Roman" w:hAnsi="Times New Roman" w:cs="Times New Roman"/>
          <w:sz w:val="24"/>
          <w:szCs w:val="24"/>
          <w:lang w:val="en-GB" w:eastAsia="pl-PL"/>
        </w:rPr>
      </w:pPr>
      <w:r w:rsidRPr="009D212A">
        <w:rPr>
          <w:rFonts w:ascii="Times New Roman" w:eastAsia="Times New Roman" w:hAnsi="Times New Roman" w:cs="Times New Roman"/>
          <w:b/>
          <w:bCs/>
          <w:sz w:val="24"/>
          <w:szCs w:val="24"/>
          <w:lang w:val="en-GB" w:eastAsia="pl-PL"/>
        </w:rPr>
        <w:t>Keywords</w:t>
      </w:r>
      <w:r w:rsidRPr="009D212A">
        <w:rPr>
          <w:rFonts w:ascii="Times New Roman" w:eastAsia="Times New Roman" w:hAnsi="Times New Roman" w:cs="Times New Roman"/>
          <w:sz w:val="24"/>
          <w:szCs w:val="24"/>
          <w:lang w:val="en-GB" w:eastAsia="pl-PL"/>
        </w:rPr>
        <w:t>: von Hippel-Lindau syndrome, familiar angiomatosis of the retina and cerebellum,</w:t>
      </w:r>
    </w:p>
    <w:p w14:paraId="3182D478" w14:textId="286F4A17" w:rsidR="00EA2233" w:rsidRPr="009D212A" w:rsidRDefault="00CB2913" w:rsidP="00CB2913">
      <w:pPr>
        <w:shd w:val="clear" w:color="auto" w:fill="FFFFFF"/>
        <w:spacing w:after="0" w:line="360" w:lineRule="auto"/>
        <w:rPr>
          <w:rFonts w:ascii="Times New Roman" w:eastAsia="Times New Roman" w:hAnsi="Times New Roman" w:cs="Times New Roman"/>
          <w:sz w:val="24"/>
          <w:szCs w:val="24"/>
          <w:lang w:eastAsia="pl-PL"/>
        </w:rPr>
      </w:pPr>
      <w:r w:rsidRPr="009D212A">
        <w:rPr>
          <w:rFonts w:ascii="Times New Roman" w:eastAsia="Times New Roman" w:hAnsi="Times New Roman" w:cs="Times New Roman"/>
          <w:sz w:val="24"/>
          <w:szCs w:val="24"/>
          <w:lang w:val="en-GB" w:eastAsia="pl-PL"/>
        </w:rPr>
        <w:t>clear cell renal cell carcinoma, polycystic kidney disease</w:t>
      </w:r>
    </w:p>
    <w:p w14:paraId="47AA1033" w14:textId="0AF77B5D" w:rsidR="00D44E4F" w:rsidRPr="009D212A" w:rsidRDefault="00CB2913" w:rsidP="008E1383">
      <w:pPr>
        <w:spacing w:after="0" w:line="360" w:lineRule="auto"/>
        <w:rPr>
          <w:rFonts w:ascii="Times New Roman" w:eastAsia="Calibri" w:hAnsi="Times New Roman" w:cs="Times New Roman"/>
          <w:kern w:val="2"/>
          <w:sz w:val="24"/>
          <w:szCs w:val="24"/>
          <w:shd w:val="clear" w:color="auto" w:fill="FFFFFF"/>
          <w:lang w:val="en-GB"/>
          <w14:ligatures w14:val="standardContextual"/>
        </w:rPr>
      </w:pPr>
      <w:r w:rsidRPr="009D212A">
        <w:rPr>
          <w:rFonts w:ascii="Times New Roman" w:eastAsia="Calibri" w:hAnsi="Times New Roman" w:cs="Times New Roman"/>
          <w:b/>
          <w:bCs/>
          <w:kern w:val="2"/>
          <w:sz w:val="24"/>
          <w:szCs w:val="24"/>
          <w:shd w:val="clear" w:color="auto" w:fill="FFFFFF"/>
          <w:lang w:val="en-GB"/>
          <w14:ligatures w14:val="standardContextual"/>
        </w:rPr>
        <w:t>Introduction</w:t>
      </w:r>
      <w:r w:rsidRPr="009D212A">
        <w:rPr>
          <w:rFonts w:ascii="Times New Roman" w:eastAsia="Calibri" w:hAnsi="Times New Roman" w:cs="Times New Roman"/>
          <w:kern w:val="2"/>
          <w:sz w:val="24"/>
          <w:szCs w:val="24"/>
          <w:lang w:val="en-GB"/>
          <w14:ligatures w14:val="standardContextual"/>
        </w:rPr>
        <w:br/>
      </w:r>
      <w:r w:rsidRPr="009D212A">
        <w:rPr>
          <w:rFonts w:ascii="Times New Roman" w:eastAsia="Calibri" w:hAnsi="Times New Roman" w:cs="Times New Roman"/>
          <w:kern w:val="2"/>
          <w:sz w:val="24"/>
          <w:szCs w:val="24"/>
          <w:shd w:val="clear" w:color="auto" w:fill="FFFFFF"/>
          <w:lang w:val="en-GB"/>
          <w14:ligatures w14:val="standardContextual"/>
        </w:rPr>
        <w:t>Von Hippel-Lindau (VHL) syndrome is a rare genetic disorder characterized by familial cerebellar and retinal angiomatosis</w:t>
      </w:r>
      <w:r w:rsidR="009C7001" w:rsidRPr="009D212A">
        <w:rPr>
          <w:rFonts w:ascii="Times New Roman" w:eastAsia="Calibri" w:hAnsi="Times New Roman" w:cs="Times New Roman"/>
          <w:kern w:val="2"/>
          <w:sz w:val="24"/>
          <w:szCs w:val="24"/>
          <w:shd w:val="clear" w:color="auto" w:fill="FFFFFF"/>
          <w:lang w:val="en-GB"/>
          <w14:ligatures w14:val="standardContextual"/>
        </w:rPr>
        <w:t>.</w:t>
      </w:r>
      <w:r w:rsidRPr="009D212A">
        <w:rPr>
          <w:rFonts w:ascii="Times New Roman" w:eastAsia="Calibri" w:hAnsi="Times New Roman" w:cs="Times New Roman"/>
          <w:kern w:val="2"/>
          <w:sz w:val="24"/>
          <w:szCs w:val="24"/>
          <w:shd w:val="clear" w:color="auto" w:fill="FFFFFF"/>
          <w:lang w:val="en-GB"/>
          <w14:ligatures w14:val="standardContextual"/>
        </w:rPr>
        <w:t xml:space="preserve"> This syndrome is an example of an autosomal dominant</w:t>
      </w:r>
      <w:r w:rsidRPr="009D212A">
        <w:rPr>
          <w:rFonts w:ascii="Times New Roman" w:eastAsia="Calibri" w:hAnsi="Times New Roman" w:cs="Times New Roman"/>
          <w:kern w:val="2"/>
          <w:sz w:val="24"/>
          <w:szCs w:val="24"/>
          <w:lang w:val="en-GB"/>
          <w14:ligatures w14:val="standardContextual"/>
        </w:rPr>
        <w:t xml:space="preserve"> </w:t>
      </w:r>
      <w:r w:rsidRPr="009D212A">
        <w:rPr>
          <w:rFonts w:ascii="Times New Roman" w:eastAsia="Calibri" w:hAnsi="Times New Roman" w:cs="Times New Roman"/>
          <w:kern w:val="2"/>
          <w:sz w:val="24"/>
          <w:szCs w:val="24"/>
          <w:shd w:val="clear" w:color="auto" w:fill="FFFFFF"/>
          <w:lang w:val="en-GB"/>
          <w14:ligatures w14:val="standardContextual"/>
        </w:rPr>
        <w:t>disease, with an estimated occurrence rate ranging from 1:36,000 to 1:100,000 [1,2]. There are two types of this syndrome: Type 1 VHL without a pheochromocytoma and type 2 with a pheochromocytoma [3-6]. The clinical manifestations are linked to mutations in the VHL gene located on the short arm of the third chromosome (3p25-26) [1].</w:t>
      </w:r>
      <w:r w:rsidR="009C7001" w:rsidRPr="009D212A">
        <w:rPr>
          <w:rFonts w:ascii="Times New Roman" w:eastAsia="Calibri" w:hAnsi="Times New Roman" w:cs="Times New Roman"/>
          <w:kern w:val="2"/>
          <w:sz w:val="24"/>
          <w:szCs w:val="24"/>
          <w:shd w:val="clear" w:color="auto" w:fill="FFFFFF"/>
          <w:lang w:val="en-GB"/>
          <w14:ligatures w14:val="standardContextual"/>
        </w:rPr>
        <w:t xml:space="preserve"> </w:t>
      </w:r>
      <w:r w:rsidR="00081B65" w:rsidRPr="009D212A">
        <w:rPr>
          <w:rFonts w:ascii="Times New Roman" w:eastAsia="Calibri" w:hAnsi="Times New Roman" w:cs="Times New Roman"/>
          <w:kern w:val="2"/>
          <w:sz w:val="24"/>
          <w:szCs w:val="24"/>
          <w:shd w:val="clear" w:color="auto" w:fill="FFFFFF"/>
          <w:lang w:val="en-GB"/>
          <w14:ligatures w14:val="standardContextual"/>
        </w:rPr>
        <w:t>The tumor suppressor gene VHL encodes a protein that, through the action of E3 ubiquitin ligase, leads to the degradation of HIF factors. Under normal conditions, HIF</w:t>
      </w:r>
      <w:r w:rsidR="008E1383" w:rsidRPr="009D212A">
        <w:rPr>
          <w:rFonts w:ascii="Times New Roman" w:eastAsia="Calibri" w:hAnsi="Times New Roman" w:cs="Times New Roman"/>
          <w:kern w:val="2"/>
          <w:sz w:val="24"/>
          <w:szCs w:val="24"/>
          <w:shd w:val="clear" w:color="auto" w:fill="FFFFFF"/>
          <w:lang w:val="en-GB"/>
          <w14:ligatures w14:val="standardContextual"/>
        </w:rPr>
        <w:t xml:space="preserve"> (Hypoxia Inducible Factor)</w:t>
      </w:r>
      <w:r w:rsidR="00081B65" w:rsidRPr="009D212A">
        <w:rPr>
          <w:rFonts w:ascii="Times New Roman" w:eastAsia="Calibri" w:hAnsi="Times New Roman" w:cs="Times New Roman"/>
          <w:kern w:val="2"/>
          <w:sz w:val="24"/>
          <w:szCs w:val="24"/>
          <w:shd w:val="clear" w:color="auto" w:fill="FFFFFF"/>
          <w:lang w:val="en-GB"/>
          <w14:ligatures w14:val="standardContextual"/>
        </w:rPr>
        <w:t>, which are activated by hypoxia, induce the expression of genes including VEGF</w:t>
      </w:r>
      <w:r w:rsidR="008E1383" w:rsidRPr="009D212A">
        <w:rPr>
          <w:rFonts w:ascii="Times New Roman" w:eastAsia="Calibri" w:hAnsi="Times New Roman" w:cs="Times New Roman"/>
          <w:kern w:val="2"/>
          <w:sz w:val="24"/>
          <w:szCs w:val="24"/>
          <w:shd w:val="clear" w:color="auto" w:fill="FFFFFF"/>
          <w:lang w:val="en-GB"/>
          <w14:ligatures w14:val="standardContextual"/>
        </w:rPr>
        <w:t xml:space="preserve"> (</w:t>
      </w:r>
      <w:r w:rsidR="008E1383" w:rsidRPr="009D212A">
        <w:rPr>
          <w:rFonts w:ascii="Times New Roman" w:eastAsia="Calibri" w:hAnsi="Times New Roman" w:cs="Times New Roman"/>
          <w:kern w:val="2"/>
          <w:sz w:val="24"/>
          <w:szCs w:val="24"/>
          <w:shd w:val="clear" w:color="auto" w:fill="FFFFFF"/>
          <w:lang w:val="en-GB"/>
          <w14:ligatures w14:val="standardContextual"/>
        </w:rPr>
        <w:t>Vascular Endothelial Growth Factor</w:t>
      </w:r>
      <w:r w:rsidR="008E1383" w:rsidRPr="009D212A">
        <w:rPr>
          <w:rFonts w:ascii="Times New Roman" w:eastAsia="Calibri" w:hAnsi="Times New Roman" w:cs="Times New Roman"/>
          <w:kern w:val="2"/>
          <w:sz w:val="24"/>
          <w:szCs w:val="24"/>
          <w:shd w:val="clear" w:color="auto" w:fill="FFFFFF"/>
          <w:lang w:val="en-GB"/>
          <w14:ligatures w14:val="standardContextual"/>
        </w:rPr>
        <w:t xml:space="preserve">), </w:t>
      </w:r>
      <w:r w:rsidR="00081B65" w:rsidRPr="009D212A">
        <w:rPr>
          <w:rFonts w:ascii="Times New Roman" w:eastAsia="Calibri" w:hAnsi="Times New Roman" w:cs="Times New Roman"/>
          <w:kern w:val="2"/>
          <w:sz w:val="24"/>
          <w:szCs w:val="24"/>
          <w:shd w:val="clear" w:color="auto" w:fill="FFFFFF"/>
          <w:lang w:val="en-GB"/>
          <w14:ligatures w14:val="standardContextual"/>
        </w:rPr>
        <w:t>EPO</w:t>
      </w:r>
      <w:r w:rsidR="008E1383" w:rsidRPr="009D212A">
        <w:rPr>
          <w:rFonts w:ascii="Times New Roman" w:eastAsia="Calibri" w:hAnsi="Times New Roman" w:cs="Times New Roman"/>
          <w:kern w:val="2"/>
          <w:sz w:val="24"/>
          <w:szCs w:val="24"/>
          <w:shd w:val="clear" w:color="auto" w:fill="FFFFFF"/>
          <w:lang w:val="en-GB"/>
          <w14:ligatures w14:val="standardContextual"/>
        </w:rPr>
        <w:t xml:space="preserve"> (Erythropoietin)</w:t>
      </w:r>
      <w:r w:rsidR="00081B65" w:rsidRPr="009D212A">
        <w:rPr>
          <w:rFonts w:ascii="Times New Roman" w:eastAsia="Calibri" w:hAnsi="Times New Roman" w:cs="Times New Roman"/>
          <w:kern w:val="2"/>
          <w:sz w:val="24"/>
          <w:szCs w:val="24"/>
          <w:shd w:val="clear" w:color="auto" w:fill="FFFFFF"/>
          <w:lang w:val="en-GB"/>
          <w14:ligatures w14:val="standardContextual"/>
        </w:rPr>
        <w:t>, TGF</w:t>
      </w:r>
      <w:r w:rsidR="008E1383" w:rsidRPr="009D212A">
        <w:rPr>
          <w:rFonts w:ascii="Times New Roman" w:eastAsia="Calibri" w:hAnsi="Times New Roman" w:cs="Times New Roman"/>
          <w:kern w:val="2"/>
          <w:sz w:val="24"/>
          <w:szCs w:val="24"/>
          <w:shd w:val="clear" w:color="auto" w:fill="FFFFFF"/>
          <w:lang w:val="en-GB"/>
          <w14:ligatures w14:val="standardContextual"/>
        </w:rPr>
        <w:t xml:space="preserve"> (</w:t>
      </w:r>
      <w:r w:rsidR="008E1383" w:rsidRPr="009D212A">
        <w:rPr>
          <w:rFonts w:ascii="Times New Roman" w:eastAsia="Calibri" w:hAnsi="Times New Roman" w:cs="Times New Roman"/>
          <w:kern w:val="2"/>
          <w:sz w:val="24"/>
          <w:szCs w:val="24"/>
          <w:shd w:val="clear" w:color="auto" w:fill="FFFFFF"/>
          <w:lang w:val="en-GB"/>
          <w14:ligatures w14:val="standardContextual"/>
        </w:rPr>
        <w:t>Transforming Growth Factor</w:t>
      </w:r>
      <w:r w:rsidR="008E1383" w:rsidRPr="009D212A">
        <w:rPr>
          <w:rFonts w:ascii="Times New Roman" w:eastAsia="Calibri" w:hAnsi="Times New Roman" w:cs="Times New Roman"/>
          <w:kern w:val="2"/>
          <w:sz w:val="24"/>
          <w:szCs w:val="24"/>
          <w:shd w:val="clear" w:color="auto" w:fill="FFFFFF"/>
          <w:lang w:val="en-GB"/>
          <w14:ligatures w14:val="standardContextual"/>
        </w:rPr>
        <w:t>)</w:t>
      </w:r>
      <w:r w:rsidR="00081B65" w:rsidRPr="009D212A">
        <w:rPr>
          <w:rFonts w:ascii="Times New Roman" w:eastAsia="Calibri" w:hAnsi="Times New Roman" w:cs="Times New Roman"/>
          <w:kern w:val="2"/>
          <w:sz w:val="24"/>
          <w:szCs w:val="24"/>
          <w:shd w:val="clear" w:color="auto" w:fill="FFFFFF"/>
          <w:lang w:val="en-GB"/>
          <w14:ligatures w14:val="standardContextual"/>
        </w:rPr>
        <w:t>, EPOR</w:t>
      </w:r>
      <w:r w:rsidR="008E1383" w:rsidRPr="009D212A">
        <w:rPr>
          <w:rFonts w:ascii="Times New Roman" w:eastAsia="Calibri" w:hAnsi="Times New Roman" w:cs="Times New Roman"/>
          <w:kern w:val="2"/>
          <w:sz w:val="24"/>
          <w:szCs w:val="24"/>
          <w:shd w:val="clear" w:color="auto" w:fill="FFFFFF"/>
          <w:lang w:val="en-GB"/>
          <w14:ligatures w14:val="standardContextual"/>
        </w:rPr>
        <w:t xml:space="preserve"> (</w:t>
      </w:r>
      <w:r w:rsidR="008E1383" w:rsidRPr="009D212A">
        <w:rPr>
          <w:rFonts w:ascii="Times New Roman" w:eastAsia="Calibri" w:hAnsi="Times New Roman" w:cs="Times New Roman"/>
          <w:kern w:val="2"/>
          <w:sz w:val="24"/>
          <w:szCs w:val="24"/>
          <w:shd w:val="clear" w:color="auto" w:fill="FFFFFF"/>
          <w:lang w:val="en-GB"/>
          <w14:ligatures w14:val="standardContextual"/>
        </w:rPr>
        <w:t>Erythropoietin Receptor</w:t>
      </w:r>
      <w:r w:rsidR="008E1383" w:rsidRPr="009D212A">
        <w:rPr>
          <w:rFonts w:ascii="Times New Roman" w:eastAsia="Calibri" w:hAnsi="Times New Roman" w:cs="Times New Roman"/>
          <w:kern w:val="2"/>
          <w:sz w:val="24"/>
          <w:szCs w:val="24"/>
          <w:shd w:val="clear" w:color="auto" w:fill="FFFFFF"/>
          <w:lang w:val="en-GB"/>
          <w14:ligatures w14:val="standardContextual"/>
        </w:rPr>
        <w:t>)</w:t>
      </w:r>
      <w:r w:rsidR="00081B65" w:rsidRPr="009D212A">
        <w:rPr>
          <w:rFonts w:ascii="Times New Roman" w:eastAsia="Calibri" w:hAnsi="Times New Roman" w:cs="Times New Roman"/>
          <w:kern w:val="2"/>
          <w:sz w:val="24"/>
          <w:szCs w:val="24"/>
          <w:shd w:val="clear" w:color="auto" w:fill="FFFFFF"/>
          <w:lang w:val="en-GB"/>
          <w14:ligatures w14:val="standardContextual"/>
        </w:rPr>
        <w:t>, angiopoietin 1, and transferrin, thereby helping to reduce hypoxia. During normoxia, HIF are degraded by the VHL protein. In patients with VHL</w:t>
      </w:r>
      <w:r w:rsidR="008E1383" w:rsidRPr="009D212A">
        <w:rPr>
          <w:rFonts w:ascii="Times New Roman" w:eastAsia="Calibri" w:hAnsi="Times New Roman" w:cs="Times New Roman"/>
          <w:kern w:val="2"/>
          <w:sz w:val="24"/>
          <w:szCs w:val="24"/>
          <w:shd w:val="clear" w:color="auto" w:fill="FFFFFF"/>
          <w:lang w:val="en-GB"/>
          <w14:ligatures w14:val="standardContextual"/>
        </w:rPr>
        <w:t xml:space="preserve"> disease</w:t>
      </w:r>
      <w:r w:rsidR="00081B65" w:rsidRPr="009D212A">
        <w:rPr>
          <w:rFonts w:ascii="Times New Roman" w:eastAsia="Calibri" w:hAnsi="Times New Roman" w:cs="Times New Roman"/>
          <w:kern w:val="2"/>
          <w:sz w:val="24"/>
          <w:szCs w:val="24"/>
          <w:shd w:val="clear" w:color="auto" w:fill="FFFFFF"/>
          <w:lang w:val="en-GB"/>
          <w14:ligatures w14:val="standardContextual"/>
        </w:rPr>
        <w:t xml:space="preserve">, the VHL protein loses its function, which leads to uncontrolled activation of HIF and the expression of the aforementioned genes, causing phenomena such as angiogenesis and erythropoiesis. These processes lead to the development of symptoms of von Hippel-Lindau syndrome, including hemangioblastomas in the central nervous system, clear cell renal cell carcinoma, retinal hemangioblastomas, pancreatic neuroendocrine tumors, polycystic kidneys, and cysts in the pancreas and epididymis. About 80% of VHL gene mutations occur as a familial trait, and in 20% of patients, they occur de novo. In Denmark, a study of 34 families with a VHL gene mutation found that the most common types of mutations are missense mutations, deletions or insertions within the reading frame, and nonsense mutations. </w:t>
      </w:r>
      <w:r w:rsidR="005C698A" w:rsidRPr="009D212A">
        <w:rPr>
          <w:rFonts w:ascii="Times New Roman" w:eastAsia="Calibri" w:hAnsi="Times New Roman" w:cs="Times New Roman"/>
          <w:kern w:val="2"/>
          <w:sz w:val="24"/>
          <w:szCs w:val="24"/>
          <w:lang w:val="en-GB"/>
          <w14:ligatures w14:val="standardContextual"/>
        </w:rPr>
        <w:t>[</w:t>
      </w:r>
      <w:r w:rsidR="008E1383" w:rsidRPr="009D212A">
        <w:rPr>
          <w:rFonts w:ascii="Times New Roman" w:eastAsia="Calibri" w:hAnsi="Times New Roman" w:cs="Times New Roman"/>
          <w:kern w:val="2"/>
          <w:sz w:val="24"/>
          <w:szCs w:val="24"/>
          <w:lang w:val="en-GB"/>
          <w14:ligatures w14:val="standardContextual"/>
        </w:rPr>
        <w:t>7</w:t>
      </w:r>
      <w:r w:rsidR="005C698A" w:rsidRPr="009D212A">
        <w:rPr>
          <w:rFonts w:ascii="Times New Roman" w:eastAsia="Calibri" w:hAnsi="Times New Roman" w:cs="Times New Roman"/>
          <w:kern w:val="2"/>
          <w:sz w:val="24"/>
          <w:szCs w:val="24"/>
          <w:lang w:val="en-GB"/>
          <w14:ligatures w14:val="standardContextual"/>
        </w:rPr>
        <w:t xml:space="preserve">] </w:t>
      </w:r>
    </w:p>
    <w:p w14:paraId="6ED54AB3" w14:textId="77777777" w:rsidR="00D44E4F" w:rsidRPr="009D212A" w:rsidRDefault="00D44E4F" w:rsidP="009C7001">
      <w:pPr>
        <w:spacing w:after="0" w:line="360" w:lineRule="auto"/>
        <w:rPr>
          <w:rFonts w:ascii="Times New Roman" w:eastAsia="Calibri" w:hAnsi="Times New Roman" w:cs="Times New Roman"/>
          <w:kern w:val="2"/>
          <w:sz w:val="24"/>
          <w:szCs w:val="24"/>
          <w:shd w:val="clear" w:color="auto" w:fill="FFFFFF"/>
          <w:lang w:val="en-GB"/>
          <w14:ligatures w14:val="standardContextual"/>
        </w:rPr>
      </w:pPr>
    </w:p>
    <w:p w14:paraId="74439389" w14:textId="6F33E3C5" w:rsidR="009C7001" w:rsidRPr="009D212A" w:rsidRDefault="009C7001" w:rsidP="009C7001">
      <w:pPr>
        <w:spacing w:after="0" w:line="360" w:lineRule="auto"/>
        <w:rPr>
          <w:rFonts w:ascii="Times New Roman" w:eastAsia="Calibri" w:hAnsi="Times New Roman" w:cs="Times New Roman"/>
          <w:b/>
          <w:kern w:val="2"/>
          <w:sz w:val="24"/>
          <w:szCs w:val="24"/>
          <w:shd w:val="clear" w:color="auto" w:fill="FFFFFF"/>
          <w14:ligatures w14:val="standardContextual"/>
        </w:rPr>
      </w:pPr>
      <w:r w:rsidRPr="009D212A">
        <w:rPr>
          <w:rFonts w:ascii="Times New Roman" w:eastAsia="Calibri" w:hAnsi="Times New Roman" w:cs="Times New Roman"/>
          <w:kern w:val="2"/>
          <w:sz w:val="24"/>
          <w:szCs w:val="24"/>
          <w:shd w:val="clear" w:color="auto" w:fill="FFFFFF"/>
          <w:lang w:val="en-US"/>
          <w14:ligatures w14:val="standardContextual"/>
        </w:rPr>
        <w:lastRenderedPageBreak/>
        <w:t>The disease is characterised by an increased predisposition to develop hemangioblastomas in71 the central nervous system (most commonly in the cerebellum and spinal cord), occurring in 60-80% of cases. Other conditions associated with this syndrome include clear  cell renal cell carcinoma, retinal hemangioblastomas, pancreatic neuroendocrine tumours, polycystic kidneys, and cysts in the pancreas and epididymis. The syndrome typically presents multifocally, bilaterally, and at a young age,</w:t>
      </w:r>
      <w:r w:rsidR="008E1383" w:rsidRPr="009D212A">
        <w:rPr>
          <w:rFonts w:ascii="Times New Roman" w:eastAsia="Calibri" w:hAnsi="Times New Roman" w:cs="Times New Roman"/>
          <w:kern w:val="2"/>
          <w:sz w:val="24"/>
          <w:szCs w:val="24"/>
          <w:shd w:val="clear" w:color="auto" w:fill="FFFFFF"/>
          <w:lang w:val="en-US"/>
          <w14:ligatures w14:val="standardContextual"/>
        </w:rPr>
        <w:t xml:space="preserve"> with anaverage77 onset at 30 [8-25</w:t>
      </w:r>
      <w:r w:rsidRPr="009D212A">
        <w:rPr>
          <w:rFonts w:ascii="Times New Roman" w:eastAsia="Calibri" w:hAnsi="Times New Roman" w:cs="Times New Roman"/>
          <w:kern w:val="2"/>
          <w:sz w:val="24"/>
          <w:szCs w:val="24"/>
          <w:shd w:val="clear" w:color="auto" w:fill="FFFFFF"/>
          <w:lang w:val="en-US"/>
          <w14:ligatures w14:val="standardContextual"/>
        </w:rPr>
        <w:t>].</w:t>
      </w:r>
      <w:r w:rsidR="00CB2913" w:rsidRPr="009D212A">
        <w:rPr>
          <w:rFonts w:ascii="Times New Roman" w:eastAsia="Calibri" w:hAnsi="Times New Roman" w:cs="Times New Roman"/>
          <w:kern w:val="2"/>
          <w:sz w:val="24"/>
          <w:szCs w:val="24"/>
          <w:shd w:val="clear" w:color="auto" w:fill="FFFFFF"/>
          <w:lang w:val="en-GB"/>
          <w14:ligatures w14:val="standardContextual"/>
        </w:rPr>
        <w:br/>
      </w:r>
    </w:p>
    <w:p w14:paraId="4EEB5BF2" w14:textId="152C0B84" w:rsidR="00CB2913" w:rsidRPr="009D212A" w:rsidRDefault="00657533" w:rsidP="00CB2913">
      <w:pPr>
        <w:spacing w:after="0" w:line="360" w:lineRule="auto"/>
        <w:rPr>
          <w:rFonts w:ascii="Times New Roman" w:eastAsia="Calibri" w:hAnsi="Times New Roman" w:cs="Times New Roman"/>
          <w:kern w:val="2"/>
          <w:sz w:val="24"/>
          <w:szCs w:val="24"/>
          <w:shd w:val="clear" w:color="auto" w:fill="FFFFFF"/>
          <w:lang w:val="en-GB"/>
          <w14:ligatures w14:val="standardContextual"/>
        </w:rPr>
      </w:pPr>
      <w:r w:rsidRPr="009D212A">
        <w:rPr>
          <w:rFonts w:ascii="Times New Roman" w:eastAsia="Calibri" w:hAnsi="Times New Roman" w:cs="Times New Roman"/>
          <w:kern w:val="2"/>
          <w:sz w:val="24"/>
          <w:szCs w:val="24"/>
          <w:shd w:val="clear" w:color="auto" w:fill="FFFFFF"/>
          <w14:ligatures w14:val="standardContextual"/>
        </w:rPr>
        <w:t>The average life expectancy of patients with VHL disease is 49 years, the most common causes of death being clear cell renal carc</w:t>
      </w:r>
      <w:r w:rsidR="008E1383" w:rsidRPr="009D212A">
        <w:rPr>
          <w:rFonts w:ascii="Times New Roman" w:eastAsia="Calibri" w:hAnsi="Times New Roman" w:cs="Times New Roman"/>
          <w:kern w:val="2"/>
          <w:sz w:val="24"/>
          <w:szCs w:val="24"/>
          <w:shd w:val="clear" w:color="auto" w:fill="FFFFFF"/>
          <w14:ligatures w14:val="standardContextual"/>
        </w:rPr>
        <w:t>inoma and hemangioblastoma. [26</w:t>
      </w:r>
      <w:r w:rsidRPr="009D212A">
        <w:rPr>
          <w:rFonts w:ascii="Times New Roman" w:eastAsia="Calibri" w:hAnsi="Times New Roman" w:cs="Times New Roman"/>
          <w:kern w:val="2"/>
          <w:sz w:val="24"/>
          <w:szCs w:val="24"/>
          <w:shd w:val="clear" w:color="auto" w:fill="FFFFFF"/>
          <w14:ligatures w14:val="standardContextual"/>
        </w:rPr>
        <w:t>].</w:t>
      </w:r>
      <w:r w:rsidRPr="009D212A">
        <w:rPr>
          <w:rFonts w:ascii="Times New Roman" w:eastAsia="Calibri" w:hAnsi="Times New Roman" w:cs="Times New Roman"/>
          <w:b/>
          <w:kern w:val="2"/>
          <w:sz w:val="24"/>
          <w:szCs w:val="24"/>
          <w:shd w:val="clear" w:color="auto" w:fill="FFFFFF"/>
          <w14:ligatures w14:val="standardContextual"/>
        </w:rPr>
        <w:t xml:space="preserve"> </w:t>
      </w:r>
      <w:r w:rsidR="00CB2913" w:rsidRPr="009D212A">
        <w:rPr>
          <w:rFonts w:ascii="Times New Roman" w:eastAsia="Calibri" w:hAnsi="Times New Roman" w:cs="Times New Roman"/>
          <w:kern w:val="2"/>
          <w:sz w:val="24"/>
          <w:szCs w:val="24"/>
          <w:shd w:val="clear" w:color="auto" w:fill="FFFFFF"/>
          <w:lang w:val="en-GB"/>
          <w14:ligatures w14:val="standardContextual"/>
        </w:rPr>
        <w:t>Cases of VHL syndrome in children have also bee</w:t>
      </w:r>
      <w:r w:rsidR="008E1383" w:rsidRPr="009D212A">
        <w:rPr>
          <w:rFonts w:ascii="Times New Roman" w:eastAsia="Calibri" w:hAnsi="Times New Roman" w:cs="Times New Roman"/>
          <w:kern w:val="2"/>
          <w:sz w:val="24"/>
          <w:szCs w:val="24"/>
          <w:shd w:val="clear" w:color="auto" w:fill="FFFFFF"/>
          <w:lang w:val="en-GB"/>
          <w14:ligatures w14:val="standardContextual"/>
        </w:rPr>
        <w:t>n described in the literature [8-20</w:t>
      </w:r>
      <w:r w:rsidR="00CB2913" w:rsidRPr="009D212A">
        <w:rPr>
          <w:rFonts w:ascii="Times New Roman" w:eastAsia="Calibri" w:hAnsi="Times New Roman" w:cs="Times New Roman"/>
          <w:kern w:val="2"/>
          <w:sz w:val="24"/>
          <w:szCs w:val="24"/>
          <w:shd w:val="clear" w:color="auto" w:fill="FFFFFF"/>
          <w:lang w:val="en-GB"/>
          <w14:ligatures w14:val="standardContextual"/>
        </w:rPr>
        <w:t>]. Diagnosis relies on genetic testing and clinical imaging.</w:t>
      </w:r>
    </w:p>
    <w:p w14:paraId="5784FB85" w14:textId="77777777" w:rsidR="005B4FCA" w:rsidRPr="009D212A" w:rsidRDefault="005B4FCA" w:rsidP="00CB2913">
      <w:pPr>
        <w:spacing w:after="0" w:line="360" w:lineRule="auto"/>
        <w:rPr>
          <w:rFonts w:ascii="Times New Roman" w:eastAsia="Calibri" w:hAnsi="Times New Roman" w:cs="Times New Roman"/>
          <w:b/>
          <w:kern w:val="2"/>
          <w:sz w:val="24"/>
          <w:szCs w:val="24"/>
          <w:lang w:val="en-GB"/>
          <w14:ligatures w14:val="standardContextual"/>
        </w:rPr>
      </w:pPr>
    </w:p>
    <w:p w14:paraId="657F2BD1"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b/>
          <w:bCs/>
          <w:kern w:val="2"/>
          <w:sz w:val="24"/>
          <w:szCs w:val="24"/>
          <w:shd w:val="clear" w:color="auto" w:fill="FFFFFF"/>
          <w:lang w:val="en-GB"/>
          <w14:ligatures w14:val="standardContextual"/>
        </w:rPr>
        <w:t>Components of VHL type 1</w:t>
      </w:r>
    </w:p>
    <w:p w14:paraId="7BC3877A" w14:textId="2A06980B" w:rsidR="00562343" w:rsidRPr="009D212A" w:rsidRDefault="00CB2913" w:rsidP="00CB2913">
      <w:pPr>
        <w:spacing w:after="0" w:line="360" w:lineRule="auto"/>
        <w:rPr>
          <w:rFonts w:ascii="Times New Roman" w:eastAsia="Calibri" w:hAnsi="Times New Roman" w:cs="Times New Roman"/>
          <w:kern w:val="2"/>
          <w:sz w:val="24"/>
          <w:szCs w:val="24"/>
          <w:shd w:val="clear" w:color="auto" w:fill="FFFFFF"/>
          <w:lang w:val="en-GB"/>
          <w14:ligatures w14:val="standardContextual"/>
        </w:rPr>
      </w:pPr>
      <w:r w:rsidRPr="009D212A">
        <w:rPr>
          <w:rFonts w:ascii="Times New Roman" w:eastAsia="Calibri" w:hAnsi="Times New Roman" w:cs="Times New Roman"/>
          <w:kern w:val="2"/>
          <w:sz w:val="24"/>
          <w:szCs w:val="24"/>
          <w:shd w:val="clear" w:color="auto" w:fill="FFFFFF"/>
          <w:lang w:val="en-GB"/>
          <w14:ligatures w14:val="standardContextual"/>
        </w:rPr>
        <w:t>The first type of the disease is characterised by predominant deletion mutations. Moreover, in this type, there is an absence of the development of pheochromocytoma. Typically, patients without the development of pheochromocytoma in VHL syndrome experience complete remission of tumour lesions, with the tumours exhibiting low malignancy [3-6].</w:t>
      </w:r>
    </w:p>
    <w:p w14:paraId="3E8FA326" w14:textId="77777777" w:rsidR="0063269C" w:rsidRPr="009D212A" w:rsidRDefault="0063269C" w:rsidP="00CB2913">
      <w:pPr>
        <w:spacing w:after="0" w:line="360" w:lineRule="auto"/>
        <w:rPr>
          <w:rFonts w:ascii="Times New Roman" w:eastAsia="Calibri" w:hAnsi="Times New Roman" w:cs="Times New Roman"/>
          <w:b/>
          <w:bCs/>
          <w:kern w:val="2"/>
          <w:sz w:val="24"/>
          <w:szCs w:val="24"/>
          <w:lang w:val="en-GB"/>
          <w14:ligatures w14:val="standardContextual"/>
        </w:rPr>
      </w:pPr>
    </w:p>
    <w:p w14:paraId="6409E012" w14:textId="77777777" w:rsidR="0063269C" w:rsidRPr="009D212A" w:rsidRDefault="0063269C" w:rsidP="00CB2913">
      <w:pPr>
        <w:spacing w:after="0" w:line="360" w:lineRule="auto"/>
        <w:rPr>
          <w:rFonts w:ascii="Times New Roman" w:eastAsia="Calibri" w:hAnsi="Times New Roman" w:cs="Times New Roman"/>
          <w:b/>
          <w:bCs/>
          <w:kern w:val="2"/>
          <w:sz w:val="24"/>
          <w:szCs w:val="24"/>
          <w:lang w:val="en-GB"/>
          <w14:ligatures w14:val="standardContextual"/>
        </w:rPr>
      </w:pPr>
    </w:p>
    <w:p w14:paraId="53985B1D" w14:textId="021E6B5F" w:rsidR="00CB2913" w:rsidRPr="009D212A" w:rsidRDefault="00CB2913" w:rsidP="00CB2913">
      <w:pPr>
        <w:spacing w:after="0" w:line="360" w:lineRule="auto"/>
        <w:rPr>
          <w:rFonts w:ascii="Times New Roman" w:eastAsia="Calibri" w:hAnsi="Times New Roman" w:cs="Times New Roman"/>
          <w:b/>
          <w:bCs/>
          <w:kern w:val="2"/>
          <w:sz w:val="24"/>
          <w:szCs w:val="24"/>
          <w:lang w:val="en-GB"/>
          <w14:ligatures w14:val="standardContextual"/>
        </w:rPr>
      </w:pPr>
      <w:r w:rsidRPr="009D212A">
        <w:rPr>
          <w:rFonts w:ascii="Times New Roman" w:eastAsia="Calibri" w:hAnsi="Times New Roman" w:cs="Times New Roman"/>
          <w:b/>
          <w:bCs/>
          <w:kern w:val="2"/>
          <w:sz w:val="24"/>
          <w:szCs w:val="24"/>
          <w:lang w:val="en-GB"/>
          <w14:ligatures w14:val="standardContextual"/>
        </w:rPr>
        <w:t>Components of VHL type 2</w:t>
      </w:r>
    </w:p>
    <w:p w14:paraId="16EC5994" w14:textId="5D1ED2A2"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In the second type of VHL syndrome, there is a significant risk (40-60%) of developing pheochromocytoma and clear cell rena</w:t>
      </w:r>
      <w:r w:rsidR="008E1383" w:rsidRPr="009D212A">
        <w:rPr>
          <w:rFonts w:ascii="Times New Roman" w:eastAsia="Calibri" w:hAnsi="Times New Roman" w:cs="Times New Roman"/>
          <w:kern w:val="2"/>
          <w:sz w:val="24"/>
          <w:szCs w:val="24"/>
          <w:lang w:val="en-GB"/>
          <w14:ligatures w14:val="standardContextual"/>
        </w:rPr>
        <w:t>l cell carcinoma (ccRCC) [3-6,21</w:t>
      </w:r>
      <w:r w:rsidRPr="009D212A">
        <w:rPr>
          <w:rFonts w:ascii="Times New Roman" w:eastAsia="Calibri" w:hAnsi="Times New Roman" w:cs="Times New Roman"/>
          <w:kern w:val="2"/>
          <w:sz w:val="24"/>
          <w:szCs w:val="24"/>
          <w:lang w:val="en-GB"/>
          <w14:ligatures w14:val="standardContextual"/>
        </w:rPr>
        <w:t>]. Additionally, within type 2, three subtypes are dis</w:t>
      </w:r>
      <w:r w:rsidR="000915D8" w:rsidRPr="009D212A">
        <w:rPr>
          <w:rFonts w:ascii="Times New Roman" w:eastAsia="Calibri" w:hAnsi="Times New Roman" w:cs="Times New Roman"/>
          <w:kern w:val="2"/>
          <w:sz w:val="24"/>
          <w:szCs w:val="24"/>
          <w:lang w:val="en-GB"/>
          <w14:ligatures w14:val="standardContextual"/>
        </w:rPr>
        <w:t>tinguished - 2A, 2B, and 2C. [2</w:t>
      </w:r>
      <w:r w:rsidR="008E1383" w:rsidRPr="009D212A">
        <w:rPr>
          <w:rFonts w:ascii="Times New Roman" w:eastAsia="Calibri" w:hAnsi="Times New Roman" w:cs="Times New Roman"/>
          <w:kern w:val="2"/>
          <w:sz w:val="24"/>
          <w:szCs w:val="24"/>
          <w:lang w:val="en-GB"/>
          <w14:ligatures w14:val="standardContextual"/>
        </w:rPr>
        <w:t>7</w:t>
      </w:r>
      <w:r w:rsidRPr="009D212A">
        <w:rPr>
          <w:rFonts w:ascii="Times New Roman" w:eastAsia="Calibri" w:hAnsi="Times New Roman" w:cs="Times New Roman"/>
          <w:kern w:val="2"/>
          <w:sz w:val="24"/>
          <w:szCs w:val="24"/>
          <w:lang w:val="en-GB"/>
          <w14:ligatures w14:val="standardContextual"/>
        </w:rPr>
        <w:t xml:space="preserve">] </w:t>
      </w:r>
    </w:p>
    <w:p w14:paraId="043547C7" w14:textId="4D1CD8FA"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They are categorized based on the occurrence of hemangioblastomas and cle</w:t>
      </w:r>
      <w:r w:rsidR="00E379D7" w:rsidRPr="009D212A">
        <w:rPr>
          <w:rFonts w:ascii="Times New Roman" w:eastAsia="Calibri" w:hAnsi="Times New Roman" w:cs="Times New Roman"/>
          <w:kern w:val="2"/>
          <w:sz w:val="24"/>
          <w:szCs w:val="24"/>
          <w:lang w:val="en-GB"/>
          <w14:ligatures w14:val="standardContextual"/>
        </w:rPr>
        <w:t xml:space="preserve">ar cell renal cell carcinoma </w:t>
      </w:r>
      <w:r w:rsidR="008E1383" w:rsidRPr="009D212A">
        <w:rPr>
          <w:rFonts w:ascii="Times New Roman" w:eastAsia="Calibri" w:hAnsi="Times New Roman" w:cs="Times New Roman"/>
          <w:kern w:val="2"/>
          <w:sz w:val="24"/>
          <w:szCs w:val="24"/>
          <w:lang w:val="en-GB"/>
          <w14:ligatures w14:val="standardContextual"/>
        </w:rPr>
        <w:t>[27</w:t>
      </w:r>
      <w:r w:rsidRPr="009D212A">
        <w:rPr>
          <w:rFonts w:ascii="Times New Roman" w:eastAsia="Calibri" w:hAnsi="Times New Roman" w:cs="Times New Roman"/>
          <w:kern w:val="2"/>
          <w:sz w:val="24"/>
          <w:szCs w:val="24"/>
          <w:lang w:val="en-GB"/>
          <w14:ligatures w14:val="standardContextual"/>
        </w:rPr>
        <w:t xml:space="preserve">]. </w:t>
      </w:r>
    </w:p>
    <w:p w14:paraId="0B0F5BF0" w14:textId="48E50FF5"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Hemangioblastoma can be observed in subtypes 2A and 2B. RCC is typically found </w:t>
      </w:r>
      <w:r w:rsidR="00E379D7" w:rsidRPr="009D212A">
        <w:rPr>
          <w:rFonts w:ascii="Times New Roman" w:eastAsia="Calibri" w:hAnsi="Times New Roman" w:cs="Times New Roman"/>
          <w:kern w:val="2"/>
          <w:sz w:val="24"/>
          <w:szCs w:val="24"/>
          <w:lang w:val="en-GB"/>
          <w14:ligatures w14:val="standardContextual"/>
        </w:rPr>
        <w:t xml:space="preserve">in patients with subtype 2B. </w:t>
      </w:r>
      <w:r w:rsidR="008E1383" w:rsidRPr="009D212A">
        <w:rPr>
          <w:rFonts w:ascii="Times New Roman" w:eastAsia="Calibri" w:hAnsi="Times New Roman" w:cs="Times New Roman"/>
          <w:kern w:val="2"/>
          <w:sz w:val="24"/>
          <w:szCs w:val="24"/>
          <w:lang w:val="en-GB"/>
          <w14:ligatures w14:val="standardContextual"/>
        </w:rPr>
        <w:t>[27</w:t>
      </w:r>
      <w:r w:rsidRPr="009D212A">
        <w:rPr>
          <w:rFonts w:ascii="Times New Roman" w:eastAsia="Calibri" w:hAnsi="Times New Roman" w:cs="Times New Roman"/>
          <w:kern w:val="2"/>
          <w:sz w:val="24"/>
          <w:szCs w:val="24"/>
          <w:lang w:val="en-GB"/>
          <w14:ligatures w14:val="standardContextual"/>
        </w:rPr>
        <w:t>] Subtype 2C is rare and involves RCC or papillary cell carcinoma (PCC).</w:t>
      </w:r>
    </w:p>
    <w:p w14:paraId="6746B3F7" w14:textId="4325D928" w:rsidR="00CB2913" w:rsidRPr="009D212A" w:rsidRDefault="00940045"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[28,29</w:t>
      </w:r>
      <w:r w:rsidR="00CB2913" w:rsidRPr="009D212A">
        <w:rPr>
          <w:rFonts w:ascii="Times New Roman" w:eastAsia="Calibri" w:hAnsi="Times New Roman" w:cs="Times New Roman"/>
          <w:kern w:val="2"/>
          <w:sz w:val="24"/>
          <w:szCs w:val="24"/>
          <w:lang w:val="en-GB"/>
          <w14:ligatures w14:val="standardContextual"/>
        </w:rPr>
        <w:t>] Point mutations such as transversion type,</w:t>
      </w:r>
      <w:r w:rsidRPr="009D212A">
        <w:rPr>
          <w:rFonts w:ascii="Times New Roman" w:eastAsia="Calibri" w:hAnsi="Times New Roman" w:cs="Times New Roman"/>
          <w:kern w:val="2"/>
          <w:sz w:val="24"/>
          <w:szCs w:val="24"/>
          <w:lang w:val="en-GB"/>
          <w14:ligatures w14:val="standardContextual"/>
        </w:rPr>
        <w:t xml:space="preserve"> are specific for VHL Type 2  [8-20</w:t>
      </w:r>
      <w:r w:rsidR="00CB2913" w:rsidRPr="009D212A">
        <w:rPr>
          <w:rFonts w:ascii="Times New Roman" w:eastAsia="Calibri" w:hAnsi="Times New Roman" w:cs="Times New Roman"/>
          <w:kern w:val="2"/>
          <w:sz w:val="24"/>
          <w:szCs w:val="24"/>
          <w:lang w:val="en-GB"/>
          <w14:ligatures w14:val="standardContextual"/>
        </w:rPr>
        <w:t>].</w:t>
      </w:r>
    </w:p>
    <w:p w14:paraId="1E730A43"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Such mutations are additionally nonsense mutations leading to the formation of an abnormal protein structure. The studied gene is a tumour suppressor gene; therefore, mutations in it contribute to the development of tumours.</w:t>
      </w:r>
    </w:p>
    <w:p w14:paraId="3E5D65A9" w14:textId="77777777" w:rsidR="00CB2913" w:rsidRPr="009D212A" w:rsidRDefault="00CB2913" w:rsidP="00CB2913">
      <w:pPr>
        <w:spacing w:after="0" w:line="360" w:lineRule="auto"/>
        <w:rPr>
          <w:rFonts w:ascii="Times New Roman" w:eastAsia="Calibri" w:hAnsi="Times New Roman" w:cs="Times New Roman"/>
          <w:b/>
          <w:bCs/>
          <w:kern w:val="2"/>
          <w:sz w:val="24"/>
          <w:szCs w:val="24"/>
          <w:lang w:val="en-GB"/>
          <w14:ligatures w14:val="standardContextual"/>
        </w:rPr>
      </w:pPr>
    </w:p>
    <w:p w14:paraId="33DEF62F" w14:textId="5512F8BA" w:rsidR="008835AE" w:rsidRDefault="00CB2913" w:rsidP="00CB2913">
      <w:pPr>
        <w:spacing w:after="0" w:line="360" w:lineRule="auto"/>
        <w:rPr>
          <w:rFonts w:ascii="Times New Roman" w:eastAsia="Calibri" w:hAnsi="Times New Roman" w:cs="Times New Roman"/>
          <w:b/>
          <w:bCs/>
          <w:kern w:val="2"/>
          <w:sz w:val="24"/>
          <w:szCs w:val="24"/>
          <w:lang w:val="en-GB"/>
          <w14:ligatures w14:val="standardContextual"/>
        </w:rPr>
      </w:pPr>
      <w:r w:rsidRPr="009D212A">
        <w:rPr>
          <w:rFonts w:ascii="Times New Roman" w:eastAsia="Calibri" w:hAnsi="Times New Roman" w:cs="Times New Roman"/>
          <w:b/>
          <w:bCs/>
          <w:kern w:val="2"/>
          <w:sz w:val="24"/>
          <w:szCs w:val="24"/>
          <w:lang w:val="en-GB"/>
          <w14:ligatures w14:val="standardContextual"/>
        </w:rPr>
        <w:t>Diagnosis</w:t>
      </w:r>
    </w:p>
    <w:p w14:paraId="2A431C61" w14:textId="77777777" w:rsidR="006713E3" w:rsidRPr="006713E3" w:rsidRDefault="006713E3" w:rsidP="006713E3">
      <w:pPr>
        <w:spacing w:after="0" w:line="360" w:lineRule="auto"/>
        <w:rPr>
          <w:rFonts w:ascii="Times New Roman" w:eastAsia="Calibri" w:hAnsi="Times New Roman" w:cs="Times New Roman"/>
          <w:bCs/>
          <w:kern w:val="2"/>
          <w:sz w:val="24"/>
          <w:szCs w:val="24"/>
          <w:lang w:val="en-GB"/>
          <w14:ligatures w14:val="standardContextual"/>
        </w:rPr>
      </w:pPr>
      <w:r w:rsidRPr="006713E3">
        <w:rPr>
          <w:rFonts w:ascii="Times New Roman" w:eastAsia="Calibri" w:hAnsi="Times New Roman" w:cs="Times New Roman"/>
          <w:bCs/>
          <w:kern w:val="2"/>
          <w:sz w:val="24"/>
          <w:szCs w:val="24"/>
          <w:lang w:val="en-GB"/>
          <w14:ligatures w14:val="standardContextual"/>
        </w:rPr>
        <w:lastRenderedPageBreak/>
        <w:t>In the diagnosis of VHL disease, medical history (including a detailed family history), physical examination, imaging studies (such as magnetic resonance imaging, computed tomography, and ultrasonography), and genetic testing are utilized.</w:t>
      </w:r>
    </w:p>
    <w:p w14:paraId="0EB182A7" w14:textId="6BA46EEE" w:rsidR="008835AE" w:rsidRPr="008835AE" w:rsidRDefault="006713E3" w:rsidP="006713E3">
      <w:pPr>
        <w:spacing w:after="0" w:line="360" w:lineRule="auto"/>
        <w:rPr>
          <w:rFonts w:ascii="Times New Roman" w:eastAsia="Calibri" w:hAnsi="Times New Roman" w:cs="Times New Roman"/>
          <w:bCs/>
          <w:kern w:val="2"/>
          <w:sz w:val="24"/>
          <w:szCs w:val="24"/>
          <w:lang w:val="en-GB"/>
          <w14:ligatures w14:val="standardContextual"/>
        </w:rPr>
      </w:pPr>
      <w:r w:rsidRPr="006713E3">
        <w:rPr>
          <w:rFonts w:ascii="Times New Roman" w:eastAsia="Calibri" w:hAnsi="Times New Roman" w:cs="Times New Roman"/>
          <w:bCs/>
          <w:kern w:val="2"/>
          <w:sz w:val="24"/>
          <w:szCs w:val="24"/>
          <w:lang w:val="en-GB"/>
          <w14:ligatures w14:val="standardContextual"/>
        </w:rPr>
        <w:t>The physical examination may reveal various neurological disturbances, such as problems with motor coordination, balance; vision and hearing impairments, muscle weakness, palpable abdominal mass, and feelings of fatigue and weakness.</w:t>
      </w:r>
      <w:bookmarkStart w:id="0" w:name="_GoBack"/>
      <w:bookmarkEnd w:id="0"/>
      <w:r>
        <w:rPr>
          <w:rFonts w:ascii="Times New Roman" w:eastAsia="Calibri" w:hAnsi="Times New Roman" w:cs="Times New Roman"/>
          <w:bCs/>
          <w:kern w:val="2"/>
          <w:sz w:val="24"/>
          <w:szCs w:val="24"/>
          <w:lang w:val="en-GB"/>
          <w14:ligatures w14:val="standardContextual"/>
        </w:rPr>
        <w:t xml:space="preserve"> </w:t>
      </w:r>
    </w:p>
    <w:p w14:paraId="68455871"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VHL diagnosis is basen on genetic tests to confirm or rule out mutations in the VHL gene of potentially affected individuals and the family genetic line. </w:t>
      </w:r>
    </w:p>
    <w:p w14:paraId="1EB53D33" w14:textId="07E635A8" w:rsidR="00184B05" w:rsidRPr="009D212A" w:rsidRDefault="00CB2913" w:rsidP="005C698A">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Patients should be referred for VHL gene testing if the individual's medical history reports either retinal hemangioblastomas (RH), central nervous system hemangioblastomas, pheochromocytomas (PCC), endolymphatic sac tumours (ELST), or RCC with atypical features, including people aged below 46, bilateral or multifocal tumours, and other fa</w:t>
      </w:r>
      <w:r w:rsidR="00E379D7" w:rsidRPr="009D212A">
        <w:rPr>
          <w:rFonts w:ascii="Times New Roman" w:eastAsia="Calibri" w:hAnsi="Times New Roman" w:cs="Times New Roman"/>
          <w:kern w:val="2"/>
          <w:sz w:val="24"/>
          <w:szCs w:val="24"/>
          <w:lang w:val="en-GB"/>
          <w14:ligatures w14:val="standardContextual"/>
        </w:rPr>
        <w:t xml:space="preserve">mily members with RCC cases. </w:t>
      </w:r>
      <w:r w:rsidR="00940045" w:rsidRPr="009D212A">
        <w:rPr>
          <w:rFonts w:ascii="Times New Roman" w:eastAsia="Calibri" w:hAnsi="Times New Roman" w:cs="Times New Roman"/>
          <w:kern w:val="2"/>
          <w:sz w:val="24"/>
          <w:szCs w:val="24"/>
          <w:lang w:val="en-GB"/>
          <w14:ligatures w14:val="standardContextual"/>
        </w:rPr>
        <w:t>[30</w:t>
      </w:r>
      <w:r w:rsidRPr="009D212A">
        <w:rPr>
          <w:rFonts w:ascii="Times New Roman" w:eastAsia="Calibri" w:hAnsi="Times New Roman" w:cs="Times New Roman"/>
          <w:kern w:val="2"/>
          <w:sz w:val="24"/>
          <w:szCs w:val="24"/>
          <w:lang w:val="en-GB"/>
          <w14:ligatures w14:val="standardContextual"/>
        </w:rPr>
        <w:t xml:space="preserve">]. </w:t>
      </w:r>
      <w:r w:rsidR="00081B65" w:rsidRPr="009D212A">
        <w:rPr>
          <w:rFonts w:ascii="Times New Roman" w:eastAsia="Calibri" w:hAnsi="Times New Roman" w:cs="Times New Roman"/>
          <w:kern w:val="2"/>
          <w:sz w:val="24"/>
          <w:szCs w:val="24"/>
          <w:lang w:val="en-GB"/>
          <w14:ligatures w14:val="standardContextual"/>
        </w:rPr>
        <w:t xml:space="preserve">In some patients, the diagnosis of VHL is made based on clinical symptoms. For individuals with a family history of VHL disease, the presence of one characteristic symptom of VHL disease is sufficient, whereas in the absence of a family history, two symptoms of the VHL syndrome are necessary for diagnosis, one of which must be a hemangioma. It is recommended that the diagnosis and further treatment be conducted by a multidisciplinary team, which includes a clinical geneticist, neurosurgeon, endocrinologist, urologist, </w:t>
      </w:r>
      <w:r w:rsidR="009D212A">
        <w:rPr>
          <w:rFonts w:ascii="Times New Roman" w:eastAsia="Calibri" w:hAnsi="Times New Roman" w:cs="Times New Roman"/>
          <w:kern w:val="2"/>
          <w:sz w:val="24"/>
          <w:szCs w:val="24"/>
          <w:lang w:val="en-GB"/>
          <w14:ligatures w14:val="standardContextual"/>
        </w:rPr>
        <w:t>ophthalmologist, and oncologist</w:t>
      </w:r>
      <w:r w:rsidR="00081B65" w:rsidRPr="009D212A">
        <w:rPr>
          <w:rFonts w:ascii="Times New Roman" w:eastAsia="Calibri" w:hAnsi="Times New Roman" w:cs="Times New Roman"/>
          <w:kern w:val="2"/>
          <w:sz w:val="24"/>
          <w:szCs w:val="24"/>
          <w:lang w:val="en-GB"/>
          <w14:ligatures w14:val="standardContextual"/>
        </w:rPr>
        <w:t xml:space="preserve"> </w:t>
      </w:r>
      <w:r w:rsidR="005C698A" w:rsidRPr="009D212A">
        <w:rPr>
          <w:rFonts w:ascii="Times New Roman" w:eastAsia="Calibri" w:hAnsi="Times New Roman" w:cs="Times New Roman"/>
          <w:kern w:val="2"/>
          <w:sz w:val="24"/>
          <w:szCs w:val="24"/>
          <w:lang w:val="en-GB"/>
          <w14:ligatures w14:val="standardContextual"/>
        </w:rPr>
        <w:t>[</w:t>
      </w:r>
      <w:r w:rsidR="008E1383" w:rsidRPr="009D212A">
        <w:rPr>
          <w:rFonts w:ascii="Times New Roman" w:eastAsia="Calibri" w:hAnsi="Times New Roman" w:cs="Times New Roman"/>
          <w:kern w:val="2"/>
          <w:sz w:val="24"/>
          <w:szCs w:val="24"/>
          <w:lang w:val="en-GB"/>
          <w14:ligatures w14:val="standardContextual"/>
        </w:rPr>
        <w:t>7</w:t>
      </w:r>
      <w:r w:rsidR="005C698A" w:rsidRPr="009D212A">
        <w:rPr>
          <w:rFonts w:ascii="Times New Roman" w:eastAsia="Calibri" w:hAnsi="Times New Roman" w:cs="Times New Roman"/>
          <w:kern w:val="2"/>
          <w:sz w:val="24"/>
          <w:szCs w:val="24"/>
          <w:lang w:val="en-GB"/>
          <w14:ligatures w14:val="standardContextual"/>
        </w:rPr>
        <w:t>]</w:t>
      </w:r>
      <w:r w:rsidR="009D212A">
        <w:rPr>
          <w:rFonts w:ascii="Times New Roman" w:eastAsia="Calibri" w:hAnsi="Times New Roman" w:cs="Times New Roman"/>
          <w:kern w:val="2"/>
          <w:sz w:val="24"/>
          <w:szCs w:val="24"/>
          <w:lang w:val="en-GB"/>
          <w14:ligatures w14:val="standardContextual"/>
        </w:rPr>
        <w:t>.</w:t>
      </w:r>
      <w:r w:rsidR="005C698A" w:rsidRPr="009D212A">
        <w:rPr>
          <w:rFonts w:ascii="Times New Roman" w:eastAsia="Calibri" w:hAnsi="Times New Roman" w:cs="Times New Roman"/>
          <w:kern w:val="2"/>
          <w:sz w:val="24"/>
          <w:szCs w:val="24"/>
          <w:lang w:val="en-GB"/>
          <w14:ligatures w14:val="standardContextual"/>
        </w:rPr>
        <w:t xml:space="preserve"> </w:t>
      </w:r>
    </w:p>
    <w:p w14:paraId="475ED27F" w14:textId="29F97D8F"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Specific diagnostic criteria for VHL were constructed </w:t>
      </w:r>
      <w:r w:rsidR="00562343" w:rsidRPr="009D212A">
        <w:rPr>
          <w:rFonts w:ascii="Times New Roman" w:eastAsia="Calibri" w:hAnsi="Times New Roman" w:cs="Times New Roman"/>
          <w:kern w:val="2"/>
          <w:sz w:val="24"/>
          <w:szCs w:val="24"/>
          <w:lang w:val="en-GB"/>
          <w14:ligatures w14:val="standardContextual"/>
        </w:rPr>
        <w:br/>
      </w:r>
      <w:r w:rsidRPr="009D212A">
        <w:rPr>
          <w:rFonts w:ascii="Times New Roman" w:eastAsia="Calibri" w:hAnsi="Times New Roman" w:cs="Times New Roman"/>
          <w:kern w:val="2"/>
          <w:sz w:val="24"/>
          <w:szCs w:val="24"/>
          <w:lang w:val="en-GB"/>
          <w14:ligatures w14:val="standardContextual"/>
        </w:rPr>
        <w:t>(Table 1).</w:t>
      </w:r>
      <w:r w:rsidR="00184B05" w:rsidRPr="009D212A">
        <w:rPr>
          <w:rFonts w:ascii="Times New Roman" w:eastAsia="Calibri" w:hAnsi="Times New Roman" w:cs="Times New Roman"/>
          <w:kern w:val="2"/>
          <w:sz w:val="24"/>
          <w:szCs w:val="24"/>
          <w:lang w:val="en-GB"/>
          <w14:ligatures w14:val="standardContextual"/>
        </w:rPr>
        <w:t xml:space="preserve"> </w:t>
      </w:r>
    </w:p>
    <w:p w14:paraId="1BBE3E1C"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p>
    <w:p w14:paraId="6C618831" w14:textId="01E8B4F0" w:rsidR="00CB2913" w:rsidRPr="009D212A" w:rsidRDefault="000A7C9E" w:rsidP="00CB2913">
      <w:pPr>
        <w:spacing w:after="0" w:line="360" w:lineRule="auto"/>
        <w:rPr>
          <w:rFonts w:ascii="Times New Roman" w:eastAsia="Calibri" w:hAnsi="Times New Roman" w:cs="Times New Roman"/>
          <w:b/>
          <w:kern w:val="2"/>
          <w:sz w:val="24"/>
          <w:szCs w:val="24"/>
          <w:shd w:val="clear" w:color="auto" w:fill="FFFFFF"/>
          <w:lang w:val="en-GB"/>
          <w14:ligatures w14:val="standardContextual"/>
        </w:rPr>
      </w:pPr>
      <w:r w:rsidRPr="009D212A">
        <w:rPr>
          <w:rFonts w:ascii="Times New Roman" w:eastAsia="Calibri" w:hAnsi="Times New Roman" w:cs="Times New Roman"/>
          <w:b/>
          <w:kern w:val="2"/>
          <w:sz w:val="24"/>
          <w:szCs w:val="24"/>
          <w:shd w:val="clear" w:color="auto" w:fill="FFFFFF"/>
          <w:lang w:val="en-GB"/>
          <w14:ligatures w14:val="standardContextual"/>
        </w:rPr>
        <w:t>Table 1,</w:t>
      </w:r>
      <w:r w:rsidR="00CB2913" w:rsidRPr="009D212A">
        <w:rPr>
          <w:rFonts w:ascii="Times New Roman" w:eastAsia="Calibri" w:hAnsi="Times New Roman" w:cs="Times New Roman"/>
          <w:kern w:val="2"/>
          <w:sz w:val="24"/>
          <w:szCs w:val="24"/>
          <w:shd w:val="clear" w:color="auto" w:fill="FFFFFF"/>
          <w:lang w:val="en-GB"/>
          <w14:ligatures w14:val="standardContextual"/>
        </w:rPr>
        <w:t xml:space="preserve"> Danish and international</w:t>
      </w:r>
      <w:r w:rsidR="00E379D7" w:rsidRPr="009D212A">
        <w:rPr>
          <w:rFonts w:ascii="Times New Roman" w:eastAsia="Calibri" w:hAnsi="Times New Roman" w:cs="Times New Roman"/>
          <w:kern w:val="2"/>
          <w:sz w:val="24"/>
          <w:szCs w:val="24"/>
          <w:shd w:val="clear" w:color="auto" w:fill="FFFFFF"/>
          <w:lang w:val="en-GB"/>
          <w14:ligatures w14:val="standardContextual"/>
        </w:rPr>
        <w:t xml:space="preserve"> criteria for diagnosing VHL </w:t>
      </w:r>
      <w:r w:rsidR="00940045" w:rsidRPr="009D212A">
        <w:rPr>
          <w:rFonts w:ascii="Times New Roman" w:eastAsia="Calibri" w:hAnsi="Times New Roman" w:cs="Times New Roman"/>
          <w:kern w:val="2"/>
          <w:sz w:val="24"/>
          <w:szCs w:val="24"/>
          <w:shd w:val="clear" w:color="auto" w:fill="FFFFFF"/>
          <w:lang w:val="en-GB"/>
          <w14:ligatures w14:val="standardContextual"/>
        </w:rPr>
        <w:t>[31-35</w:t>
      </w:r>
      <w:r w:rsidR="00CB2913" w:rsidRPr="009D212A">
        <w:rPr>
          <w:rFonts w:ascii="Times New Roman" w:eastAsia="Calibri" w:hAnsi="Times New Roman" w:cs="Times New Roman"/>
          <w:kern w:val="2"/>
          <w:sz w:val="24"/>
          <w:szCs w:val="24"/>
          <w:shd w:val="clear" w:color="auto" w:fill="FFFFFF"/>
          <w:lang w:val="en-GB"/>
          <w14:ligatures w14:val="standardContextual"/>
        </w:rPr>
        <w:t>].</w:t>
      </w:r>
      <w:r w:rsidR="00CB2913" w:rsidRPr="009D212A">
        <w:rPr>
          <w:rFonts w:ascii="Times New Roman" w:eastAsia="Calibri" w:hAnsi="Times New Roman" w:cs="Times New Roman"/>
          <w:kern w:val="2"/>
          <w:sz w:val="24"/>
          <w:szCs w:val="24"/>
          <w:lang w:val="en-GB"/>
          <w14:ligatures w14:val="standardContextual"/>
        </w:rPr>
        <w:br/>
      </w:r>
      <w:r w:rsidR="00CB2913" w:rsidRPr="009D212A">
        <w:rPr>
          <w:rFonts w:ascii="Times New Roman" w:eastAsia="Calibri" w:hAnsi="Times New Roman" w:cs="Times New Roman"/>
          <w:kern w:val="2"/>
          <w:sz w:val="24"/>
          <w:szCs w:val="24"/>
          <w:lang w:val="en-GB"/>
          <w14:ligatures w14:val="standardContextual"/>
        </w:rPr>
        <w:br/>
      </w:r>
      <w:r w:rsidR="00CB2913" w:rsidRPr="009D212A">
        <w:rPr>
          <w:rFonts w:ascii="Times New Roman" w:eastAsia="Calibri" w:hAnsi="Times New Roman" w:cs="Times New Roman"/>
          <w:kern w:val="2"/>
          <w:sz w:val="24"/>
          <w:szCs w:val="24"/>
          <w:shd w:val="clear" w:color="auto" w:fill="FFFFFF"/>
          <w:lang w:val="en-GB"/>
          <w14:ligatures w14:val="standardContextual"/>
        </w:rPr>
        <w:t>In patients with VHL, computed tomograp</w:t>
      </w:r>
      <w:r w:rsidR="00562343" w:rsidRPr="009D212A">
        <w:rPr>
          <w:rFonts w:ascii="Times New Roman" w:eastAsia="Calibri" w:hAnsi="Times New Roman" w:cs="Times New Roman"/>
          <w:kern w:val="2"/>
          <w:sz w:val="24"/>
          <w:szCs w:val="24"/>
          <w:shd w:val="clear" w:color="auto" w:fill="FFFFFF"/>
          <w:lang w:val="en-GB"/>
          <w14:ligatures w14:val="standardContextual"/>
        </w:rPr>
        <w:t>hy (CT) and ultrasonography (US</w:t>
      </w:r>
      <w:r w:rsidR="00CB2913" w:rsidRPr="009D212A">
        <w:rPr>
          <w:rFonts w:ascii="Times New Roman" w:eastAsia="Calibri" w:hAnsi="Times New Roman" w:cs="Times New Roman"/>
          <w:kern w:val="2"/>
          <w:sz w:val="24"/>
          <w:szCs w:val="24"/>
          <w:shd w:val="clear" w:color="auto" w:fill="FFFFFF"/>
          <w:lang w:val="en-GB"/>
          <w14:ligatures w14:val="standardContextual"/>
        </w:rPr>
        <w:t xml:space="preserve">) typically reveal numerous, often bilateral kidney cysts and kidney tumours corresponding to </w:t>
      </w:r>
      <w:r w:rsidRPr="009D212A">
        <w:rPr>
          <w:rFonts w:ascii="Times New Roman" w:eastAsia="Calibri" w:hAnsi="Times New Roman" w:cs="Times New Roman"/>
          <w:kern w:val="2"/>
          <w:sz w:val="24"/>
          <w:szCs w:val="24"/>
          <w:shd w:val="clear" w:color="auto" w:fill="FFFFFF"/>
          <w:lang w:val="en-GB"/>
          <w14:ligatures w14:val="standardContextual"/>
        </w:rPr>
        <w:t>cc</w:t>
      </w:r>
      <w:r w:rsidR="00CB2913" w:rsidRPr="009D212A">
        <w:rPr>
          <w:rFonts w:ascii="Times New Roman" w:eastAsia="Calibri" w:hAnsi="Times New Roman" w:cs="Times New Roman"/>
          <w:kern w:val="2"/>
          <w:sz w:val="24"/>
          <w:szCs w:val="24"/>
          <w:shd w:val="clear" w:color="auto" w:fill="FFFFFF"/>
          <w:lang w:val="en-GB"/>
          <w14:ligatures w14:val="standardContextual"/>
        </w:rPr>
        <w:t xml:space="preserve">RCC. </w:t>
      </w:r>
      <w:r w:rsidRPr="009D212A">
        <w:rPr>
          <w:rFonts w:ascii="Times New Roman" w:eastAsia="Calibri" w:hAnsi="Times New Roman" w:cs="Times New Roman"/>
          <w:kern w:val="2"/>
          <w:sz w:val="24"/>
          <w:szCs w:val="24"/>
          <w:shd w:val="clear" w:color="auto" w:fill="FFFFFF"/>
          <w:lang w:val="en-GB"/>
          <w14:ligatures w14:val="standardContextual"/>
        </w:rPr>
        <w:t>cc</w:t>
      </w:r>
      <w:r w:rsidR="00CB2913" w:rsidRPr="009D212A">
        <w:rPr>
          <w:rFonts w:ascii="Times New Roman" w:eastAsia="Calibri" w:hAnsi="Times New Roman" w:cs="Times New Roman"/>
          <w:kern w:val="2"/>
          <w:sz w:val="24"/>
          <w:szCs w:val="24"/>
          <w:shd w:val="clear" w:color="auto" w:fill="FFFFFF"/>
          <w:lang w:val="en-GB"/>
          <w14:ligatures w14:val="standardContextual"/>
        </w:rPr>
        <w:t>RCCs usually coexist with other changes in the central nervous system or cysts in the pancreas and epididymis.</w:t>
      </w:r>
      <w:r w:rsidR="00716677" w:rsidRPr="009D212A">
        <w:rPr>
          <w:rFonts w:ascii="Times New Roman" w:eastAsia="Calibri" w:hAnsi="Times New Roman" w:cs="Times New Roman"/>
          <w:kern w:val="2"/>
          <w:sz w:val="24"/>
          <w:szCs w:val="24"/>
          <w:shd w:val="clear" w:color="auto" w:fill="FFFFFF"/>
          <w:lang w:val="en-GB"/>
          <w14:ligatures w14:val="standardContextual"/>
        </w:rPr>
        <w:t xml:space="preserve"> </w:t>
      </w:r>
      <w:r w:rsidR="006713E3" w:rsidRPr="006713E3">
        <w:rPr>
          <w:rFonts w:ascii="Times New Roman" w:eastAsia="Calibri" w:hAnsi="Times New Roman" w:cs="Times New Roman"/>
          <w:kern w:val="2"/>
          <w:sz w:val="24"/>
          <w:szCs w:val="24"/>
          <w:shd w:val="clear" w:color="auto" w:fill="FFFFFF"/>
          <w:lang w:val="en-GB"/>
          <w14:ligatures w14:val="standardContextual"/>
        </w:rPr>
        <w:t xml:space="preserve">MRI (Magnetic Resonance Imaging) allows for the visualization of changes in the central nervous system. </w:t>
      </w:r>
      <w:r w:rsidR="006713E3">
        <w:rPr>
          <w:rFonts w:ascii="Times New Roman" w:eastAsia="Calibri" w:hAnsi="Times New Roman" w:cs="Times New Roman"/>
          <w:kern w:val="2"/>
          <w:sz w:val="24"/>
          <w:szCs w:val="24"/>
          <w:shd w:val="clear" w:color="auto" w:fill="FFFFFF"/>
          <w:lang w:val="en-GB"/>
          <w14:ligatures w14:val="standardContextual"/>
        </w:rPr>
        <w:t>(</w:t>
      </w:r>
      <w:r w:rsidR="00716677" w:rsidRPr="009D212A">
        <w:rPr>
          <w:rFonts w:ascii="Times New Roman" w:eastAsia="Calibri" w:hAnsi="Times New Roman" w:cs="Times New Roman"/>
          <w:kern w:val="2"/>
          <w:sz w:val="24"/>
          <w:szCs w:val="24"/>
          <w:shd w:val="clear" w:color="auto" w:fill="FFFFFF"/>
          <w14:ligatures w14:val="standardContextual"/>
        </w:rPr>
        <w:t xml:space="preserve">CT scans presented changes occurring in patients with von Hippel-Lindau syndrome, in fairly common locations </w:t>
      </w:r>
      <w:r w:rsidR="00716677" w:rsidRPr="009D212A">
        <w:rPr>
          <w:rFonts w:ascii="Times New Roman" w:eastAsia="Calibri" w:hAnsi="Times New Roman" w:cs="Times New Roman"/>
          <w:b/>
          <w:kern w:val="2"/>
          <w:sz w:val="24"/>
          <w:szCs w:val="24"/>
          <w:shd w:val="clear" w:color="auto" w:fill="FFFFFF"/>
          <w14:ligatures w14:val="standardContextual"/>
        </w:rPr>
        <w:t>(Fig. 1-4a).</w:t>
      </w:r>
    </w:p>
    <w:p w14:paraId="31C95768" w14:textId="77777777" w:rsidR="00716677" w:rsidRPr="009D212A" w:rsidRDefault="00716677" w:rsidP="00CB2913">
      <w:pPr>
        <w:spacing w:after="0" w:line="360" w:lineRule="auto"/>
        <w:rPr>
          <w:rFonts w:ascii="Times New Roman" w:eastAsia="Calibri" w:hAnsi="Times New Roman" w:cs="Times New Roman"/>
          <w:kern w:val="2"/>
          <w:sz w:val="24"/>
          <w:szCs w:val="24"/>
          <w:shd w:val="clear" w:color="auto" w:fill="FFFFFF"/>
          <w:lang w:val="en-GB"/>
          <w14:ligatures w14:val="standardContextual"/>
        </w:rPr>
      </w:pPr>
    </w:p>
    <w:p w14:paraId="201F53E8" w14:textId="6B74B04B" w:rsidR="00716677" w:rsidRPr="009D212A" w:rsidRDefault="00716677" w:rsidP="00716677">
      <w:pPr>
        <w:spacing w:line="360" w:lineRule="auto"/>
        <w:rPr>
          <w:rFonts w:ascii="Times New Roman" w:hAnsi="Times New Roman" w:cs="Times New Roman"/>
          <w:b/>
          <w:sz w:val="24"/>
          <w:szCs w:val="24"/>
          <w:lang w:val="en-US"/>
        </w:rPr>
      </w:pPr>
      <w:r w:rsidRPr="009D212A">
        <w:rPr>
          <w:rFonts w:ascii="Times New Roman" w:eastAsia="Calibri" w:hAnsi="Times New Roman" w:cs="Times New Roman"/>
          <w:b/>
          <w:kern w:val="2"/>
          <w:sz w:val="24"/>
          <w:szCs w:val="24"/>
          <w:shd w:val="clear" w:color="auto" w:fill="FFFFFF"/>
          <w:lang w:val="en-GB"/>
          <w14:ligatures w14:val="standardContextual"/>
        </w:rPr>
        <w:t>Fig. 1.</w:t>
      </w:r>
      <w:r w:rsidRPr="009D212A">
        <w:rPr>
          <w:rFonts w:ascii="Times New Roman" w:hAnsi="Times New Roman" w:cs="Times New Roman"/>
          <w:b/>
          <w:sz w:val="24"/>
          <w:szCs w:val="24"/>
          <w:lang w:val="en-US"/>
        </w:rPr>
        <w:t xml:space="preserve"> Cystic hemangioblastoma. Enhanced coronal T1-weighted MR image depicts a cystic mass with a strongly enhancing mural nodule (arrow) in the cerebellum.</w:t>
      </w:r>
    </w:p>
    <w:p w14:paraId="3D52A0C3" w14:textId="51FC5BDB" w:rsidR="00716677" w:rsidRPr="009D212A" w:rsidRDefault="00716677" w:rsidP="00716677">
      <w:pPr>
        <w:spacing w:line="360" w:lineRule="auto"/>
        <w:rPr>
          <w:rFonts w:ascii="Times New Roman" w:hAnsi="Times New Roman" w:cs="Times New Roman"/>
          <w:b/>
          <w:sz w:val="24"/>
          <w:szCs w:val="24"/>
          <w:lang w:val="en-US"/>
        </w:rPr>
      </w:pPr>
      <w:r w:rsidRPr="009D212A">
        <w:rPr>
          <w:rFonts w:ascii="Times New Roman" w:hAnsi="Times New Roman" w:cs="Times New Roman"/>
          <w:b/>
          <w:sz w:val="24"/>
          <w:szCs w:val="24"/>
          <w:lang w:val="en-US"/>
        </w:rPr>
        <w:lastRenderedPageBreak/>
        <w:t>Fig. 2. Coronal contrast-enhanced CT scan shows right adrenal gland pheochromocytoma with homogeneous, vivid enhancement (arrow).</w:t>
      </w:r>
    </w:p>
    <w:p w14:paraId="769C219B" w14:textId="037F05F6" w:rsidR="00716677" w:rsidRPr="009D212A" w:rsidRDefault="00716677" w:rsidP="00716677">
      <w:pPr>
        <w:spacing w:line="360" w:lineRule="auto"/>
        <w:rPr>
          <w:rFonts w:ascii="Times New Roman" w:hAnsi="Times New Roman" w:cs="Times New Roman"/>
          <w:b/>
          <w:sz w:val="24"/>
          <w:szCs w:val="24"/>
          <w:lang w:val="en-US"/>
        </w:rPr>
      </w:pPr>
      <w:r w:rsidRPr="009D212A">
        <w:rPr>
          <w:rFonts w:ascii="Times New Roman" w:hAnsi="Times New Roman" w:cs="Times New Roman"/>
          <w:b/>
          <w:sz w:val="24"/>
          <w:szCs w:val="24"/>
          <w:lang w:val="en-US"/>
        </w:rPr>
        <w:t>Fig. 2a. Same patient as in Fig.2. Axial contrast-enhanced CT image depicts multiple cystic lesions (arrows) scattered within the body and tail of pancreas.</w:t>
      </w:r>
    </w:p>
    <w:p w14:paraId="04FB8866" w14:textId="042B941A" w:rsidR="00716677" w:rsidRPr="009D212A" w:rsidRDefault="00716677" w:rsidP="00716677">
      <w:pPr>
        <w:spacing w:line="360" w:lineRule="auto"/>
        <w:rPr>
          <w:rFonts w:ascii="Times New Roman" w:hAnsi="Times New Roman" w:cs="Times New Roman"/>
          <w:b/>
          <w:sz w:val="24"/>
          <w:szCs w:val="24"/>
          <w:lang w:val="en-US"/>
        </w:rPr>
      </w:pPr>
      <w:r w:rsidRPr="009D212A">
        <w:rPr>
          <w:rFonts w:ascii="Times New Roman" w:hAnsi="Times New Roman" w:cs="Times New Roman"/>
          <w:b/>
          <w:sz w:val="24"/>
          <w:szCs w:val="24"/>
          <w:lang w:val="en-US"/>
        </w:rPr>
        <w:t>Fig. 3. Coronal contrast-enhanced CT scan shows left renal solid mass (arrow) showing strong arterial enhancement typical for clear cell renal cell carcinoma.</w:t>
      </w:r>
    </w:p>
    <w:p w14:paraId="40AC67C1" w14:textId="71922463" w:rsidR="00716677" w:rsidRPr="009D212A" w:rsidRDefault="00716677" w:rsidP="00716677">
      <w:pPr>
        <w:spacing w:line="360" w:lineRule="auto"/>
        <w:rPr>
          <w:rFonts w:ascii="Times New Roman" w:hAnsi="Times New Roman" w:cs="Times New Roman"/>
          <w:b/>
          <w:sz w:val="24"/>
          <w:szCs w:val="24"/>
          <w:lang w:val="en-US"/>
        </w:rPr>
      </w:pPr>
      <w:r w:rsidRPr="009D212A">
        <w:rPr>
          <w:rFonts w:ascii="Times New Roman" w:hAnsi="Times New Roman" w:cs="Times New Roman"/>
          <w:b/>
          <w:sz w:val="24"/>
          <w:szCs w:val="24"/>
          <w:lang w:val="en-US"/>
        </w:rPr>
        <w:t xml:space="preserve">Fig. 3a. Same patient as in Fig.3. Coronal contrast-enhanced CT scan depicts left adrenal mass showing heterogeneous enhancement suggestive of pheochromocytoma. </w:t>
      </w:r>
    </w:p>
    <w:p w14:paraId="31152185" w14:textId="23825AB1" w:rsidR="00716677" w:rsidRPr="009D212A" w:rsidRDefault="00716677" w:rsidP="00716677">
      <w:pPr>
        <w:spacing w:line="360" w:lineRule="auto"/>
        <w:rPr>
          <w:rFonts w:ascii="Times New Roman" w:hAnsi="Times New Roman" w:cs="Times New Roman"/>
          <w:b/>
          <w:sz w:val="24"/>
          <w:szCs w:val="24"/>
          <w:lang w:val="en-US"/>
        </w:rPr>
      </w:pPr>
      <w:r w:rsidRPr="009D212A">
        <w:rPr>
          <w:rFonts w:ascii="Times New Roman" w:hAnsi="Times New Roman" w:cs="Times New Roman"/>
          <w:b/>
          <w:sz w:val="24"/>
          <w:szCs w:val="24"/>
          <w:lang w:val="en-US"/>
        </w:rPr>
        <w:t>Fig. 3b. Same patient as in Fig 3 and 3a. Axial contrast-enhanced CT image demonstrates a small well-defined hyperenhancing mass (arrow) located in the pancreatic uncinate process. CT appearance of the lesion is considered suggestive of neuroendocrine tumor (NET).</w:t>
      </w:r>
    </w:p>
    <w:p w14:paraId="12B3ACF5" w14:textId="0A6927A3" w:rsidR="00716677" w:rsidRPr="009D212A" w:rsidRDefault="00716677" w:rsidP="00716677">
      <w:pPr>
        <w:spacing w:line="360" w:lineRule="auto"/>
        <w:rPr>
          <w:rFonts w:ascii="Times New Roman" w:hAnsi="Times New Roman" w:cs="Times New Roman"/>
          <w:b/>
          <w:sz w:val="24"/>
          <w:szCs w:val="24"/>
          <w:lang w:val="en-US"/>
        </w:rPr>
      </w:pPr>
      <w:r w:rsidRPr="009D212A">
        <w:rPr>
          <w:rFonts w:ascii="Times New Roman" w:hAnsi="Times New Roman" w:cs="Times New Roman"/>
          <w:b/>
          <w:sz w:val="24"/>
          <w:szCs w:val="24"/>
          <w:lang w:val="en-US"/>
        </w:rPr>
        <w:t>Fig. 4. Axial contrast-enhanced CT image shows complex cystic left renal mass (large arrow) and multiple simple renal cysts (small arrow).</w:t>
      </w:r>
    </w:p>
    <w:p w14:paraId="2A57604F" w14:textId="16CF80EF" w:rsidR="00562343" w:rsidRPr="009D212A" w:rsidRDefault="00716677" w:rsidP="008A16BF">
      <w:pPr>
        <w:spacing w:line="360" w:lineRule="auto"/>
        <w:rPr>
          <w:rFonts w:ascii="Times New Roman" w:hAnsi="Times New Roman" w:cs="Times New Roman"/>
          <w:b/>
          <w:sz w:val="24"/>
          <w:szCs w:val="24"/>
          <w:lang w:val="en-US"/>
        </w:rPr>
      </w:pPr>
      <w:r w:rsidRPr="009D212A">
        <w:rPr>
          <w:rFonts w:ascii="Times New Roman" w:hAnsi="Times New Roman" w:cs="Times New Roman"/>
          <w:b/>
          <w:sz w:val="24"/>
          <w:szCs w:val="24"/>
          <w:lang w:val="en-US"/>
        </w:rPr>
        <w:t>Fig 4a. Axial contrast-enhanced CT image in the same patient as in Fig. 4. The arrows show multiple, hypodense cystic lesions within the pancreatic tail.</w:t>
      </w:r>
    </w:p>
    <w:p w14:paraId="087138A2" w14:textId="59303B14" w:rsidR="00CB2913" w:rsidRPr="009D212A" w:rsidRDefault="00CB2913" w:rsidP="00CB2913">
      <w:pPr>
        <w:spacing w:after="0" w:line="360" w:lineRule="auto"/>
        <w:rPr>
          <w:rFonts w:ascii="Times New Roman" w:eastAsia="Calibri" w:hAnsi="Times New Roman" w:cs="Times New Roman"/>
          <w:b/>
          <w:bCs/>
          <w:kern w:val="2"/>
          <w:sz w:val="24"/>
          <w:szCs w:val="24"/>
          <w:lang w:val="en-GB"/>
          <w14:ligatures w14:val="standardContextual"/>
        </w:rPr>
      </w:pPr>
      <w:r w:rsidRPr="009D212A">
        <w:rPr>
          <w:rFonts w:ascii="Times New Roman" w:eastAsia="Calibri" w:hAnsi="Times New Roman" w:cs="Times New Roman"/>
          <w:b/>
          <w:bCs/>
          <w:kern w:val="2"/>
          <w:sz w:val="24"/>
          <w:szCs w:val="24"/>
          <w:lang w:val="en-GB"/>
          <w14:ligatures w14:val="standardContextual"/>
        </w:rPr>
        <w:t>Treatment</w:t>
      </w:r>
    </w:p>
    <w:p w14:paraId="7A96430A"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The treatment of patients with VHL syndrome depends on the manifestations and clinical symptoms. However, the cornerstone of management is surgical treatment with a multidisciplinary team of specialists.</w:t>
      </w:r>
    </w:p>
    <w:p w14:paraId="7196CC91"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Radical nephrectomy (RN) or sparing surgery nephrectomy (NSS) for patients with kidney tumors depends on the clinical advancement of the tumour. Currently, according to the latest EAU guidelines, if possible, the NSS is the preferred treatment for patientswith kidney tumors. However, in the case of VHL syndrome patients, the literature does not adopt a position.</w:t>
      </w:r>
    </w:p>
    <w:p w14:paraId="4132D348" w14:textId="765C4C12"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NSS is recommended primarily for patients with </w:t>
      </w:r>
      <w:r w:rsidR="000A7C9E" w:rsidRPr="009D212A">
        <w:rPr>
          <w:rFonts w:ascii="Times New Roman" w:eastAsia="Calibri" w:hAnsi="Times New Roman" w:cs="Times New Roman"/>
          <w:kern w:val="2"/>
          <w:sz w:val="24"/>
          <w:szCs w:val="24"/>
          <w:lang w:val="en-GB"/>
          <w14:ligatures w14:val="standardContextual"/>
        </w:rPr>
        <w:t>cc</w:t>
      </w:r>
      <w:r w:rsidRPr="009D212A">
        <w:rPr>
          <w:rFonts w:ascii="Times New Roman" w:eastAsia="Calibri" w:hAnsi="Times New Roman" w:cs="Times New Roman"/>
          <w:kern w:val="2"/>
          <w:sz w:val="24"/>
          <w:szCs w:val="24"/>
          <w:lang w:val="en-GB"/>
          <w14:ligatures w14:val="standardContextual"/>
        </w:rPr>
        <w:t xml:space="preserve">RCC at stage T1. According to the EAU guidelines, NSS better preserves overall kidney function compared to RN. However, due to incompatibile results, the beneficial effect of NSS on overall survival, suggested in some studies, remains unconfirmed. Thus, in the case of VHL syndrome, this method is not preferred because new tumors may rapidly develop from the remaining kidney tissue. </w:t>
      </w:r>
      <w:r w:rsidRPr="009D212A">
        <w:rPr>
          <w:rFonts w:ascii="Times New Roman" w:eastAsia="Calibri" w:hAnsi="Times New Roman" w:cs="Times New Roman"/>
          <w:kern w:val="2"/>
          <w:sz w:val="24"/>
          <w:szCs w:val="24"/>
          <w:lang w:val="en-GB"/>
          <w14:ligatures w14:val="standardContextual"/>
        </w:rPr>
        <w:lastRenderedPageBreak/>
        <w:t>Nevertheless, it is recommended to treat tumors smaller than 4 cm with NSS wh</w:t>
      </w:r>
      <w:r w:rsidR="00E379D7" w:rsidRPr="009D212A">
        <w:rPr>
          <w:rFonts w:ascii="Times New Roman" w:eastAsia="Calibri" w:hAnsi="Times New Roman" w:cs="Times New Roman"/>
          <w:kern w:val="2"/>
          <w:sz w:val="24"/>
          <w:szCs w:val="24"/>
          <w:lang w:val="en-GB"/>
          <w14:ligatures w14:val="standardContextual"/>
        </w:rPr>
        <w:t xml:space="preserve">ile preserving kidney tissue </w:t>
      </w:r>
      <w:r w:rsidR="00940045" w:rsidRPr="009D212A">
        <w:rPr>
          <w:rFonts w:ascii="Times New Roman" w:eastAsia="Calibri" w:hAnsi="Times New Roman" w:cs="Times New Roman"/>
          <w:kern w:val="2"/>
          <w:sz w:val="24"/>
          <w:szCs w:val="24"/>
          <w:lang w:val="en-GB"/>
          <w14:ligatures w14:val="standardContextual"/>
        </w:rPr>
        <w:t>[36</w:t>
      </w:r>
      <w:r w:rsidRPr="009D212A">
        <w:rPr>
          <w:rFonts w:ascii="Times New Roman" w:eastAsia="Calibri" w:hAnsi="Times New Roman" w:cs="Times New Roman"/>
          <w:kern w:val="2"/>
          <w:sz w:val="24"/>
          <w:szCs w:val="24"/>
          <w:lang w:val="en-GB"/>
          <w14:ligatures w14:val="standardContextual"/>
        </w:rPr>
        <w:t>].</w:t>
      </w:r>
    </w:p>
    <w:p w14:paraId="55E04DB1"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Another cited study state that in patients after NSS, the risk of developing new tumours in the same kidney within five years and the overall risk of reoperation is respectively 50% and 25%. </w:t>
      </w:r>
    </w:p>
    <w:p w14:paraId="191165A8" w14:textId="5D0DED40"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However, the treatment strategy adopted by these authors using NSS and strict observation maintained proper kidney function without an </w:t>
      </w:r>
      <w:r w:rsidR="00E379D7" w:rsidRPr="009D212A">
        <w:rPr>
          <w:rFonts w:ascii="Times New Roman" w:eastAsia="Calibri" w:hAnsi="Times New Roman" w:cs="Times New Roman"/>
          <w:kern w:val="2"/>
          <w:sz w:val="24"/>
          <w:szCs w:val="24"/>
          <w:lang w:val="en-GB"/>
          <w14:ligatures w14:val="standardContextual"/>
        </w:rPr>
        <w:t xml:space="preserve">increased risk of metastasis </w:t>
      </w:r>
      <w:r w:rsidR="00940045" w:rsidRPr="009D212A">
        <w:rPr>
          <w:rFonts w:ascii="Times New Roman" w:eastAsia="Calibri" w:hAnsi="Times New Roman" w:cs="Times New Roman"/>
          <w:kern w:val="2"/>
          <w:sz w:val="24"/>
          <w:szCs w:val="24"/>
          <w:lang w:val="en-GB"/>
          <w14:ligatures w14:val="standardContextual"/>
        </w:rPr>
        <w:t>[37</w:t>
      </w:r>
      <w:r w:rsidRPr="009D212A">
        <w:rPr>
          <w:rFonts w:ascii="Times New Roman" w:eastAsia="Calibri" w:hAnsi="Times New Roman" w:cs="Times New Roman"/>
          <w:kern w:val="2"/>
          <w:sz w:val="24"/>
          <w:szCs w:val="24"/>
          <w:lang w:val="en-GB"/>
          <w14:ligatures w14:val="standardContextual"/>
        </w:rPr>
        <w:t>].</w:t>
      </w:r>
    </w:p>
    <w:p w14:paraId="4B759627"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On the other hand, RN usually applies to tumours staged T2 and higher. Currently, the laparoscopic RN is recommended for T2 tumours. Compared to open RN, laparoscopic RN is characterised by decreased  blood loss, shorter hospitalisation time, and patients</w:t>
      </w:r>
    </w:p>
    <w:p w14:paraId="790E31E1"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report less postoperative pain, returning to daily activities quicker. </w:t>
      </w:r>
    </w:p>
    <w:p w14:paraId="309C6B2B" w14:textId="68302F89"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Open RN is considered the standard procedure for T3 and T4 advanced tumours [3</w:t>
      </w:r>
      <w:r w:rsidR="00940045" w:rsidRPr="009D212A">
        <w:rPr>
          <w:rFonts w:ascii="Times New Roman" w:eastAsia="Calibri" w:hAnsi="Times New Roman" w:cs="Times New Roman"/>
          <w:kern w:val="2"/>
          <w:sz w:val="24"/>
          <w:szCs w:val="24"/>
          <w:lang w:val="en-GB"/>
          <w14:ligatures w14:val="standardContextual"/>
        </w:rPr>
        <w:t>8</w:t>
      </w:r>
      <w:r w:rsidRPr="009D212A">
        <w:rPr>
          <w:rFonts w:ascii="Times New Roman" w:eastAsia="Calibri" w:hAnsi="Times New Roman" w:cs="Times New Roman"/>
          <w:kern w:val="2"/>
          <w:sz w:val="24"/>
          <w:szCs w:val="24"/>
          <w:lang w:val="en-GB"/>
          <w14:ligatures w14:val="standardContextual"/>
        </w:rPr>
        <w:t>].</w:t>
      </w:r>
    </w:p>
    <w:p w14:paraId="7BC80FC8"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p>
    <w:p w14:paraId="45127094"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An increasing number of medical centres have access to the da Vinci robot. Patients eligible for RN or NSS can also be considered for robot-assisted surgery. However, compared to laparoscopic methods, no significant benefits for patient recovery have been demonstrated</w:t>
      </w:r>
    </w:p>
    <w:p w14:paraId="16586469" w14:textId="36AC22EC" w:rsidR="007753BA"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with robot-assisted surgery. Moreover, robot-assisted RN (RAR</w:t>
      </w:r>
      <w:r w:rsidR="00E379D7" w:rsidRPr="009D212A">
        <w:rPr>
          <w:rFonts w:ascii="Times New Roman" w:eastAsia="Calibri" w:hAnsi="Times New Roman" w:cs="Times New Roman"/>
          <w:kern w:val="2"/>
          <w:sz w:val="24"/>
          <w:szCs w:val="24"/>
          <w:lang w:val="en-GB"/>
          <w14:ligatures w14:val="standardContextual"/>
        </w:rPr>
        <w:t xml:space="preserve">N) increases treatment costs </w:t>
      </w:r>
      <w:r w:rsidR="00940045" w:rsidRPr="009D212A">
        <w:rPr>
          <w:rFonts w:ascii="Times New Roman" w:eastAsia="Calibri" w:hAnsi="Times New Roman" w:cs="Times New Roman"/>
          <w:kern w:val="2"/>
          <w:sz w:val="24"/>
          <w:szCs w:val="24"/>
          <w:lang w:val="en-GB"/>
          <w14:ligatures w14:val="standardContextual"/>
        </w:rPr>
        <w:t>[38</w:t>
      </w:r>
      <w:r w:rsidRPr="009D212A">
        <w:rPr>
          <w:rFonts w:ascii="Times New Roman" w:eastAsia="Calibri" w:hAnsi="Times New Roman" w:cs="Times New Roman"/>
          <w:kern w:val="2"/>
          <w:sz w:val="24"/>
          <w:szCs w:val="24"/>
          <w:lang w:val="en-GB"/>
          <w14:ligatures w14:val="standardContextual"/>
        </w:rPr>
        <w:t>].</w:t>
      </w:r>
      <w:r w:rsidR="00940045" w:rsidRPr="009D212A">
        <w:rPr>
          <w:rFonts w:ascii="Times New Roman" w:eastAsia="Calibri" w:hAnsi="Times New Roman" w:cs="Times New Roman"/>
          <w:kern w:val="2"/>
          <w:sz w:val="24"/>
          <w:szCs w:val="24"/>
          <w:lang w:val="en-GB"/>
          <w14:ligatures w14:val="standardContextual"/>
        </w:rPr>
        <w:t xml:space="preserve"> </w:t>
      </w:r>
      <w:r w:rsidR="00081B65" w:rsidRPr="009D212A">
        <w:rPr>
          <w:rFonts w:ascii="Times New Roman" w:eastAsia="Calibri" w:hAnsi="Times New Roman" w:cs="Times New Roman"/>
          <w:kern w:val="2"/>
          <w:sz w:val="24"/>
          <w:szCs w:val="24"/>
          <w:lang w:val="en-GB"/>
          <w14:ligatures w14:val="standardContextual"/>
        </w:rPr>
        <w:t xml:space="preserve">In the treatment of patients with VHL, a HIF2a inhibitor (hypoxia-inducible factor) is also used. Under normal conditions, HIF2a, activated by hypoxia, causes the expression of genes, including VEGF, EPO, TGF, EPOR, angiopoietin 1, and transferrin, thereby contributing to the reduction of hypoxia. During normoxia, HIF2a is degraded by the VHL protein. In patients with VHL, the VHL protein loses its function, leading to uncontrolled activation of HIF2a and the expression of the aforementioned genes, causing phenomena such as angiogenesis and erythropoiesis. These processes lead to the development of symptoms of von Hippel-Lindau syndrome. The HIF2a inhibitor prevents the action of HIF2a, which inhibits the development of VHL syndrome. The HIF2a inhibitor plays a significant role in the treatment of patients with von Hippel-Lindau syndrome and RCC, as the HIF2a factor in this cancer is treated as an oncogene. </w:t>
      </w:r>
      <w:r w:rsidR="007970A9" w:rsidRPr="009D212A">
        <w:rPr>
          <w:rFonts w:ascii="Times New Roman" w:hAnsi="Times New Roman" w:cs="Times New Roman"/>
          <w:sz w:val="24"/>
          <w:szCs w:val="24"/>
          <w:shd w:val="clear" w:color="auto" w:fill="F7F7F8"/>
          <w:lang w:val="en-GB"/>
        </w:rPr>
        <w:t>[</w:t>
      </w:r>
      <w:r w:rsidR="00940045" w:rsidRPr="009D212A">
        <w:rPr>
          <w:rFonts w:ascii="Times New Roman" w:hAnsi="Times New Roman" w:cs="Times New Roman"/>
          <w:sz w:val="24"/>
          <w:szCs w:val="24"/>
          <w:shd w:val="clear" w:color="auto" w:fill="F7F7F8"/>
          <w:lang w:val="en-GB"/>
        </w:rPr>
        <w:t>39</w:t>
      </w:r>
      <w:r w:rsidR="007970A9" w:rsidRPr="009D212A">
        <w:rPr>
          <w:rFonts w:ascii="Times New Roman" w:eastAsia="Calibri" w:hAnsi="Times New Roman" w:cs="Times New Roman"/>
          <w:kern w:val="2"/>
          <w:sz w:val="24"/>
          <w:szCs w:val="24"/>
          <w:lang w:val="en-GB"/>
          <w14:ligatures w14:val="standardContextual"/>
        </w:rPr>
        <w:t>]</w:t>
      </w:r>
      <w:r w:rsidR="007753BA" w:rsidRPr="009D212A">
        <w:rPr>
          <w:rFonts w:ascii="Times New Roman" w:eastAsia="Calibri" w:hAnsi="Times New Roman" w:cs="Times New Roman"/>
          <w:kern w:val="2"/>
          <w:sz w:val="24"/>
          <w:szCs w:val="24"/>
          <w:lang w:val="en-GB"/>
          <w14:ligatures w14:val="standardContextual"/>
        </w:rPr>
        <w:t xml:space="preserve"> </w:t>
      </w:r>
      <w:r w:rsidR="00081B65" w:rsidRPr="009D212A">
        <w:rPr>
          <w:rFonts w:ascii="Times New Roman" w:eastAsia="Calibri" w:hAnsi="Times New Roman" w:cs="Times New Roman"/>
          <w:kern w:val="2"/>
          <w:sz w:val="24"/>
          <w:szCs w:val="24"/>
          <w:lang w:val="en-GB"/>
          <w14:ligatures w14:val="standardContextual"/>
        </w:rPr>
        <w:t xml:space="preserve">HIF2a is expressed in various cell types, including endothelial cells of blood vessels, renal glomeruli, cardiomyocytes, and hepatocytes. </w:t>
      </w:r>
      <w:r w:rsidR="007753BA" w:rsidRPr="009D212A">
        <w:rPr>
          <w:rFonts w:ascii="Times New Roman" w:eastAsia="Calibri" w:hAnsi="Times New Roman" w:cs="Times New Roman"/>
          <w:kern w:val="2"/>
          <w:sz w:val="24"/>
          <w:szCs w:val="24"/>
          <w:lang w:val="en-GB"/>
          <w14:ligatures w14:val="standardContextual"/>
        </w:rPr>
        <w:t>[</w:t>
      </w:r>
      <w:r w:rsidR="00940045" w:rsidRPr="009D212A">
        <w:rPr>
          <w:rFonts w:ascii="Times New Roman" w:eastAsia="Calibri" w:hAnsi="Times New Roman" w:cs="Times New Roman"/>
          <w:kern w:val="2"/>
          <w:sz w:val="24"/>
          <w:szCs w:val="24"/>
          <w:lang w:val="en-GB"/>
          <w14:ligatures w14:val="standardContextual"/>
        </w:rPr>
        <w:t>40</w:t>
      </w:r>
      <w:r w:rsidR="007753BA" w:rsidRPr="009D212A">
        <w:rPr>
          <w:rFonts w:ascii="Times New Roman" w:eastAsia="Calibri" w:hAnsi="Times New Roman" w:cs="Times New Roman"/>
          <w:kern w:val="2"/>
          <w:sz w:val="24"/>
          <w:szCs w:val="24"/>
          <w:lang w:val="en-GB"/>
          <w14:ligatures w14:val="standardContextual"/>
        </w:rPr>
        <w:t xml:space="preserve">] </w:t>
      </w:r>
      <w:r w:rsidR="00081B65" w:rsidRPr="009D212A">
        <w:rPr>
          <w:rFonts w:ascii="Times New Roman" w:eastAsia="Calibri" w:hAnsi="Times New Roman" w:cs="Times New Roman"/>
          <w:kern w:val="2"/>
          <w:sz w:val="24"/>
          <w:szCs w:val="24"/>
          <w:lang w:val="en-GB"/>
          <w14:ligatures w14:val="standardContextual"/>
        </w:rPr>
        <w:t xml:space="preserve">The second generation of HIF2a inhibitors includes NKT2152, DFF332, and belzutifan. During clinical trials, it has been reported that the most common side effects that may occur during treatment are anemia, weakness and fatigue, shortness of breath, and nausea. </w:t>
      </w:r>
      <w:r w:rsidR="005E017A" w:rsidRPr="009D212A">
        <w:rPr>
          <w:rFonts w:ascii="Times New Roman" w:eastAsia="Calibri" w:hAnsi="Times New Roman" w:cs="Times New Roman"/>
          <w:kern w:val="2"/>
          <w:sz w:val="24"/>
          <w:szCs w:val="24"/>
          <w:lang w:val="en-GB"/>
          <w14:ligatures w14:val="standardContextual"/>
        </w:rPr>
        <w:t>[</w:t>
      </w:r>
      <w:r w:rsidR="00940045" w:rsidRPr="009D212A">
        <w:rPr>
          <w:rFonts w:ascii="Times New Roman" w:eastAsia="Calibri" w:hAnsi="Times New Roman" w:cs="Times New Roman"/>
          <w:kern w:val="2"/>
          <w:sz w:val="24"/>
          <w:szCs w:val="24"/>
          <w:lang w:val="en-GB"/>
          <w14:ligatures w14:val="standardContextual"/>
        </w:rPr>
        <w:t>41</w:t>
      </w:r>
      <w:r w:rsidR="005E017A" w:rsidRPr="009D212A">
        <w:rPr>
          <w:rFonts w:ascii="Times New Roman" w:eastAsia="Calibri" w:hAnsi="Times New Roman" w:cs="Times New Roman"/>
          <w:kern w:val="2"/>
          <w:sz w:val="24"/>
          <w:szCs w:val="24"/>
          <w:lang w:val="en-GB"/>
          <w14:ligatures w14:val="standardContextual"/>
        </w:rPr>
        <w:t xml:space="preserve">] </w:t>
      </w:r>
      <w:r w:rsidR="00081B65" w:rsidRPr="009D212A">
        <w:rPr>
          <w:rFonts w:ascii="Times New Roman" w:eastAsia="Calibri" w:hAnsi="Times New Roman" w:cs="Times New Roman"/>
          <w:kern w:val="2"/>
          <w:sz w:val="24"/>
          <w:szCs w:val="24"/>
          <w:lang w:val="en-GB"/>
          <w14:ligatures w14:val="standardContextual"/>
        </w:rPr>
        <w:t xml:space="preserve">The LITESPARK-004 study (a phase II clinical trial) evaluated the efficacy of belzutifan treatment in patients with RCC and VHL disease. The dosage of the drug was 120 mg per day. </w:t>
      </w:r>
      <w:r w:rsidR="00081B65" w:rsidRPr="009D212A">
        <w:rPr>
          <w:rFonts w:ascii="Times New Roman" w:eastAsia="Calibri" w:hAnsi="Times New Roman" w:cs="Times New Roman"/>
          <w:kern w:val="2"/>
          <w:sz w:val="24"/>
          <w:szCs w:val="24"/>
          <w:lang w:val="en-GB"/>
          <w14:ligatures w14:val="standardContextual"/>
        </w:rPr>
        <w:lastRenderedPageBreak/>
        <w:t>Treatment was discontinued in the event of disease progression or the occurrence of unacceptable side effects. The study involved 61 patients, with a median duration of 8.2 months. The objective response rate was assessed at 49% (95% CI 36-62). In 30 patients, the disease remained stable after drug application. The following side effects occurred during the study: anemia, weakness and fatigue, as well as pain and dizziness. To treat anemia, packed red blood cell transfusions and/or erythropoiesis-stimulating agents were used. In August 2021, the FDA approved belzutifan for the treatment of adult patients with VHL disease who have RCC, CNS hemangiomas, or pancreatic neuroendocrine tumors that do not require immediate surgical treatment.</w:t>
      </w:r>
      <w:r w:rsidR="00AE43B4" w:rsidRPr="009D212A">
        <w:rPr>
          <w:rFonts w:ascii="Times New Roman" w:eastAsia="Calibri" w:hAnsi="Times New Roman" w:cs="Times New Roman"/>
          <w:kern w:val="2"/>
          <w:sz w:val="24"/>
          <w:szCs w:val="24"/>
          <w:lang w:val="en-GB"/>
          <w14:ligatures w14:val="standardContextual"/>
        </w:rPr>
        <w:t xml:space="preserve"> [</w:t>
      </w:r>
      <w:r w:rsidR="00940045" w:rsidRPr="009D212A">
        <w:rPr>
          <w:rFonts w:ascii="Times New Roman" w:eastAsia="Calibri" w:hAnsi="Times New Roman" w:cs="Times New Roman"/>
          <w:kern w:val="2"/>
          <w:sz w:val="24"/>
          <w:szCs w:val="24"/>
          <w:lang w:val="en-GB"/>
          <w14:ligatures w14:val="standardContextual"/>
        </w:rPr>
        <w:t>42</w:t>
      </w:r>
      <w:r w:rsidR="00AE43B4" w:rsidRPr="009D212A">
        <w:rPr>
          <w:rFonts w:ascii="Times New Roman" w:eastAsia="Calibri" w:hAnsi="Times New Roman" w:cs="Times New Roman"/>
          <w:kern w:val="2"/>
          <w:sz w:val="24"/>
          <w:szCs w:val="24"/>
          <w:lang w:val="en-GB"/>
          <w14:ligatures w14:val="standardContextual"/>
        </w:rPr>
        <w:t xml:space="preserve">]   </w:t>
      </w:r>
    </w:p>
    <w:p w14:paraId="616300B5" w14:textId="40F2358D" w:rsidR="00AE43B4" w:rsidRPr="009D212A" w:rsidRDefault="00081B65"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Phase III clinical trials are also ongoing for the combination of belzutifan with cabozantinib. The results from earlier studies involving this combination of drugs are promising. </w:t>
      </w:r>
      <w:r w:rsidR="005E017A" w:rsidRPr="009D212A">
        <w:rPr>
          <w:rFonts w:ascii="Times New Roman" w:eastAsia="Calibri" w:hAnsi="Times New Roman" w:cs="Times New Roman"/>
          <w:kern w:val="2"/>
          <w:sz w:val="24"/>
          <w:szCs w:val="24"/>
          <w:lang w:val="en-GB"/>
          <w14:ligatures w14:val="standardContextual"/>
        </w:rPr>
        <w:t>[</w:t>
      </w:r>
      <w:r w:rsidR="00940045" w:rsidRPr="009D212A">
        <w:rPr>
          <w:rFonts w:ascii="Times New Roman" w:eastAsia="Calibri" w:hAnsi="Times New Roman" w:cs="Times New Roman"/>
          <w:kern w:val="2"/>
          <w:sz w:val="24"/>
          <w:szCs w:val="24"/>
          <w:lang w:val="en-GB"/>
          <w14:ligatures w14:val="standardContextual"/>
        </w:rPr>
        <w:t>43</w:t>
      </w:r>
      <w:r w:rsidR="005E017A" w:rsidRPr="009D212A">
        <w:rPr>
          <w:rFonts w:ascii="Times New Roman" w:eastAsia="Calibri" w:hAnsi="Times New Roman" w:cs="Times New Roman"/>
          <w:kern w:val="2"/>
          <w:sz w:val="24"/>
          <w:szCs w:val="24"/>
          <w:lang w:val="en-GB"/>
          <w14:ligatures w14:val="standardContextual"/>
        </w:rPr>
        <w:t xml:space="preserve">] </w:t>
      </w:r>
    </w:p>
    <w:p w14:paraId="025CB153" w14:textId="77777777" w:rsidR="007753BA" w:rsidRPr="009D212A" w:rsidRDefault="007753BA" w:rsidP="00CB2913">
      <w:pPr>
        <w:spacing w:after="0" w:line="360" w:lineRule="auto"/>
        <w:rPr>
          <w:rFonts w:ascii="Times New Roman" w:eastAsia="Calibri" w:hAnsi="Times New Roman" w:cs="Times New Roman"/>
          <w:kern w:val="2"/>
          <w:sz w:val="24"/>
          <w:szCs w:val="24"/>
          <w:lang w:val="en-GB"/>
          <w14:ligatures w14:val="standardContextual"/>
        </w:rPr>
      </w:pPr>
    </w:p>
    <w:p w14:paraId="341290D2" w14:textId="77777777" w:rsidR="007753BA" w:rsidRPr="009D212A" w:rsidRDefault="007753BA" w:rsidP="00CB2913">
      <w:pPr>
        <w:spacing w:after="0" w:line="360" w:lineRule="auto"/>
        <w:rPr>
          <w:rFonts w:ascii="Times New Roman" w:eastAsia="Calibri" w:hAnsi="Times New Roman" w:cs="Times New Roman"/>
          <w:kern w:val="2"/>
          <w:sz w:val="24"/>
          <w:szCs w:val="24"/>
          <w:lang w:val="en-GB"/>
          <w14:ligatures w14:val="standardContextual"/>
        </w:rPr>
      </w:pPr>
    </w:p>
    <w:p w14:paraId="1F7741B4" w14:textId="6937B8A3" w:rsidR="00CB2913" w:rsidRPr="009D212A" w:rsidRDefault="00CB2913" w:rsidP="00CB2913">
      <w:pPr>
        <w:spacing w:after="0" w:line="360" w:lineRule="auto"/>
        <w:rPr>
          <w:rFonts w:ascii="Times New Roman" w:eastAsia="Calibri" w:hAnsi="Times New Roman" w:cs="Times New Roman"/>
          <w:b/>
          <w:bCs/>
          <w:kern w:val="2"/>
          <w:sz w:val="24"/>
          <w:szCs w:val="24"/>
          <w:lang w:val="en-GB"/>
          <w14:ligatures w14:val="standardContextual"/>
        </w:rPr>
      </w:pPr>
      <w:r w:rsidRPr="009D212A">
        <w:rPr>
          <w:rFonts w:ascii="Times New Roman" w:eastAsia="Calibri" w:hAnsi="Times New Roman" w:cs="Times New Roman"/>
          <w:b/>
          <w:bCs/>
          <w:kern w:val="2"/>
          <w:sz w:val="24"/>
          <w:szCs w:val="24"/>
          <w:lang w:val="en-GB"/>
          <w14:ligatures w14:val="standardContextual"/>
        </w:rPr>
        <w:t>Necessity of lymphadenectomy and metastasectomy in case of distant metastasis</w:t>
      </w:r>
    </w:p>
    <w:p w14:paraId="3D205974" w14:textId="5AAAAA15"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Lym</w:t>
      </w:r>
      <w:r w:rsidR="000A7C9E" w:rsidRPr="009D212A">
        <w:rPr>
          <w:rFonts w:ascii="Times New Roman" w:eastAsia="Calibri" w:hAnsi="Times New Roman" w:cs="Times New Roman"/>
          <w:kern w:val="2"/>
          <w:sz w:val="24"/>
          <w:szCs w:val="24"/>
          <w:lang w:val="en-GB"/>
          <w14:ligatures w14:val="standardContextual"/>
        </w:rPr>
        <w:t>phadenectomy in patients with cc</w:t>
      </w:r>
      <w:r w:rsidRPr="009D212A">
        <w:rPr>
          <w:rFonts w:ascii="Times New Roman" w:eastAsia="Calibri" w:hAnsi="Times New Roman" w:cs="Times New Roman"/>
          <w:kern w:val="2"/>
          <w:sz w:val="24"/>
          <w:szCs w:val="24"/>
          <w:lang w:val="en-GB"/>
          <w14:ligatures w14:val="standardContextual"/>
        </w:rPr>
        <w:t xml:space="preserve">RCC does not improve long-term survival rates. </w:t>
      </w:r>
    </w:p>
    <w:p w14:paraId="1D14806C" w14:textId="284B58A0"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In patients with lymph node metastasis, regardless of the disease stage, the 3-year survival rate</w:t>
      </w:r>
      <w:r w:rsidR="00E379D7" w:rsidRPr="009D212A">
        <w:rPr>
          <w:rFonts w:ascii="Times New Roman" w:eastAsia="Calibri" w:hAnsi="Times New Roman" w:cs="Times New Roman"/>
          <w:kern w:val="2"/>
          <w:sz w:val="24"/>
          <w:szCs w:val="24"/>
          <w:lang w:val="en-GB"/>
          <w14:ligatures w14:val="standardContextual"/>
        </w:rPr>
        <w:t xml:space="preserve"> after nephrectomy is 20-30% </w:t>
      </w:r>
      <w:r w:rsidR="00940045" w:rsidRPr="009D212A">
        <w:rPr>
          <w:rFonts w:ascii="Times New Roman" w:eastAsia="Calibri" w:hAnsi="Times New Roman" w:cs="Times New Roman"/>
          <w:kern w:val="2"/>
          <w:sz w:val="24"/>
          <w:szCs w:val="24"/>
          <w:lang w:val="en-GB"/>
          <w14:ligatures w14:val="standardContextual"/>
        </w:rPr>
        <w:t>[44</w:t>
      </w:r>
      <w:r w:rsidRPr="009D212A">
        <w:rPr>
          <w:rFonts w:ascii="Times New Roman" w:eastAsia="Calibri" w:hAnsi="Times New Roman" w:cs="Times New Roman"/>
          <w:kern w:val="2"/>
          <w:sz w:val="24"/>
          <w:szCs w:val="24"/>
          <w:lang w:val="en-GB"/>
          <w14:ligatures w14:val="standardContextual"/>
        </w:rPr>
        <w:t>]. However, in patients with isolated distant metastasis resistant to systemic treatment, performing metastasectomy is recommended. Randomised studies cited here have demonstrated that metastasectomy can improve the survival rates in patients who respond to systemic treatment, patients with metachronous lung metastasis or metastasis that appeared 2 years after t</w:t>
      </w:r>
      <w:r w:rsidR="00E379D7" w:rsidRPr="009D212A">
        <w:rPr>
          <w:rFonts w:ascii="Times New Roman" w:eastAsia="Calibri" w:hAnsi="Times New Roman" w:cs="Times New Roman"/>
          <w:kern w:val="2"/>
          <w:sz w:val="24"/>
          <w:szCs w:val="24"/>
          <w:lang w:val="en-GB"/>
          <w14:ligatures w14:val="standardContextual"/>
        </w:rPr>
        <w:t xml:space="preserve">he primary disease diagnosis </w:t>
      </w:r>
      <w:r w:rsidR="00940045" w:rsidRPr="009D212A">
        <w:rPr>
          <w:rFonts w:ascii="Times New Roman" w:eastAsia="Calibri" w:hAnsi="Times New Roman" w:cs="Times New Roman"/>
          <w:kern w:val="2"/>
          <w:sz w:val="24"/>
          <w:szCs w:val="24"/>
          <w:lang w:val="en-GB"/>
          <w14:ligatures w14:val="standardContextual"/>
        </w:rPr>
        <w:t>[45</w:t>
      </w:r>
      <w:r w:rsidRPr="009D212A">
        <w:rPr>
          <w:rFonts w:ascii="Times New Roman" w:eastAsia="Calibri" w:hAnsi="Times New Roman" w:cs="Times New Roman"/>
          <w:kern w:val="2"/>
          <w:sz w:val="24"/>
          <w:szCs w:val="24"/>
          <w:lang w:val="en-GB"/>
          <w14:ligatures w14:val="standardContextual"/>
        </w:rPr>
        <w:t>].</w:t>
      </w:r>
    </w:p>
    <w:p w14:paraId="1960B3EB" w14:textId="77777777" w:rsidR="000A7C9E" w:rsidRPr="009D212A" w:rsidRDefault="000A7C9E" w:rsidP="00CB2913">
      <w:pPr>
        <w:spacing w:after="0" w:line="360" w:lineRule="auto"/>
        <w:rPr>
          <w:rFonts w:ascii="Times New Roman" w:eastAsia="Calibri" w:hAnsi="Times New Roman" w:cs="Times New Roman"/>
          <w:b/>
          <w:bCs/>
          <w:kern w:val="2"/>
          <w:sz w:val="24"/>
          <w:szCs w:val="24"/>
          <w:lang w:val="en-GB"/>
          <w14:ligatures w14:val="standardContextual"/>
        </w:rPr>
      </w:pPr>
    </w:p>
    <w:p w14:paraId="368F7B70" w14:textId="21461A03" w:rsidR="00CB2913" w:rsidRPr="009D212A" w:rsidRDefault="00CB2913" w:rsidP="00CB2913">
      <w:pPr>
        <w:spacing w:after="0" w:line="360" w:lineRule="auto"/>
        <w:rPr>
          <w:rFonts w:ascii="Times New Roman" w:eastAsia="Calibri" w:hAnsi="Times New Roman" w:cs="Times New Roman"/>
          <w:b/>
          <w:bCs/>
          <w:kern w:val="2"/>
          <w:sz w:val="24"/>
          <w:szCs w:val="24"/>
          <w:lang w:val="en-GB"/>
          <w14:ligatures w14:val="standardContextual"/>
        </w:rPr>
      </w:pPr>
      <w:r w:rsidRPr="009D212A">
        <w:rPr>
          <w:rFonts w:ascii="Times New Roman" w:eastAsia="Calibri" w:hAnsi="Times New Roman" w:cs="Times New Roman"/>
          <w:b/>
          <w:bCs/>
          <w:kern w:val="2"/>
          <w:sz w:val="24"/>
          <w:szCs w:val="24"/>
          <w:lang w:val="en-GB"/>
          <w14:ligatures w14:val="standardContextual"/>
        </w:rPr>
        <w:t>Risk of Recurrence</w:t>
      </w:r>
    </w:p>
    <w:p w14:paraId="397F471D" w14:textId="11F7506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The majority of patients with VHL syndrome experience local recurrence (83.7% after 10 years), with an average recurrence-free period of 53 months. Patients treated with NSS should be informed about strict monitoring and the like</w:t>
      </w:r>
      <w:r w:rsidR="00E379D7" w:rsidRPr="009D212A">
        <w:rPr>
          <w:rFonts w:ascii="Times New Roman" w:eastAsia="Calibri" w:hAnsi="Times New Roman" w:cs="Times New Roman"/>
          <w:kern w:val="2"/>
          <w:sz w:val="24"/>
          <w:szCs w:val="24"/>
          <w:lang w:val="en-GB"/>
          <w14:ligatures w14:val="standardContextual"/>
        </w:rPr>
        <w:t xml:space="preserve">lihood of future reoperation </w:t>
      </w:r>
      <w:r w:rsidR="00940045" w:rsidRPr="009D212A">
        <w:rPr>
          <w:rFonts w:ascii="Times New Roman" w:eastAsia="Calibri" w:hAnsi="Times New Roman" w:cs="Times New Roman"/>
          <w:kern w:val="2"/>
          <w:sz w:val="24"/>
          <w:szCs w:val="24"/>
          <w:lang w:val="en-GB"/>
          <w14:ligatures w14:val="standardContextual"/>
        </w:rPr>
        <w:t>[37</w:t>
      </w:r>
      <w:r w:rsidRPr="009D212A">
        <w:rPr>
          <w:rFonts w:ascii="Times New Roman" w:eastAsia="Calibri" w:hAnsi="Times New Roman" w:cs="Times New Roman"/>
          <w:kern w:val="2"/>
          <w:sz w:val="24"/>
          <w:szCs w:val="24"/>
          <w:lang w:val="en-GB"/>
          <w14:ligatures w14:val="standardContextual"/>
        </w:rPr>
        <w:t>].</w:t>
      </w:r>
    </w:p>
    <w:p w14:paraId="0ED6252D" w14:textId="77777777" w:rsidR="00CB2913" w:rsidRPr="009D212A" w:rsidRDefault="00CB2913" w:rsidP="00CB2913">
      <w:pPr>
        <w:spacing w:after="0" w:line="360" w:lineRule="auto"/>
        <w:rPr>
          <w:rFonts w:ascii="Times New Roman" w:eastAsia="Calibri" w:hAnsi="Times New Roman" w:cs="Times New Roman"/>
          <w:b/>
          <w:bCs/>
          <w:kern w:val="2"/>
          <w:sz w:val="24"/>
          <w:szCs w:val="24"/>
          <w:lang w:val="en-GB"/>
          <w14:ligatures w14:val="standardContextual"/>
        </w:rPr>
      </w:pPr>
    </w:p>
    <w:p w14:paraId="485CEE23" w14:textId="77777777" w:rsidR="00CB2913" w:rsidRPr="009D212A" w:rsidRDefault="00CB2913" w:rsidP="00CB2913">
      <w:pPr>
        <w:spacing w:after="0" w:line="360" w:lineRule="auto"/>
        <w:rPr>
          <w:rFonts w:ascii="Times New Roman" w:eastAsia="Calibri" w:hAnsi="Times New Roman" w:cs="Times New Roman"/>
          <w:b/>
          <w:bCs/>
          <w:kern w:val="2"/>
          <w:sz w:val="24"/>
          <w:szCs w:val="24"/>
          <w:lang w:val="en-GB"/>
          <w14:ligatures w14:val="standardContextual"/>
        </w:rPr>
      </w:pPr>
      <w:r w:rsidRPr="009D212A">
        <w:rPr>
          <w:rFonts w:ascii="Times New Roman" w:eastAsia="Calibri" w:hAnsi="Times New Roman" w:cs="Times New Roman"/>
          <w:b/>
          <w:bCs/>
          <w:kern w:val="2"/>
          <w:sz w:val="24"/>
          <w:szCs w:val="24"/>
          <w:lang w:val="en-GB"/>
          <w14:ligatures w14:val="standardContextual"/>
        </w:rPr>
        <w:t>Palliative treatment</w:t>
      </w:r>
    </w:p>
    <w:p w14:paraId="202DE109" w14:textId="41D7A929"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Currently, significant advancements i</w:t>
      </w:r>
      <w:r w:rsidR="000A7C9E" w:rsidRPr="009D212A">
        <w:rPr>
          <w:rFonts w:ascii="Times New Roman" w:eastAsia="Calibri" w:hAnsi="Times New Roman" w:cs="Times New Roman"/>
          <w:kern w:val="2"/>
          <w:sz w:val="24"/>
          <w:szCs w:val="24"/>
          <w:lang w:val="en-GB"/>
          <w14:ligatures w14:val="standardContextual"/>
        </w:rPr>
        <w:t>n the treatment of metastatic cc</w:t>
      </w:r>
      <w:r w:rsidRPr="009D212A">
        <w:rPr>
          <w:rFonts w:ascii="Times New Roman" w:eastAsia="Calibri" w:hAnsi="Times New Roman" w:cs="Times New Roman"/>
          <w:kern w:val="2"/>
          <w:sz w:val="24"/>
          <w:szCs w:val="24"/>
          <w:lang w:val="en-GB"/>
          <w14:ligatures w14:val="standardContextual"/>
        </w:rPr>
        <w:t>RCC involve various therapies targeting cellular signalling pathways. The standard approach for metastatic RCC includes agents targeting the VEGF, PDGFR, or mTOR signalling  pathways.</w:t>
      </w:r>
    </w:p>
    <w:p w14:paraId="082B6AAE" w14:textId="3F544488"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Tyrosine kinase inhibitors (TKIs) are e</w:t>
      </w:r>
      <w:r w:rsidR="000A7C9E" w:rsidRPr="009D212A">
        <w:rPr>
          <w:rFonts w:ascii="Times New Roman" w:eastAsia="Calibri" w:hAnsi="Times New Roman" w:cs="Times New Roman"/>
          <w:kern w:val="2"/>
          <w:sz w:val="24"/>
          <w:szCs w:val="24"/>
          <w:lang w:val="en-GB"/>
          <w14:ligatures w14:val="standardContextual"/>
        </w:rPr>
        <w:t>ffective in treating advanced cc</w:t>
      </w:r>
      <w:r w:rsidRPr="009D212A">
        <w:rPr>
          <w:rFonts w:ascii="Times New Roman" w:eastAsia="Calibri" w:hAnsi="Times New Roman" w:cs="Times New Roman"/>
          <w:kern w:val="2"/>
          <w:sz w:val="24"/>
          <w:szCs w:val="24"/>
          <w:lang w:val="en-GB"/>
          <w14:ligatures w14:val="standardContextual"/>
        </w:rPr>
        <w:t>RCC, serving as both, firstand second-line treatment opti</w:t>
      </w:r>
      <w:r w:rsidR="000A7C9E" w:rsidRPr="009D212A">
        <w:rPr>
          <w:rFonts w:ascii="Times New Roman" w:eastAsia="Calibri" w:hAnsi="Times New Roman" w:cs="Times New Roman"/>
          <w:kern w:val="2"/>
          <w:sz w:val="24"/>
          <w:szCs w:val="24"/>
          <w:lang w:val="en-GB"/>
          <w14:ligatures w14:val="standardContextual"/>
        </w:rPr>
        <w:t>ons. Agents used for advanced cc</w:t>
      </w:r>
      <w:r w:rsidRPr="009D212A">
        <w:rPr>
          <w:rFonts w:ascii="Times New Roman" w:eastAsia="Calibri" w:hAnsi="Times New Roman" w:cs="Times New Roman"/>
          <w:kern w:val="2"/>
          <w:sz w:val="24"/>
          <w:szCs w:val="24"/>
          <w:lang w:val="en-GB"/>
          <w14:ligatures w14:val="standardContextual"/>
        </w:rPr>
        <w:t>RCC treatment include inhibitors such as pazopanib, cabozantinib, axitinib</w:t>
      </w:r>
      <w:r w:rsidR="00E379D7" w:rsidRPr="009D212A">
        <w:rPr>
          <w:rFonts w:ascii="Times New Roman" w:eastAsia="Calibri" w:hAnsi="Times New Roman" w:cs="Times New Roman"/>
          <w:kern w:val="2"/>
          <w:sz w:val="24"/>
          <w:szCs w:val="24"/>
          <w:lang w:val="en-GB"/>
          <w14:ligatures w14:val="standardContextual"/>
        </w:rPr>
        <w:t>, sorafenib, and sunitinib [4</w:t>
      </w:r>
      <w:r w:rsidR="00940045" w:rsidRPr="009D212A">
        <w:rPr>
          <w:rFonts w:ascii="Times New Roman" w:eastAsia="Calibri" w:hAnsi="Times New Roman" w:cs="Times New Roman"/>
          <w:kern w:val="2"/>
          <w:sz w:val="24"/>
          <w:szCs w:val="24"/>
          <w:lang w:val="en-GB"/>
          <w14:ligatures w14:val="standardContextual"/>
        </w:rPr>
        <w:t>6</w:t>
      </w:r>
      <w:r w:rsidRPr="009D212A">
        <w:rPr>
          <w:rFonts w:ascii="Times New Roman" w:eastAsia="Calibri" w:hAnsi="Times New Roman" w:cs="Times New Roman"/>
          <w:kern w:val="2"/>
          <w:sz w:val="24"/>
          <w:szCs w:val="24"/>
          <w:lang w:val="en-GB"/>
          <w14:ligatures w14:val="standardContextual"/>
        </w:rPr>
        <w:t>]. Another</w:t>
      </w:r>
    </w:p>
    <w:p w14:paraId="04A85D39" w14:textId="172B941D"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lastRenderedPageBreak/>
        <w:t>class of drugs includes mTOR inhibitors like</w:t>
      </w:r>
      <w:r w:rsidR="00E379D7" w:rsidRPr="009D212A">
        <w:rPr>
          <w:rFonts w:ascii="Times New Roman" w:eastAsia="Calibri" w:hAnsi="Times New Roman" w:cs="Times New Roman"/>
          <w:kern w:val="2"/>
          <w:sz w:val="24"/>
          <w:szCs w:val="24"/>
          <w:lang w:val="en-GB"/>
          <w14:ligatures w14:val="standardContextual"/>
        </w:rPr>
        <w:t xml:space="preserve"> everolimus and temsirolimus </w:t>
      </w:r>
      <w:r w:rsidR="00940045" w:rsidRPr="009D212A">
        <w:rPr>
          <w:rFonts w:ascii="Times New Roman" w:eastAsia="Calibri" w:hAnsi="Times New Roman" w:cs="Times New Roman"/>
          <w:kern w:val="2"/>
          <w:sz w:val="24"/>
          <w:szCs w:val="24"/>
          <w:lang w:val="en-GB"/>
          <w14:ligatures w14:val="standardContextual"/>
        </w:rPr>
        <w:t>[46</w:t>
      </w:r>
      <w:r w:rsidRPr="009D212A">
        <w:rPr>
          <w:rFonts w:ascii="Times New Roman" w:eastAsia="Calibri" w:hAnsi="Times New Roman" w:cs="Times New Roman"/>
          <w:kern w:val="2"/>
          <w:sz w:val="24"/>
          <w:szCs w:val="24"/>
          <w:lang w:val="en-GB"/>
          <w14:ligatures w14:val="standardContextual"/>
        </w:rPr>
        <w:t>].</w:t>
      </w:r>
    </w:p>
    <w:p w14:paraId="6E4CE51A" w14:textId="5E2EF97A"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Bevacizumab, a monoclonal anti-VEGF antibody, has been a</w:t>
      </w:r>
      <w:r w:rsidR="000A7C9E" w:rsidRPr="009D212A">
        <w:rPr>
          <w:rFonts w:ascii="Times New Roman" w:eastAsia="Calibri" w:hAnsi="Times New Roman" w:cs="Times New Roman"/>
          <w:kern w:val="2"/>
          <w:sz w:val="24"/>
          <w:szCs w:val="24"/>
          <w:lang w:val="en-GB"/>
          <w14:ligatures w14:val="standardContextual"/>
        </w:rPr>
        <w:t>pproved for treating advanced cc</w:t>
      </w:r>
      <w:r w:rsidRPr="009D212A">
        <w:rPr>
          <w:rFonts w:ascii="Times New Roman" w:eastAsia="Calibri" w:hAnsi="Times New Roman" w:cs="Times New Roman"/>
          <w:kern w:val="2"/>
          <w:sz w:val="24"/>
          <w:szCs w:val="24"/>
          <w:lang w:val="en-GB"/>
          <w14:ligatures w14:val="standardContextual"/>
        </w:rPr>
        <w:t>RCC in combination with interferon-alpha. Currently, there is the possibility of utilising</w:t>
      </w:r>
    </w:p>
    <w:p w14:paraId="16FDFE99" w14:textId="3234424D"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immunotherapy as monotherapy. Combined </w:t>
      </w:r>
      <w:r w:rsidR="000A7C9E" w:rsidRPr="009D212A">
        <w:rPr>
          <w:rFonts w:ascii="Times New Roman" w:eastAsia="Calibri" w:hAnsi="Times New Roman" w:cs="Times New Roman"/>
          <w:kern w:val="2"/>
          <w:sz w:val="24"/>
          <w:szCs w:val="24"/>
          <w:lang w:val="en-GB"/>
          <w14:ligatures w14:val="standardContextual"/>
        </w:rPr>
        <w:t>therapy for treating advanced cc</w:t>
      </w:r>
      <w:r w:rsidR="00E379D7" w:rsidRPr="009D212A">
        <w:rPr>
          <w:rFonts w:ascii="Times New Roman" w:eastAsia="Calibri" w:hAnsi="Times New Roman" w:cs="Times New Roman"/>
          <w:kern w:val="2"/>
          <w:sz w:val="24"/>
          <w:szCs w:val="24"/>
          <w:lang w:val="en-GB"/>
          <w14:ligatures w14:val="standardContextual"/>
        </w:rPr>
        <w:t xml:space="preserve">RCC can be used </w:t>
      </w:r>
      <w:r w:rsidR="00940045" w:rsidRPr="009D212A">
        <w:rPr>
          <w:rFonts w:ascii="Times New Roman" w:eastAsia="Calibri" w:hAnsi="Times New Roman" w:cs="Times New Roman"/>
          <w:kern w:val="2"/>
          <w:sz w:val="24"/>
          <w:szCs w:val="24"/>
          <w:lang w:val="en-GB"/>
          <w14:ligatures w14:val="standardContextual"/>
        </w:rPr>
        <w:t>[46</w:t>
      </w:r>
      <w:r w:rsidRPr="009D212A">
        <w:rPr>
          <w:rFonts w:ascii="Times New Roman" w:eastAsia="Calibri" w:hAnsi="Times New Roman" w:cs="Times New Roman"/>
          <w:kern w:val="2"/>
          <w:sz w:val="24"/>
          <w:szCs w:val="24"/>
          <w:lang w:val="en-GB"/>
          <w14:ligatures w14:val="standardContextual"/>
        </w:rPr>
        <w:t>].</w:t>
      </w:r>
    </w:p>
    <w:p w14:paraId="57A1DC0C" w14:textId="2248CEB7" w:rsidR="00CB2913" w:rsidRPr="009D212A" w:rsidRDefault="000A7C9E"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Regarding radiotherapy, cc</w:t>
      </w:r>
      <w:r w:rsidR="00CB2913" w:rsidRPr="009D212A">
        <w:rPr>
          <w:rFonts w:ascii="Times New Roman" w:eastAsia="Calibri" w:hAnsi="Times New Roman" w:cs="Times New Roman"/>
          <w:kern w:val="2"/>
          <w:sz w:val="24"/>
          <w:szCs w:val="24"/>
          <w:lang w:val="en-GB"/>
          <w14:ligatures w14:val="standardContextual"/>
        </w:rPr>
        <w:t>RCC was generally considered resistant to this type of treatment.</w:t>
      </w:r>
    </w:p>
    <w:p w14:paraId="77839F88" w14:textId="6608FEB3"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However, recent studies demonstrate that high-dose stereotactic radiotherapy (SRT) shows some effectiveness in tre</w:t>
      </w:r>
      <w:r w:rsidR="000A7C9E" w:rsidRPr="009D212A">
        <w:rPr>
          <w:rFonts w:ascii="Times New Roman" w:eastAsia="Calibri" w:hAnsi="Times New Roman" w:cs="Times New Roman"/>
          <w:kern w:val="2"/>
          <w:sz w:val="24"/>
          <w:szCs w:val="24"/>
          <w:lang w:val="en-GB"/>
          <w14:ligatures w14:val="standardContextual"/>
        </w:rPr>
        <w:t>ating metastatic and advanced cc</w:t>
      </w:r>
      <w:r w:rsidRPr="009D212A">
        <w:rPr>
          <w:rFonts w:ascii="Times New Roman" w:eastAsia="Calibri" w:hAnsi="Times New Roman" w:cs="Times New Roman"/>
          <w:kern w:val="2"/>
          <w:sz w:val="24"/>
          <w:szCs w:val="24"/>
          <w:lang w:val="en-GB"/>
          <w14:ligatures w14:val="standardContextual"/>
        </w:rPr>
        <w:t>RCC, particularly in case</w:t>
      </w:r>
      <w:r w:rsidR="00E379D7" w:rsidRPr="009D212A">
        <w:rPr>
          <w:rFonts w:ascii="Times New Roman" w:eastAsia="Calibri" w:hAnsi="Times New Roman" w:cs="Times New Roman"/>
          <w:kern w:val="2"/>
          <w:sz w:val="24"/>
          <w:szCs w:val="24"/>
          <w:lang w:val="en-GB"/>
          <w14:ligatures w14:val="standardContextual"/>
        </w:rPr>
        <w:t>s of oligometastatic disease</w:t>
      </w:r>
      <w:r w:rsidR="00940045" w:rsidRPr="009D212A">
        <w:rPr>
          <w:rFonts w:ascii="Times New Roman" w:eastAsia="Calibri" w:hAnsi="Times New Roman" w:cs="Times New Roman"/>
          <w:kern w:val="2"/>
          <w:sz w:val="24"/>
          <w:szCs w:val="24"/>
          <w:lang w:val="en-GB"/>
          <w14:ligatures w14:val="standardContextual"/>
        </w:rPr>
        <w:t xml:space="preserve"> [47</w:t>
      </w:r>
      <w:r w:rsidRPr="009D212A">
        <w:rPr>
          <w:rFonts w:ascii="Times New Roman" w:eastAsia="Calibri" w:hAnsi="Times New Roman" w:cs="Times New Roman"/>
          <w:kern w:val="2"/>
          <w:sz w:val="24"/>
          <w:szCs w:val="24"/>
          <w:lang w:val="en-GB"/>
          <w14:ligatures w14:val="standardContextual"/>
        </w:rPr>
        <w:t>].</w:t>
      </w:r>
    </w:p>
    <w:p w14:paraId="145E0518" w14:textId="77777777" w:rsidR="000A7C9E" w:rsidRPr="009D212A" w:rsidRDefault="000A7C9E" w:rsidP="00CB2913">
      <w:pPr>
        <w:spacing w:after="0" w:line="360" w:lineRule="auto"/>
        <w:rPr>
          <w:rFonts w:ascii="Times New Roman" w:eastAsia="Calibri" w:hAnsi="Times New Roman" w:cs="Times New Roman"/>
          <w:kern w:val="2"/>
          <w:sz w:val="24"/>
          <w:szCs w:val="24"/>
          <w:lang w:val="en-GB"/>
          <w14:ligatures w14:val="standardContextual"/>
        </w:rPr>
      </w:pPr>
    </w:p>
    <w:p w14:paraId="77713278" w14:textId="119ECE53" w:rsidR="000A7C9E" w:rsidRPr="009D212A" w:rsidRDefault="00CB2913" w:rsidP="00CB2913">
      <w:pPr>
        <w:spacing w:after="0" w:line="360" w:lineRule="auto"/>
        <w:rPr>
          <w:rFonts w:ascii="Times New Roman" w:eastAsia="Calibri" w:hAnsi="Times New Roman" w:cs="Times New Roman"/>
          <w:b/>
          <w:kern w:val="2"/>
          <w:sz w:val="24"/>
          <w:szCs w:val="24"/>
          <w:lang w:val="en-GB"/>
          <w14:ligatures w14:val="standardContextual"/>
        </w:rPr>
      </w:pPr>
      <w:r w:rsidRPr="009D212A">
        <w:rPr>
          <w:rFonts w:ascii="Times New Roman" w:eastAsia="Calibri" w:hAnsi="Times New Roman" w:cs="Times New Roman"/>
          <w:b/>
          <w:kern w:val="2"/>
          <w:sz w:val="24"/>
          <w:szCs w:val="24"/>
          <w:lang w:val="en-GB"/>
          <w14:ligatures w14:val="standardContextual"/>
        </w:rPr>
        <w:t>Treatment of Central Nervous System Lesions</w:t>
      </w:r>
    </w:p>
    <w:p w14:paraId="6646EF04" w14:textId="5D02F38E"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Microsurgical resection remains the treatment of choice for vascular lesions of the</w:t>
      </w:r>
      <w:r w:rsidR="00E379D7" w:rsidRPr="009D212A">
        <w:rPr>
          <w:rFonts w:ascii="Times New Roman" w:eastAsia="Calibri" w:hAnsi="Times New Roman" w:cs="Times New Roman"/>
          <w:kern w:val="2"/>
          <w:sz w:val="24"/>
          <w:szCs w:val="24"/>
          <w:lang w:val="en-GB"/>
          <w14:ligatures w14:val="standardContextual"/>
        </w:rPr>
        <w:t xml:space="preserve"> Central Nervous System (CNS</w:t>
      </w:r>
      <w:r w:rsidR="00940045" w:rsidRPr="009D212A">
        <w:rPr>
          <w:rFonts w:ascii="Times New Roman" w:eastAsia="Calibri" w:hAnsi="Times New Roman" w:cs="Times New Roman"/>
          <w:kern w:val="2"/>
          <w:sz w:val="24"/>
          <w:szCs w:val="24"/>
          <w:lang w:val="en-GB"/>
          <w14:ligatures w14:val="standardContextual"/>
        </w:rPr>
        <w:t>)[48</w:t>
      </w:r>
      <w:r w:rsidRPr="009D212A">
        <w:rPr>
          <w:rFonts w:ascii="Times New Roman" w:eastAsia="Calibri" w:hAnsi="Times New Roman" w:cs="Times New Roman"/>
          <w:kern w:val="2"/>
          <w:sz w:val="24"/>
          <w:szCs w:val="24"/>
          <w:lang w:val="en-GB"/>
          <w14:ligatures w14:val="standardContextual"/>
        </w:rPr>
        <w:t xml:space="preserve">]. </w:t>
      </w:r>
    </w:p>
    <w:p w14:paraId="4A4C4791"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In cases where patients are not fit enough to meet the requirements for surgical intervention, stereotactic radiation or craniospinal radiation is used. </w:t>
      </w:r>
    </w:p>
    <w:p w14:paraId="6B625AB8" w14:textId="44F4611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However, long-term studies show that vascular lesions treated with radiation grow simila</w:t>
      </w:r>
      <w:r w:rsidR="00E379D7" w:rsidRPr="009D212A">
        <w:rPr>
          <w:rFonts w:ascii="Times New Roman" w:eastAsia="Calibri" w:hAnsi="Times New Roman" w:cs="Times New Roman"/>
          <w:kern w:val="2"/>
          <w:sz w:val="24"/>
          <w:szCs w:val="24"/>
          <w:lang w:val="en-GB"/>
          <w14:ligatures w14:val="standardContextual"/>
        </w:rPr>
        <w:t xml:space="preserve">rly to their natural history </w:t>
      </w:r>
      <w:r w:rsidR="00940045" w:rsidRPr="009D212A">
        <w:rPr>
          <w:rFonts w:ascii="Times New Roman" w:eastAsia="Calibri" w:hAnsi="Times New Roman" w:cs="Times New Roman"/>
          <w:kern w:val="2"/>
          <w:sz w:val="24"/>
          <w:szCs w:val="24"/>
          <w:lang w:val="en-GB"/>
          <w14:ligatures w14:val="standardContextual"/>
        </w:rPr>
        <w:t>[49</w:t>
      </w:r>
      <w:r w:rsidRPr="009D212A">
        <w:rPr>
          <w:rFonts w:ascii="Times New Roman" w:eastAsia="Calibri" w:hAnsi="Times New Roman" w:cs="Times New Roman"/>
          <w:kern w:val="2"/>
          <w:sz w:val="24"/>
          <w:szCs w:val="24"/>
          <w:lang w:val="en-GB"/>
          <w14:ligatures w14:val="standardContextual"/>
        </w:rPr>
        <w:t xml:space="preserve">]. </w:t>
      </w:r>
    </w:p>
    <w:p w14:paraId="373F24E7" w14:textId="7D1E9C69"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Prophylactic irradiation is not recommended for patients with VHL-associated vascular lesions as they exhibit unpre</w:t>
      </w:r>
      <w:r w:rsidR="00E379D7" w:rsidRPr="009D212A">
        <w:rPr>
          <w:rFonts w:ascii="Times New Roman" w:eastAsia="Calibri" w:hAnsi="Times New Roman" w:cs="Times New Roman"/>
          <w:kern w:val="2"/>
          <w:sz w:val="24"/>
          <w:szCs w:val="24"/>
          <w:lang w:val="en-GB"/>
          <w14:ligatures w14:val="standardContextual"/>
        </w:rPr>
        <w:t xml:space="preserve">dictable growth patterns </w:t>
      </w:r>
      <w:r w:rsidR="00940045" w:rsidRPr="009D212A">
        <w:rPr>
          <w:rFonts w:ascii="Times New Roman" w:eastAsia="Calibri" w:hAnsi="Times New Roman" w:cs="Times New Roman"/>
          <w:kern w:val="2"/>
          <w:sz w:val="24"/>
          <w:szCs w:val="24"/>
          <w:lang w:val="en-GB"/>
          <w14:ligatures w14:val="standardContextual"/>
        </w:rPr>
        <w:t>[48</w:t>
      </w:r>
      <w:r w:rsidRPr="009D212A">
        <w:rPr>
          <w:rFonts w:ascii="Times New Roman" w:eastAsia="Calibri" w:hAnsi="Times New Roman" w:cs="Times New Roman"/>
          <w:kern w:val="2"/>
          <w:sz w:val="24"/>
          <w:szCs w:val="24"/>
          <w:lang w:val="en-GB"/>
          <w14:ligatures w14:val="standardContextual"/>
        </w:rPr>
        <w:t>].</w:t>
      </w:r>
    </w:p>
    <w:p w14:paraId="0C7786AA" w14:textId="4F2F678C"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The primary surgical methods used for treating retinal hemangioblastomas (RH) include laser photocoagulation and cryotherapy. They can be </w:t>
      </w:r>
      <w:r w:rsidR="00E379D7" w:rsidRPr="009D212A">
        <w:rPr>
          <w:rFonts w:ascii="Times New Roman" w:eastAsia="Calibri" w:hAnsi="Times New Roman" w:cs="Times New Roman"/>
          <w:kern w:val="2"/>
          <w:sz w:val="24"/>
          <w:szCs w:val="24"/>
          <w:lang w:val="en-GB"/>
          <w14:ligatures w14:val="standardContextual"/>
        </w:rPr>
        <w:t xml:space="preserve">used alone or in combination </w:t>
      </w:r>
      <w:r w:rsidR="00940045" w:rsidRPr="009D212A">
        <w:rPr>
          <w:rFonts w:ascii="Times New Roman" w:eastAsia="Calibri" w:hAnsi="Times New Roman" w:cs="Times New Roman"/>
          <w:kern w:val="2"/>
          <w:sz w:val="24"/>
          <w:szCs w:val="24"/>
          <w:lang w:val="en-GB"/>
          <w14:ligatures w14:val="standardContextual"/>
        </w:rPr>
        <w:t>[50</w:t>
      </w:r>
      <w:r w:rsidRPr="009D212A">
        <w:rPr>
          <w:rFonts w:ascii="Times New Roman" w:eastAsia="Calibri" w:hAnsi="Times New Roman" w:cs="Times New Roman"/>
          <w:kern w:val="2"/>
          <w:sz w:val="24"/>
          <w:szCs w:val="24"/>
          <w:lang w:val="en-GB"/>
          <w14:ligatures w14:val="standardContextual"/>
        </w:rPr>
        <w:t>]. For small RH lesions near the optic nerve, non-surgical methods include intravitreal in</w:t>
      </w:r>
      <w:r w:rsidR="00E379D7" w:rsidRPr="009D212A">
        <w:rPr>
          <w:rFonts w:ascii="Times New Roman" w:eastAsia="Calibri" w:hAnsi="Times New Roman" w:cs="Times New Roman"/>
          <w:kern w:val="2"/>
          <w:sz w:val="24"/>
          <w:szCs w:val="24"/>
          <w:lang w:val="en-GB"/>
          <w14:ligatures w14:val="standardContextual"/>
        </w:rPr>
        <w:t xml:space="preserve">jections of anti-VEGF agents </w:t>
      </w:r>
      <w:r w:rsidR="00940045" w:rsidRPr="009D212A">
        <w:rPr>
          <w:rFonts w:ascii="Times New Roman" w:eastAsia="Calibri" w:hAnsi="Times New Roman" w:cs="Times New Roman"/>
          <w:kern w:val="2"/>
          <w:sz w:val="24"/>
          <w:szCs w:val="24"/>
          <w:lang w:val="en-GB"/>
          <w14:ligatures w14:val="standardContextual"/>
        </w:rPr>
        <w:t>[51</w:t>
      </w:r>
      <w:r w:rsidRPr="009D212A">
        <w:rPr>
          <w:rFonts w:ascii="Times New Roman" w:eastAsia="Calibri" w:hAnsi="Times New Roman" w:cs="Times New Roman"/>
          <w:kern w:val="2"/>
          <w:sz w:val="24"/>
          <w:szCs w:val="24"/>
          <w:lang w:val="en-GB"/>
          <w14:ligatures w14:val="standardContextual"/>
        </w:rPr>
        <w:t>].</w:t>
      </w:r>
    </w:p>
    <w:p w14:paraId="61ECE46B" w14:textId="794CE1FB" w:rsidR="005F0D3F"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Complete surgical resection is a preferred treatment option f</w:t>
      </w:r>
      <w:r w:rsidR="00E379D7" w:rsidRPr="009D212A">
        <w:rPr>
          <w:rFonts w:ascii="Times New Roman" w:eastAsia="Calibri" w:hAnsi="Times New Roman" w:cs="Times New Roman"/>
          <w:kern w:val="2"/>
          <w:sz w:val="24"/>
          <w:szCs w:val="24"/>
          <w:lang w:val="en-GB"/>
          <w14:ligatures w14:val="standardContextual"/>
        </w:rPr>
        <w:t xml:space="preserve">or endolymphatic sac tumours </w:t>
      </w:r>
      <w:r w:rsidR="00940045" w:rsidRPr="009D212A">
        <w:rPr>
          <w:rFonts w:ascii="Times New Roman" w:eastAsia="Calibri" w:hAnsi="Times New Roman" w:cs="Times New Roman"/>
          <w:kern w:val="2"/>
          <w:sz w:val="24"/>
          <w:szCs w:val="24"/>
          <w:lang w:val="en-GB"/>
          <w14:ligatures w14:val="standardContextual"/>
        </w:rPr>
        <w:t>[52</w:t>
      </w:r>
      <w:r w:rsidRPr="009D212A">
        <w:rPr>
          <w:rFonts w:ascii="Times New Roman" w:eastAsia="Calibri" w:hAnsi="Times New Roman" w:cs="Times New Roman"/>
          <w:kern w:val="2"/>
          <w:sz w:val="24"/>
          <w:szCs w:val="24"/>
          <w:lang w:val="en-GB"/>
          <w14:ligatures w14:val="standardContextual"/>
        </w:rPr>
        <w:t>].</w:t>
      </w:r>
    </w:p>
    <w:p w14:paraId="2DEDEF8C" w14:textId="776D9269" w:rsidR="00657533" w:rsidRPr="009D212A" w:rsidRDefault="00657533" w:rsidP="00CB2913">
      <w:pPr>
        <w:spacing w:after="0" w:line="360" w:lineRule="auto"/>
        <w:rPr>
          <w:rFonts w:ascii="Times New Roman" w:eastAsia="Calibri" w:hAnsi="Times New Roman" w:cs="Times New Roman"/>
          <w:kern w:val="2"/>
          <w:sz w:val="24"/>
          <w:szCs w:val="24"/>
          <w:lang w:val="en-GB"/>
          <w14:ligatures w14:val="standardContextual"/>
        </w:rPr>
      </w:pPr>
    </w:p>
    <w:p w14:paraId="2D83410D" w14:textId="77777777" w:rsidR="00657533" w:rsidRPr="009D212A" w:rsidRDefault="00657533" w:rsidP="00CB2913">
      <w:pPr>
        <w:spacing w:after="0" w:line="360" w:lineRule="auto"/>
        <w:rPr>
          <w:rFonts w:ascii="Times New Roman" w:eastAsia="Calibri" w:hAnsi="Times New Roman" w:cs="Times New Roman"/>
          <w:b/>
          <w:kern w:val="2"/>
          <w:sz w:val="24"/>
          <w:szCs w:val="24"/>
          <w14:ligatures w14:val="standardContextual"/>
        </w:rPr>
      </w:pPr>
      <w:r w:rsidRPr="009D212A">
        <w:rPr>
          <w:rFonts w:ascii="Times New Roman" w:eastAsia="Calibri" w:hAnsi="Times New Roman" w:cs="Times New Roman"/>
          <w:b/>
          <w:kern w:val="2"/>
          <w:sz w:val="24"/>
          <w:szCs w:val="24"/>
          <w14:ligatures w14:val="standardContextual"/>
        </w:rPr>
        <w:t>FOLLOW UP PROTOCOLS</w:t>
      </w:r>
    </w:p>
    <w:p w14:paraId="4196B8DC" w14:textId="591A7A87" w:rsidR="00657533" w:rsidRPr="009D212A" w:rsidRDefault="00657533" w:rsidP="00CB2913">
      <w:pPr>
        <w:spacing w:after="0" w:line="360" w:lineRule="auto"/>
        <w:rPr>
          <w:rFonts w:ascii="Times New Roman" w:eastAsia="Calibri" w:hAnsi="Times New Roman" w:cs="Times New Roman"/>
          <w:kern w:val="2"/>
          <w:sz w:val="24"/>
          <w:szCs w:val="24"/>
          <w14:ligatures w14:val="standardContextual"/>
        </w:rPr>
      </w:pPr>
      <w:r w:rsidRPr="009D212A">
        <w:rPr>
          <w:rFonts w:ascii="Times New Roman" w:eastAsia="Calibri" w:hAnsi="Times New Roman" w:cs="Times New Roman"/>
          <w:b/>
          <w:kern w:val="2"/>
          <w:sz w:val="24"/>
          <w:szCs w:val="24"/>
          <w14:ligatures w14:val="standardContextual"/>
        </w:rPr>
        <w:t xml:space="preserve"> </w:t>
      </w:r>
      <w:r w:rsidRPr="009D212A">
        <w:rPr>
          <w:rFonts w:ascii="Times New Roman" w:eastAsia="Calibri" w:hAnsi="Times New Roman" w:cs="Times New Roman"/>
          <w:kern w:val="2"/>
          <w:sz w:val="24"/>
          <w:szCs w:val="24"/>
          <w14:ligatures w14:val="standardContextual"/>
        </w:rPr>
        <w:t>All patients with VHL disease are predisposed to the development of benign or malignant lesions. Even if asymptomatic, such patients should be followed to detect new lesions and to monitor the progression of known lesions. Follow-up evaluations focus on hemangioblastomas (including retinal hemangioblastomas), endolymphatic sac tumors, pheochromocytomas, clear cell renal carcinomas, and pancreatic cystadenomas, as well as lesions of the epididymis and broad ligament of the uterus, and can be tailo</w:t>
      </w:r>
      <w:r w:rsidR="00196866" w:rsidRPr="009D212A">
        <w:rPr>
          <w:rFonts w:ascii="Times New Roman" w:eastAsia="Calibri" w:hAnsi="Times New Roman" w:cs="Times New Roman"/>
          <w:kern w:val="2"/>
          <w:sz w:val="24"/>
          <w:szCs w:val="24"/>
          <w14:ligatures w14:val="standardContextual"/>
        </w:rPr>
        <w:t>red to individual patient needs (Tab.2)</w:t>
      </w:r>
    </w:p>
    <w:p w14:paraId="67DB7E68" w14:textId="5EC235E6" w:rsidR="00196866" w:rsidRPr="009D212A" w:rsidRDefault="00196866" w:rsidP="00CB2913">
      <w:pPr>
        <w:spacing w:after="0" w:line="360" w:lineRule="auto"/>
        <w:rPr>
          <w:rFonts w:ascii="Times New Roman" w:eastAsia="Calibri" w:hAnsi="Times New Roman" w:cs="Times New Roman"/>
          <w:b/>
          <w:kern w:val="2"/>
          <w:sz w:val="24"/>
          <w:szCs w:val="24"/>
          <w14:ligatures w14:val="standardContextual"/>
        </w:rPr>
      </w:pPr>
      <w:r w:rsidRPr="009D212A">
        <w:rPr>
          <w:rFonts w:ascii="Times New Roman" w:eastAsia="Calibri" w:hAnsi="Times New Roman" w:cs="Times New Roman"/>
          <w:b/>
          <w:kern w:val="2"/>
          <w:sz w:val="24"/>
          <w:szCs w:val="24"/>
          <w14:ligatures w14:val="standardContextual"/>
        </w:rPr>
        <w:lastRenderedPageBreak/>
        <w:t>Tabele 2. Follow-up evaluations recommended for patients with VHL disease</w:t>
      </w:r>
      <w:r w:rsidR="00940045" w:rsidRPr="009D212A">
        <w:rPr>
          <w:rFonts w:ascii="Times New Roman" w:eastAsia="Calibri" w:hAnsi="Times New Roman" w:cs="Times New Roman"/>
          <w:b/>
          <w:kern w:val="2"/>
          <w:sz w:val="24"/>
          <w:szCs w:val="24"/>
          <w14:ligatures w14:val="standardContextual"/>
        </w:rPr>
        <w:t xml:space="preserve"> [53,54</w:t>
      </w:r>
      <w:r w:rsidR="00B311DF" w:rsidRPr="009D212A">
        <w:rPr>
          <w:rFonts w:ascii="Times New Roman" w:eastAsia="Calibri" w:hAnsi="Times New Roman" w:cs="Times New Roman"/>
          <w:b/>
          <w:kern w:val="2"/>
          <w:sz w:val="24"/>
          <w:szCs w:val="24"/>
          <w14:ligatures w14:val="standardContextual"/>
        </w:rPr>
        <w:t xml:space="preserve">]. </w:t>
      </w:r>
    </w:p>
    <w:tbl>
      <w:tblPr>
        <w:tblStyle w:val="Tabela-Siatka"/>
        <w:tblW w:w="0" w:type="auto"/>
        <w:tblLook w:val="04A0" w:firstRow="1" w:lastRow="0" w:firstColumn="1" w:lastColumn="0" w:noHBand="0" w:noVBand="1"/>
      </w:tblPr>
      <w:tblGrid>
        <w:gridCol w:w="2501"/>
        <w:gridCol w:w="2187"/>
        <w:gridCol w:w="2187"/>
        <w:gridCol w:w="2187"/>
      </w:tblGrid>
      <w:tr w:rsidR="0063269C" w:rsidRPr="009D212A" w14:paraId="37202BAD" w14:textId="3FFC523D" w:rsidTr="00E2731F">
        <w:tc>
          <w:tcPr>
            <w:tcW w:w="2501" w:type="dxa"/>
          </w:tcPr>
          <w:p w14:paraId="63FA125C" w14:textId="18F9A163" w:rsidR="00E2731F" w:rsidRPr="009D212A" w:rsidRDefault="00E2731F" w:rsidP="00CB2913">
            <w:pPr>
              <w:spacing w:line="360" w:lineRule="auto"/>
              <w:rPr>
                <w:rFonts w:ascii="Times New Roman" w:eastAsia="Calibri" w:hAnsi="Times New Roman" w:cs="Times New Roman"/>
                <w:b/>
                <w:kern w:val="2"/>
                <w:lang w:val="en-GB"/>
                <w14:ligatures w14:val="standardContextual"/>
              </w:rPr>
            </w:pPr>
            <w:r w:rsidRPr="009D212A">
              <w:rPr>
                <w:rFonts w:ascii="Times New Roman" w:eastAsia="Calibri" w:hAnsi="Times New Roman" w:cs="Times New Roman"/>
                <w:b/>
                <w:kern w:val="2"/>
                <w14:ligatures w14:val="standardContextual"/>
              </w:rPr>
              <w:t>Follow-up evaluation</w:t>
            </w:r>
          </w:p>
        </w:tc>
        <w:tc>
          <w:tcPr>
            <w:tcW w:w="2187" w:type="dxa"/>
          </w:tcPr>
          <w:p w14:paraId="0B9F3EF3" w14:textId="397E83DA" w:rsidR="00E2731F" w:rsidRPr="009D212A" w:rsidRDefault="00E2731F" w:rsidP="00CB2913">
            <w:pPr>
              <w:spacing w:line="360" w:lineRule="auto"/>
              <w:rPr>
                <w:rFonts w:ascii="Times New Roman" w:eastAsia="Calibri" w:hAnsi="Times New Roman" w:cs="Times New Roman"/>
                <w:b/>
                <w:kern w:val="2"/>
                <w:lang w:val="en-GB"/>
                <w14:ligatures w14:val="standardContextual"/>
              </w:rPr>
            </w:pPr>
            <w:r w:rsidRPr="009D212A">
              <w:rPr>
                <w:rFonts w:ascii="Times New Roman" w:eastAsia="Calibri" w:hAnsi="Times New Roman" w:cs="Times New Roman"/>
                <w:b/>
                <w:kern w:val="2"/>
                <w14:ligatures w14:val="standardContextual"/>
              </w:rPr>
              <w:t>Initial age</w:t>
            </w:r>
          </w:p>
        </w:tc>
        <w:tc>
          <w:tcPr>
            <w:tcW w:w="2187" w:type="dxa"/>
          </w:tcPr>
          <w:p w14:paraId="773E967D" w14:textId="6E41420E" w:rsidR="00E2731F" w:rsidRPr="009D212A" w:rsidRDefault="00E2731F" w:rsidP="00CB2913">
            <w:pPr>
              <w:spacing w:line="360" w:lineRule="auto"/>
              <w:rPr>
                <w:rFonts w:ascii="Times New Roman" w:eastAsia="Calibri" w:hAnsi="Times New Roman" w:cs="Times New Roman"/>
                <w:b/>
                <w:kern w:val="2"/>
                <w:lang w:val="en-GB"/>
                <w14:ligatures w14:val="standardContextual"/>
              </w:rPr>
            </w:pPr>
            <w:r w:rsidRPr="009D212A">
              <w:rPr>
                <w:rFonts w:ascii="Times New Roman" w:eastAsia="Calibri" w:hAnsi="Times New Roman" w:cs="Times New Roman"/>
                <w:b/>
                <w:kern w:val="2"/>
                <w14:ligatures w14:val="standardContextual"/>
              </w:rPr>
              <w:t>Frequency</w:t>
            </w:r>
          </w:p>
        </w:tc>
        <w:tc>
          <w:tcPr>
            <w:tcW w:w="2187" w:type="dxa"/>
          </w:tcPr>
          <w:p w14:paraId="4DEBBDCF" w14:textId="0D06E8C8" w:rsidR="00E2731F" w:rsidRPr="009D212A" w:rsidRDefault="00E2731F" w:rsidP="00CB2913">
            <w:pPr>
              <w:spacing w:line="360" w:lineRule="auto"/>
              <w:rPr>
                <w:rFonts w:ascii="Times New Roman" w:eastAsia="Calibri" w:hAnsi="Times New Roman" w:cs="Times New Roman"/>
                <w:b/>
                <w:kern w:val="2"/>
                <w:lang w:val="en-GB"/>
                <w14:ligatures w14:val="standardContextual"/>
              </w:rPr>
            </w:pPr>
            <w:r w:rsidRPr="009D212A">
              <w:rPr>
                <w:rFonts w:ascii="Times New Roman" w:eastAsia="Calibri" w:hAnsi="Times New Roman" w:cs="Times New Roman"/>
                <w:b/>
                <w:kern w:val="2"/>
                <w14:ligatures w14:val="standardContextual"/>
              </w:rPr>
              <w:t>Comments</w:t>
            </w:r>
          </w:p>
        </w:tc>
      </w:tr>
      <w:tr w:rsidR="0063269C" w:rsidRPr="009D212A" w14:paraId="05615872" w14:textId="67DD8B42" w:rsidTr="00E2731F">
        <w:tc>
          <w:tcPr>
            <w:tcW w:w="2501" w:type="dxa"/>
          </w:tcPr>
          <w:p w14:paraId="683865D6" w14:textId="1E7F72A5" w:rsidR="00E2731F" w:rsidRPr="009D212A" w:rsidRDefault="00E2731F" w:rsidP="00CB2913">
            <w:pPr>
              <w:spacing w:line="360" w:lineRule="auto"/>
              <w:rPr>
                <w:rFonts w:ascii="Times New Roman" w:eastAsia="Calibri" w:hAnsi="Times New Roman" w:cs="Times New Roman"/>
                <w:kern w:val="2"/>
                <w:lang w:val="en-GB"/>
                <w14:ligatures w14:val="standardContextual"/>
              </w:rPr>
            </w:pPr>
            <w:r w:rsidRPr="009D212A">
              <w:rPr>
                <w:rFonts w:ascii="Times New Roman" w:eastAsia="Calibri" w:hAnsi="Times New Roman" w:cs="Times New Roman"/>
                <w:kern w:val="2"/>
                <w14:ligatures w14:val="standardContextual"/>
              </w:rPr>
              <w:t>Retinal assessment</w:t>
            </w:r>
          </w:p>
        </w:tc>
        <w:tc>
          <w:tcPr>
            <w:tcW w:w="2187" w:type="dxa"/>
          </w:tcPr>
          <w:p w14:paraId="56A7A25A" w14:textId="27FC64AD" w:rsidR="00E2731F" w:rsidRPr="009D212A" w:rsidRDefault="00E2731F" w:rsidP="00CB2913">
            <w:pPr>
              <w:spacing w:line="360" w:lineRule="auto"/>
              <w:rPr>
                <w:rFonts w:ascii="Times New Roman" w:eastAsia="Calibri" w:hAnsi="Times New Roman" w:cs="Times New Roman"/>
                <w:kern w:val="2"/>
                <w:lang w:val="en-GB"/>
                <w14:ligatures w14:val="standardContextual"/>
              </w:rPr>
            </w:pPr>
            <w:r w:rsidRPr="009D212A">
              <w:rPr>
                <w:rFonts w:ascii="Times New Roman" w:eastAsia="Calibri" w:hAnsi="Times New Roman" w:cs="Times New Roman"/>
                <w:kern w:val="2"/>
                <w14:ligatures w14:val="standardContextual"/>
              </w:rPr>
              <w:t xml:space="preserve"> &lt; 1 year, </w:t>
            </w:r>
          </w:p>
        </w:tc>
        <w:tc>
          <w:tcPr>
            <w:tcW w:w="2187" w:type="dxa"/>
          </w:tcPr>
          <w:p w14:paraId="02137658" w14:textId="77777777" w:rsidR="00E2731F" w:rsidRPr="009D212A" w:rsidRDefault="00E2731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Every 6-12 months</w:t>
            </w:r>
            <w:r w:rsidR="00B311DF" w:rsidRPr="009D212A">
              <w:rPr>
                <w:rFonts w:ascii="Times New Roman" w:eastAsia="Calibri" w:hAnsi="Times New Roman" w:cs="Times New Roman"/>
                <w:kern w:val="2"/>
                <w14:ligatures w14:val="standardContextual"/>
              </w:rPr>
              <w:t>,</w:t>
            </w:r>
          </w:p>
          <w:p w14:paraId="780C27D7" w14:textId="07A79A96" w:rsidR="00B311DF" w:rsidRPr="009D212A" w:rsidRDefault="00B311DF" w:rsidP="00CB2913">
            <w:pPr>
              <w:spacing w:line="360" w:lineRule="auto"/>
              <w:rPr>
                <w:rFonts w:ascii="Times New Roman" w:eastAsia="Calibri" w:hAnsi="Times New Roman" w:cs="Times New Roman"/>
                <w:kern w:val="2"/>
                <w:lang w:val="en-GB"/>
                <w14:ligatures w14:val="standardContextual"/>
              </w:rPr>
            </w:pPr>
          </w:p>
        </w:tc>
        <w:tc>
          <w:tcPr>
            <w:tcW w:w="2187" w:type="dxa"/>
          </w:tcPr>
          <w:p w14:paraId="393453BF" w14:textId="2650161C" w:rsidR="00E2731F" w:rsidRPr="009D212A" w:rsidRDefault="009C7001" w:rsidP="00CB2913">
            <w:pPr>
              <w:spacing w:line="360" w:lineRule="auto"/>
              <w:rPr>
                <w:rFonts w:ascii="Times New Roman" w:eastAsia="Calibri" w:hAnsi="Times New Roman" w:cs="Times New Roman"/>
                <w:kern w:val="2"/>
                <w:lang w:val="en-GB"/>
                <w14:ligatures w14:val="standardContextual"/>
              </w:rPr>
            </w:pPr>
            <w:r w:rsidRPr="009D212A">
              <w:rPr>
                <w:rFonts w:ascii="Times New Roman" w:eastAsia="Calibri" w:hAnsi="Times New Roman" w:cs="Times New Roman"/>
                <w:kern w:val="2"/>
                <w14:ligatures w14:val="standardContextual"/>
              </w:rPr>
              <w:t>Annually, before age 30</w:t>
            </w:r>
          </w:p>
        </w:tc>
      </w:tr>
      <w:tr w:rsidR="0063269C" w:rsidRPr="009D212A" w14:paraId="72A9E618" w14:textId="277D8807" w:rsidTr="00E2731F">
        <w:tc>
          <w:tcPr>
            <w:tcW w:w="2501" w:type="dxa"/>
          </w:tcPr>
          <w:p w14:paraId="028AD247" w14:textId="7A1080EC" w:rsidR="00E2731F" w:rsidRPr="009D212A" w:rsidRDefault="00B311DF" w:rsidP="00CB2913">
            <w:pPr>
              <w:spacing w:line="360" w:lineRule="auto"/>
              <w:rPr>
                <w:rFonts w:ascii="Times New Roman" w:eastAsia="Calibri" w:hAnsi="Times New Roman" w:cs="Times New Roman"/>
                <w:kern w:val="2"/>
                <w:lang w:val="en-GB"/>
                <w14:ligatures w14:val="standardContextual"/>
              </w:rPr>
            </w:pPr>
            <w:r w:rsidRPr="009D212A">
              <w:rPr>
                <w:rFonts w:ascii="Times New Roman" w:eastAsia="Calibri" w:hAnsi="Times New Roman" w:cs="Times New Roman"/>
                <w:kern w:val="2"/>
                <w14:ligatures w14:val="standardContextual"/>
              </w:rPr>
              <w:t>Anamnesis and physical examination by a specialist</w:t>
            </w:r>
          </w:p>
        </w:tc>
        <w:tc>
          <w:tcPr>
            <w:tcW w:w="2187" w:type="dxa"/>
          </w:tcPr>
          <w:p w14:paraId="22B19E80" w14:textId="54815F95" w:rsidR="00E2731F" w:rsidRPr="009D212A" w:rsidRDefault="00B311DF" w:rsidP="00CB2913">
            <w:pPr>
              <w:spacing w:line="360" w:lineRule="auto"/>
              <w:rPr>
                <w:rFonts w:ascii="Times New Roman" w:eastAsia="Calibri" w:hAnsi="Times New Roman" w:cs="Times New Roman"/>
                <w:kern w:val="2"/>
                <w:lang w:val="en-GB"/>
                <w14:ligatures w14:val="standardContextual"/>
              </w:rPr>
            </w:pPr>
            <w:r w:rsidRPr="009D212A">
              <w:rPr>
                <w:rFonts w:ascii="Times New Roman" w:eastAsia="Calibri" w:hAnsi="Times New Roman" w:cs="Times New Roman"/>
                <w:kern w:val="2"/>
                <w:lang w:val="en-GB"/>
                <w14:ligatures w14:val="standardContextual"/>
              </w:rPr>
              <w:t>1 year</w:t>
            </w:r>
          </w:p>
        </w:tc>
        <w:tc>
          <w:tcPr>
            <w:tcW w:w="2187" w:type="dxa"/>
          </w:tcPr>
          <w:p w14:paraId="131A4A87" w14:textId="5F75AFF9" w:rsidR="00E2731F" w:rsidRPr="009D212A" w:rsidRDefault="00B311DF" w:rsidP="00CB2913">
            <w:pPr>
              <w:spacing w:line="360" w:lineRule="auto"/>
              <w:rPr>
                <w:rFonts w:ascii="Times New Roman" w:eastAsia="Calibri" w:hAnsi="Times New Roman" w:cs="Times New Roman"/>
                <w:kern w:val="2"/>
                <w:lang w:val="en-GB"/>
                <w14:ligatures w14:val="standardContextual"/>
              </w:rPr>
            </w:pPr>
            <w:r w:rsidRPr="009D212A">
              <w:rPr>
                <w:rFonts w:ascii="Times New Roman" w:eastAsia="Calibri" w:hAnsi="Times New Roman" w:cs="Times New Roman"/>
                <w:kern w:val="2"/>
                <w14:ligatures w14:val="standardContextual"/>
              </w:rPr>
              <w:t>Yearly</w:t>
            </w:r>
          </w:p>
        </w:tc>
        <w:tc>
          <w:tcPr>
            <w:tcW w:w="2187" w:type="dxa"/>
          </w:tcPr>
          <w:p w14:paraId="15D82C84" w14:textId="77777777" w:rsidR="00E2731F" w:rsidRPr="009D212A" w:rsidRDefault="00E2731F" w:rsidP="00CB2913">
            <w:pPr>
              <w:spacing w:line="360" w:lineRule="auto"/>
              <w:rPr>
                <w:rFonts w:ascii="Times New Roman" w:eastAsia="Calibri" w:hAnsi="Times New Roman" w:cs="Times New Roman"/>
                <w:kern w:val="2"/>
                <w:lang w:val="en-GB"/>
                <w14:ligatures w14:val="standardContextual"/>
              </w:rPr>
            </w:pPr>
          </w:p>
        </w:tc>
      </w:tr>
      <w:tr w:rsidR="0063269C" w:rsidRPr="009D212A" w14:paraId="4EC77791" w14:textId="77777777" w:rsidTr="00E2731F">
        <w:tc>
          <w:tcPr>
            <w:tcW w:w="2501" w:type="dxa"/>
          </w:tcPr>
          <w:p w14:paraId="21DE2995" w14:textId="15FA0E5D"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Blood pressure and heart rate</w:t>
            </w:r>
          </w:p>
        </w:tc>
        <w:tc>
          <w:tcPr>
            <w:tcW w:w="2187" w:type="dxa"/>
          </w:tcPr>
          <w:p w14:paraId="62EE0614" w14:textId="649263C1" w:rsidR="00B311DF" w:rsidRPr="009D212A" w:rsidRDefault="00B311DF" w:rsidP="00CB2913">
            <w:pPr>
              <w:spacing w:line="360" w:lineRule="auto"/>
              <w:rPr>
                <w:rFonts w:ascii="Times New Roman" w:eastAsia="Calibri" w:hAnsi="Times New Roman" w:cs="Times New Roman"/>
                <w:kern w:val="2"/>
                <w:lang w:val="en-GB"/>
                <w14:ligatures w14:val="standardContextual"/>
              </w:rPr>
            </w:pPr>
            <w:r w:rsidRPr="009D212A">
              <w:rPr>
                <w:rFonts w:ascii="Times New Roman" w:eastAsia="Calibri" w:hAnsi="Times New Roman" w:cs="Times New Roman"/>
                <w:kern w:val="2"/>
                <w14:ligatures w14:val="standardContextual"/>
              </w:rPr>
              <w:t>2 years</w:t>
            </w:r>
          </w:p>
        </w:tc>
        <w:tc>
          <w:tcPr>
            <w:tcW w:w="2187" w:type="dxa"/>
          </w:tcPr>
          <w:p w14:paraId="606C1C02" w14:textId="49B7F478"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Yearly</w:t>
            </w:r>
          </w:p>
        </w:tc>
        <w:tc>
          <w:tcPr>
            <w:tcW w:w="2187" w:type="dxa"/>
          </w:tcPr>
          <w:p w14:paraId="2E7B6466" w14:textId="77777777" w:rsidR="00B311DF" w:rsidRPr="009D212A" w:rsidRDefault="00B311DF" w:rsidP="00CB2913">
            <w:pPr>
              <w:spacing w:line="360" w:lineRule="auto"/>
              <w:rPr>
                <w:rFonts w:ascii="Times New Roman" w:eastAsia="Calibri" w:hAnsi="Times New Roman" w:cs="Times New Roman"/>
                <w:kern w:val="2"/>
                <w:lang w:val="en-GB"/>
                <w14:ligatures w14:val="standardContextual"/>
              </w:rPr>
            </w:pPr>
          </w:p>
        </w:tc>
      </w:tr>
      <w:tr w:rsidR="0063269C" w:rsidRPr="009D212A" w14:paraId="5CF4FF30" w14:textId="77777777" w:rsidTr="00E2731F">
        <w:tc>
          <w:tcPr>
            <w:tcW w:w="2501" w:type="dxa"/>
          </w:tcPr>
          <w:p w14:paraId="3B27C4D7" w14:textId="6FBB1F00"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Determination of metanephrine levels</w:t>
            </w:r>
          </w:p>
        </w:tc>
        <w:tc>
          <w:tcPr>
            <w:tcW w:w="2187" w:type="dxa"/>
          </w:tcPr>
          <w:p w14:paraId="7FB74232" w14:textId="3DA13E1A"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5 years</w:t>
            </w:r>
          </w:p>
        </w:tc>
        <w:tc>
          <w:tcPr>
            <w:tcW w:w="2187" w:type="dxa"/>
          </w:tcPr>
          <w:p w14:paraId="34736D0E" w14:textId="7F17BC47"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Yearly</w:t>
            </w:r>
          </w:p>
        </w:tc>
        <w:tc>
          <w:tcPr>
            <w:tcW w:w="2187" w:type="dxa"/>
          </w:tcPr>
          <w:p w14:paraId="4B2B7359" w14:textId="2871D2C3" w:rsidR="00B311DF" w:rsidRPr="009D212A" w:rsidRDefault="00B311DF" w:rsidP="00CB2913">
            <w:pPr>
              <w:spacing w:line="360" w:lineRule="auto"/>
              <w:rPr>
                <w:rFonts w:ascii="Times New Roman" w:eastAsia="Calibri" w:hAnsi="Times New Roman" w:cs="Times New Roman"/>
                <w:kern w:val="2"/>
                <w:lang w:val="en-GB"/>
                <w14:ligatures w14:val="standardContextual"/>
              </w:rPr>
            </w:pPr>
            <w:r w:rsidRPr="009D212A">
              <w:rPr>
                <w:rFonts w:ascii="Times New Roman" w:eastAsia="Calibri" w:hAnsi="Times New Roman" w:cs="Times New Roman"/>
                <w:kern w:val="2"/>
                <w14:ligatures w14:val="standardContextual"/>
              </w:rPr>
              <w:t>Measurement in plasma preferred, but fractionated metanephrines may be measured in 24-h urine samples</w:t>
            </w:r>
          </w:p>
        </w:tc>
      </w:tr>
      <w:tr w:rsidR="0063269C" w:rsidRPr="009D212A" w14:paraId="19BA06C4" w14:textId="77777777" w:rsidTr="00E2731F">
        <w:tc>
          <w:tcPr>
            <w:tcW w:w="2501" w:type="dxa"/>
          </w:tcPr>
          <w:p w14:paraId="3521ED55" w14:textId="26928B35"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MRI of the neuraxis (brain and spinal cord)</w:t>
            </w:r>
          </w:p>
        </w:tc>
        <w:tc>
          <w:tcPr>
            <w:tcW w:w="2187" w:type="dxa"/>
          </w:tcPr>
          <w:p w14:paraId="719A9CC2" w14:textId="52F37459"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11 years</w:t>
            </w:r>
          </w:p>
        </w:tc>
        <w:tc>
          <w:tcPr>
            <w:tcW w:w="2187" w:type="dxa"/>
          </w:tcPr>
          <w:p w14:paraId="537CB83C" w14:textId="6E42D332"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Every 2 years</w:t>
            </w:r>
          </w:p>
        </w:tc>
        <w:tc>
          <w:tcPr>
            <w:tcW w:w="2187" w:type="dxa"/>
          </w:tcPr>
          <w:p w14:paraId="72B4B614" w14:textId="61397E82"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Performed with and without contrast (no contrast during pregnancy); can be coordinated with MRI of the abdomen; thin slices in the posterior fossa and temporal bone; single MRI of the inner ear canal at 15 years of age</w:t>
            </w:r>
          </w:p>
        </w:tc>
      </w:tr>
      <w:tr w:rsidR="0063269C" w:rsidRPr="009D212A" w14:paraId="1522D0FA" w14:textId="77777777" w:rsidTr="00E2731F">
        <w:tc>
          <w:tcPr>
            <w:tcW w:w="2501" w:type="dxa"/>
          </w:tcPr>
          <w:p w14:paraId="79CD737E" w14:textId="2A6BBE01"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Audiometry</w:t>
            </w:r>
          </w:p>
        </w:tc>
        <w:tc>
          <w:tcPr>
            <w:tcW w:w="2187" w:type="dxa"/>
          </w:tcPr>
          <w:p w14:paraId="59D4AE5F" w14:textId="71152325"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11 years</w:t>
            </w:r>
          </w:p>
        </w:tc>
        <w:tc>
          <w:tcPr>
            <w:tcW w:w="2187" w:type="dxa"/>
          </w:tcPr>
          <w:p w14:paraId="4F324741" w14:textId="1E396FE8"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Every 2 years</w:t>
            </w:r>
          </w:p>
        </w:tc>
        <w:tc>
          <w:tcPr>
            <w:tcW w:w="2187" w:type="dxa"/>
          </w:tcPr>
          <w:p w14:paraId="56E47329" w14:textId="77777777" w:rsidR="00B311DF" w:rsidRPr="009D212A" w:rsidRDefault="00B311DF" w:rsidP="00CB2913">
            <w:pPr>
              <w:spacing w:line="360" w:lineRule="auto"/>
              <w:rPr>
                <w:rFonts w:ascii="Times New Roman" w:eastAsia="Calibri" w:hAnsi="Times New Roman" w:cs="Times New Roman"/>
                <w:kern w:val="2"/>
                <w14:ligatures w14:val="standardContextual"/>
              </w:rPr>
            </w:pPr>
          </w:p>
        </w:tc>
      </w:tr>
      <w:tr w:rsidR="00B311DF" w:rsidRPr="009D212A" w14:paraId="21294B70" w14:textId="77777777" w:rsidTr="00E2731F">
        <w:tc>
          <w:tcPr>
            <w:tcW w:w="2501" w:type="dxa"/>
          </w:tcPr>
          <w:p w14:paraId="29ED1946" w14:textId="231BA57D"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MRI of the abdomen</w:t>
            </w:r>
          </w:p>
        </w:tc>
        <w:tc>
          <w:tcPr>
            <w:tcW w:w="2187" w:type="dxa"/>
          </w:tcPr>
          <w:p w14:paraId="07EF5E69" w14:textId="6DB9324F"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15 years</w:t>
            </w:r>
          </w:p>
        </w:tc>
        <w:tc>
          <w:tcPr>
            <w:tcW w:w="2187" w:type="dxa"/>
          </w:tcPr>
          <w:p w14:paraId="05059CAB" w14:textId="158B4139"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Every 2 years</w:t>
            </w:r>
          </w:p>
        </w:tc>
        <w:tc>
          <w:tcPr>
            <w:tcW w:w="2187" w:type="dxa"/>
          </w:tcPr>
          <w:p w14:paraId="4357FA47" w14:textId="7543AFE0" w:rsidR="00B311DF" w:rsidRPr="009D212A" w:rsidRDefault="00B311DF" w:rsidP="00CB2913">
            <w:pPr>
              <w:spacing w:line="360" w:lineRule="auto"/>
              <w:rPr>
                <w:rFonts w:ascii="Times New Roman" w:eastAsia="Calibri" w:hAnsi="Times New Roman" w:cs="Times New Roman"/>
                <w:kern w:val="2"/>
                <w14:ligatures w14:val="standardContextual"/>
              </w:rPr>
            </w:pPr>
            <w:r w:rsidRPr="009D212A">
              <w:rPr>
                <w:rFonts w:ascii="Times New Roman" w:eastAsia="Calibri" w:hAnsi="Times New Roman" w:cs="Times New Roman"/>
                <w:kern w:val="2"/>
                <w14:ligatures w14:val="standardContextual"/>
              </w:rPr>
              <w:t>Performed with and without contrast (no contrast during pregnancy); assess kidneys, pancreas, and adrenal glands; can be coordinated with MRI of the neuraxis</w:t>
            </w:r>
          </w:p>
        </w:tc>
      </w:tr>
    </w:tbl>
    <w:p w14:paraId="62533899" w14:textId="11F977C3"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b/>
          <w:bCs/>
          <w:kern w:val="2"/>
          <w:sz w:val="24"/>
          <w:szCs w:val="24"/>
          <w:lang w:val="en-GB"/>
          <w14:ligatures w14:val="standardContextual"/>
        </w:rPr>
        <w:lastRenderedPageBreak/>
        <w:t>Summary</w:t>
      </w:r>
    </w:p>
    <w:p w14:paraId="2DAF40FE"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Von Hippel-Lindau syndrome is a condition that increases the risk of developing multiple tumours, especially at a young age.</w:t>
      </w:r>
    </w:p>
    <w:p w14:paraId="375D09F8"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 It is a rare autosomal recessive genetic disease. Its symptoms are nonspecific. However, genetic testing is critical in confirming or ruling out the diagnosis. </w:t>
      </w:r>
    </w:p>
    <w:p w14:paraId="075443B1"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Early detection of VHL syndrome allows planning treatment, which extends and improves the patient's quality of life. </w:t>
      </w:r>
    </w:p>
    <w:p w14:paraId="46B5938C"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Treatment requires specialists from various medical fields, such as urology, oncology, endocrinology, and radiation oncology. Treatment methods depend on the timing and the patient's condition at the time of</w:t>
      </w:r>
    </w:p>
    <w:p w14:paraId="3EEA4F2E"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diagnosis.</w:t>
      </w:r>
    </w:p>
    <w:p w14:paraId="3DEC7213" w14:textId="77777777" w:rsidR="00CB2913" w:rsidRPr="009D212A" w:rsidRDefault="00CB2913" w:rsidP="00CB2913">
      <w:pPr>
        <w:spacing w:after="0" w:line="360" w:lineRule="auto"/>
        <w:rPr>
          <w:rFonts w:ascii="Times New Roman" w:eastAsia="Calibri" w:hAnsi="Times New Roman" w:cs="Times New Roman"/>
          <w:b/>
          <w:bCs/>
          <w:kern w:val="2"/>
          <w:sz w:val="24"/>
          <w:szCs w:val="24"/>
          <w:lang w:val="en-GB"/>
          <w14:ligatures w14:val="standardContextual"/>
        </w:rPr>
      </w:pPr>
    </w:p>
    <w:p w14:paraId="32E11EFE" w14:textId="36FA7599" w:rsidR="00CB2913" w:rsidRPr="009D212A" w:rsidRDefault="00CB2913" w:rsidP="00CB2913">
      <w:pPr>
        <w:spacing w:after="0" w:line="360" w:lineRule="auto"/>
        <w:rPr>
          <w:rFonts w:ascii="Times New Roman" w:eastAsia="Calibri" w:hAnsi="Times New Roman" w:cs="Times New Roman"/>
          <w:b/>
          <w:bCs/>
          <w:kern w:val="2"/>
          <w:sz w:val="24"/>
          <w:szCs w:val="24"/>
          <w:lang w:val="en-GB"/>
          <w14:ligatures w14:val="standardContextual"/>
        </w:rPr>
      </w:pPr>
      <w:r w:rsidRPr="009D212A">
        <w:rPr>
          <w:rFonts w:ascii="Times New Roman" w:eastAsia="Calibri" w:hAnsi="Times New Roman" w:cs="Times New Roman"/>
          <w:b/>
          <w:bCs/>
          <w:kern w:val="2"/>
          <w:sz w:val="24"/>
          <w:szCs w:val="24"/>
          <w:lang w:val="en-GB"/>
          <w14:ligatures w14:val="standardContextual"/>
        </w:rPr>
        <w:t>Conclusions:</w:t>
      </w:r>
    </w:p>
    <w:p w14:paraId="016EB2D2"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1. Early diagnosis of VHL syndrome allows for proper treatment planning, enhancing patient comfort and lifespan.</w:t>
      </w:r>
    </w:p>
    <w:p w14:paraId="0ECECCC7"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2. In VHL syndrome patients with tumours up to 4 cm, NSS is the preferred treatment method.</w:t>
      </w:r>
    </w:p>
    <w:p w14:paraId="2E92A166"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3. Close monitoring of patients after NSS helps maintain kidney function and does not increase the risk of metastasis.</w:t>
      </w:r>
    </w:p>
    <w:p w14:paraId="4A468063"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4. NSS compared to RN leads to better preservation of overall kidney function.</w:t>
      </w:r>
    </w:p>
    <w:p w14:paraId="0DB82C40" w14:textId="77777777" w:rsidR="00CB2913" w:rsidRPr="009D212A" w:rsidRDefault="00CB2913" w:rsidP="00CB2913">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5. Management of VHL syndrome should involve a multidisciplinary team of specialists.</w:t>
      </w:r>
    </w:p>
    <w:p w14:paraId="184D6EB3" w14:textId="657B028F" w:rsidR="000A7C9E" w:rsidRPr="009D212A" w:rsidRDefault="00CB2913" w:rsidP="00081B65">
      <w:pPr>
        <w:spacing w:after="0"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6. </w:t>
      </w:r>
      <w:r w:rsidR="00081B65" w:rsidRPr="009D212A">
        <w:rPr>
          <w:rFonts w:ascii="Times New Roman" w:eastAsia="Calibri" w:hAnsi="Times New Roman" w:cs="Times New Roman"/>
          <w:kern w:val="2"/>
          <w:sz w:val="24"/>
          <w:szCs w:val="24"/>
          <w:lang w:val="en-GB"/>
          <w14:ligatures w14:val="standardContextual"/>
        </w:rPr>
        <w:t>Since 2021, belzutifan, which is a HIF2a inhibitor, has been approved for treating patients with VHL disease and RCC.</w:t>
      </w:r>
    </w:p>
    <w:p w14:paraId="79159EDC" w14:textId="77777777" w:rsidR="00081B65" w:rsidRPr="009D212A" w:rsidRDefault="00081B65" w:rsidP="00081B65">
      <w:pPr>
        <w:spacing w:after="0" w:line="360" w:lineRule="auto"/>
        <w:rPr>
          <w:rFonts w:ascii="Times New Roman" w:hAnsi="Times New Roman" w:cs="Times New Roman"/>
          <w:b/>
          <w:sz w:val="24"/>
          <w:szCs w:val="24"/>
          <w:shd w:val="clear" w:color="auto" w:fill="F7F7F8"/>
        </w:rPr>
      </w:pPr>
    </w:p>
    <w:p w14:paraId="052580D1" w14:textId="48C3BD99" w:rsidR="00AC3AD3" w:rsidRPr="009D212A" w:rsidRDefault="00AC3AD3" w:rsidP="00CB2913">
      <w:pPr>
        <w:spacing w:line="360" w:lineRule="auto"/>
        <w:rPr>
          <w:rFonts w:ascii="Times New Roman" w:hAnsi="Times New Roman" w:cs="Times New Roman"/>
          <w:b/>
          <w:vanish/>
          <w:sz w:val="24"/>
          <w:szCs w:val="24"/>
          <w:shd w:val="clear" w:color="auto" w:fill="F7F7F8"/>
        </w:rPr>
      </w:pPr>
      <w:r w:rsidRPr="009D212A">
        <w:rPr>
          <w:rFonts w:ascii="Times New Roman" w:hAnsi="Times New Roman" w:cs="Times New Roman"/>
          <w:b/>
          <w:vanish/>
          <w:sz w:val="24"/>
          <w:szCs w:val="24"/>
          <w:shd w:val="clear" w:color="auto" w:fill="F7F7F8"/>
        </w:rPr>
        <w:t>Początek formularza</w:t>
      </w:r>
    </w:p>
    <w:p w14:paraId="4CFFBF04" w14:textId="70263B9D" w:rsidR="002B34FF" w:rsidRPr="009D212A" w:rsidRDefault="00AC3AD3" w:rsidP="00CB2913">
      <w:pPr>
        <w:spacing w:line="360" w:lineRule="auto"/>
        <w:rPr>
          <w:rFonts w:ascii="Times New Roman" w:hAnsi="Times New Roman" w:cs="Times New Roman"/>
          <w:sz w:val="24"/>
          <w:szCs w:val="24"/>
          <w:shd w:val="clear" w:color="auto" w:fill="F7F7F8"/>
        </w:rPr>
      </w:pPr>
      <w:r w:rsidRPr="009D212A">
        <w:rPr>
          <w:rFonts w:ascii="Times New Roman" w:hAnsi="Times New Roman" w:cs="Times New Roman"/>
          <w:b/>
          <w:sz w:val="24"/>
          <w:szCs w:val="24"/>
          <w:shd w:val="clear" w:color="auto" w:fill="F7F7F8"/>
        </w:rPr>
        <w:t>References</w:t>
      </w:r>
      <w:r w:rsidR="002B34FF" w:rsidRPr="009D212A">
        <w:rPr>
          <w:rFonts w:ascii="Times New Roman" w:hAnsi="Times New Roman" w:cs="Times New Roman"/>
          <w:b/>
          <w:sz w:val="24"/>
          <w:szCs w:val="24"/>
          <w:shd w:val="clear" w:color="auto" w:fill="F7F7F8"/>
        </w:rPr>
        <w:t xml:space="preserve">: </w:t>
      </w:r>
    </w:p>
    <w:p w14:paraId="65D8D444" w14:textId="77777777" w:rsidR="002B34FF" w:rsidRPr="009D212A" w:rsidRDefault="002B34FF"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 xml:space="preserve">[1].  Campbell-Walsh, et al.: Urology. 10th ed. International Edition, Elsevier 2012. </w:t>
      </w:r>
    </w:p>
    <w:p w14:paraId="6B1A323E" w14:textId="77777777" w:rsidR="002B34FF" w:rsidRPr="009D212A" w:rsidRDefault="002B34FF"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[2]. Martins R, João Bugalho M: Paragangliomas/pheochromocytomas: clinically oriented genetic testing. Int J Endocrinol 2014;2014:1-14.</w:t>
      </w:r>
    </w:p>
    <w:p w14:paraId="185D3E71" w14:textId="77777777" w:rsidR="002B34FF" w:rsidRPr="009D212A" w:rsidRDefault="002B34FF"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[3].Ang SO, Chen H, Hirota K, Gordeuk VR, Jelinek J, Guan Y, Liu E, Sergueeva AI, Miasnikova GY, Mole D, Maxwell PH, Stockon DW, Semenza GL, Prchal JT: Disruption of oxygen homeostasis underlies congenital Chuvash polycythemia. Nat Genet 2002;32:614-621.</w:t>
      </w:r>
    </w:p>
    <w:p w14:paraId="3D24327B" w14:textId="77777777" w:rsidR="002B34FF" w:rsidRPr="009D212A" w:rsidRDefault="002B34FF"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lastRenderedPageBreak/>
        <w:t>[4]. Maher ER, Neumann HPH, Richard S: von Hippel-Lindau disease: a clinical and scientific review. Eur J Hum Genet 2011;19:617-623</w:t>
      </w:r>
    </w:p>
    <w:p w14:paraId="336413FB" w14:textId="77777777" w:rsidR="002B34FF" w:rsidRPr="009D212A" w:rsidRDefault="002B34FF"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 xml:space="preserve"> [5]. Lonser RR, Glenn GM, Walther M, Chew EY, Libutti SK, Linehan WM, Oldfield EH: von Hippel-Lindau disease. Lancet 2003;361:2059-2067.</w:t>
      </w:r>
    </w:p>
    <w:p w14:paraId="4E41FDFD" w14:textId="77777777" w:rsidR="002B34FF" w:rsidRPr="009D212A" w:rsidRDefault="002B34FF"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[6]. Bender BU, Eng C, Olschewski M, Berger DP, Laubenberger J, Altehöfer C, Kirste G, Orszagh M, van Velthoven V, Miosczka H, Schmidt D, Neumann HPH: VHL c.505T&gt;C mutation confers a high age-related penetrance but no increased overall mortality. J Med Genet 2001;38:508-514.</w:t>
      </w:r>
    </w:p>
    <w:p w14:paraId="40A780F6" w14:textId="7E66CA1C" w:rsidR="008E1383"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[7] Marie Louise M Binderup, Maja Smerdel, Line Borgwadt, Signe Sparre Beck Nielsen, Mia Gebauer Madsen, Hans Ulrik Møller, Jens Folke Kiilgaard, Lennart Friis-Hansen, Vibeke Harbud, Søren Cortnum, Hanne Owen, Steen Gimsing, Henning Anker Friis Juhl, Sune Munthe, Marianne Geilswijk, Åse Krogh Rasmussen, Ulla Møldrup, Ole Graumann, Frede Donskov, Henning Grønbæk, Brian Stausbøl-Grøn, Ove Schaffalitzky de Muckadell, Ulrich Knigge, Gitte Dam, Karin AW. Wadt, Lars Bøgeskov, Per Bagi, Lars Lund, Kirstine Stochholm, Lilian Bomme Ousager, Lone Sunde, von Hippel-Lindau disease: Updated guideline for diagnosis and surveillance, European Journal of Medical Genetics, Volume 65, Issue 8, 2022, 104538, ISSN 1769-7212, https://doi.org/10.1016/j.ejmg.2022.104538.</w:t>
      </w:r>
    </w:p>
    <w:p w14:paraId="255E12B1" w14:textId="34FF1391"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[8</w:t>
      </w:r>
      <w:r w:rsidR="002B34FF" w:rsidRPr="009D212A">
        <w:rPr>
          <w:rFonts w:ascii="Times New Roman" w:hAnsi="Times New Roman" w:cs="Times New Roman"/>
          <w:sz w:val="24"/>
          <w:szCs w:val="24"/>
        </w:rPr>
        <w:t>]. Pastore Y., Jedlickova K., Prchal J.T.: Mutations of von Hippel-Lidau tumor suppressor gene and congenital polycythemia. Am. J. Hum. Genet., 2004; 74 (3): 598</w:t>
      </w:r>
    </w:p>
    <w:p w14:paraId="34BBAE19" w14:textId="061ADBAA"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[9</w:t>
      </w:r>
      <w:r w:rsidR="002B34FF" w:rsidRPr="009D212A">
        <w:rPr>
          <w:rFonts w:ascii="Times New Roman" w:hAnsi="Times New Roman" w:cs="Times New Roman"/>
          <w:sz w:val="24"/>
          <w:szCs w:val="24"/>
        </w:rPr>
        <w:t>].  Lorenzo F.R., Yang C., Prchal J.T.: A Novel EPAS1/HIF2A germline mutation in Congenital Polycythemia with Paraganglioma. J. Mol. Med., 2013; 91 (4): 507–512</w:t>
      </w:r>
    </w:p>
    <w:p w14:paraId="5C20DE4D" w14:textId="0715F882"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 xml:space="preserve"> [10</w:t>
      </w:r>
      <w:r w:rsidR="002B34FF" w:rsidRPr="009D212A">
        <w:rPr>
          <w:rFonts w:ascii="Times New Roman" w:hAnsi="Times New Roman" w:cs="Times New Roman"/>
          <w:sz w:val="24"/>
          <w:szCs w:val="24"/>
        </w:rPr>
        <w:t>]. Maher E.R., Neumann H.P., Richard S.: Von Hippel-Lindau disease: a clinical and scientific review. Eur. J. Hum. Genet., 2011; 19: 617–623</w:t>
      </w:r>
    </w:p>
    <w:p w14:paraId="5D5242FC" w14:textId="055A0A06"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 xml:space="preserve"> [11</w:t>
      </w:r>
      <w:r w:rsidR="002B34FF" w:rsidRPr="009D212A">
        <w:rPr>
          <w:rFonts w:ascii="Times New Roman" w:hAnsi="Times New Roman" w:cs="Times New Roman"/>
          <w:sz w:val="24"/>
          <w:szCs w:val="24"/>
        </w:rPr>
        <w:t>]. Lenders J.W.M., Eisenhofer G., Manneli M., Pacak K.: Pheochromocytoma. Lancet, 2005; 366: 665–675</w:t>
      </w:r>
    </w:p>
    <w:p w14:paraId="339BE6CA" w14:textId="71D4A1E9"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 xml:space="preserve"> [12</w:t>
      </w:r>
      <w:r w:rsidR="002B34FF" w:rsidRPr="009D212A">
        <w:rPr>
          <w:rFonts w:ascii="Times New Roman" w:hAnsi="Times New Roman" w:cs="Times New Roman"/>
          <w:sz w:val="24"/>
          <w:szCs w:val="24"/>
        </w:rPr>
        <w:t>]. Andersen K.F., Altaf R., Krarup-Hansen A., Hendel H.W., et al.: Malignant pheochromocytomas and paragangliomas – the importance of a multidisciplinary approach. Cancer Treat. Rev., 2011; 37: 111–119</w:t>
      </w:r>
    </w:p>
    <w:p w14:paraId="78595BF5" w14:textId="65C25614"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lastRenderedPageBreak/>
        <w:t>[13</w:t>
      </w:r>
      <w:r w:rsidR="002B34FF" w:rsidRPr="009D212A">
        <w:rPr>
          <w:rFonts w:ascii="Times New Roman" w:hAnsi="Times New Roman" w:cs="Times New Roman"/>
          <w:sz w:val="24"/>
          <w:szCs w:val="24"/>
        </w:rPr>
        <w:t>]. Parenti G., Zampetti B., Rapizzi E., Mannell M.: Update and new perspectives on diagnosis, prognosis and therapy of malignant pheochromocytoma/ paraganglioma. J. Oncol., 2012; doi: 10.1155/2012/872 713</w:t>
      </w:r>
    </w:p>
    <w:p w14:paraId="6F6895FB" w14:textId="75AC1FA1" w:rsidR="002B34FF" w:rsidRPr="009D212A" w:rsidRDefault="002B34FF"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w:t>
      </w:r>
      <w:r w:rsidR="008E1383" w:rsidRPr="009D212A">
        <w:rPr>
          <w:rFonts w:ascii="Times New Roman" w:hAnsi="Times New Roman" w:cs="Times New Roman"/>
          <w:sz w:val="24"/>
          <w:szCs w:val="24"/>
        </w:rPr>
        <w:t>14</w:t>
      </w:r>
      <w:r w:rsidRPr="009D212A">
        <w:rPr>
          <w:rFonts w:ascii="Times New Roman" w:hAnsi="Times New Roman" w:cs="Times New Roman"/>
          <w:sz w:val="24"/>
          <w:szCs w:val="24"/>
        </w:rPr>
        <w:t>].  Gimm O., DeMicco C., Perren A., Brunaud L., et al.: Malignant pheochromocytoma and paragangliomas: a diagnostic challenge. Langenbecks Arch. Surg., 2012; 397: 155–177</w:t>
      </w:r>
    </w:p>
    <w:p w14:paraId="083E6B04" w14:textId="69134FB6"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[15</w:t>
      </w:r>
      <w:r w:rsidR="002B34FF" w:rsidRPr="009D212A">
        <w:rPr>
          <w:rFonts w:ascii="Times New Roman" w:hAnsi="Times New Roman" w:cs="Times New Roman"/>
          <w:sz w:val="24"/>
          <w:szCs w:val="24"/>
        </w:rPr>
        <w:t>].  Neumann H.P., Berger D.P., Sigmund G., Blum U., et al.: Pheochromocytomas, multiple endocrine neoplasia and von Hippel-Lindau disease. N. Engl. J. Med., 1993; 329: 1531–1538</w:t>
      </w:r>
    </w:p>
    <w:p w14:paraId="6EE0D6A9" w14:textId="2A520290"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 xml:space="preserve"> [16</w:t>
      </w:r>
      <w:r w:rsidR="002B34FF" w:rsidRPr="009D212A">
        <w:rPr>
          <w:rFonts w:ascii="Times New Roman" w:hAnsi="Times New Roman" w:cs="Times New Roman"/>
          <w:sz w:val="24"/>
          <w:szCs w:val="24"/>
        </w:rPr>
        <w:t>]. Beitner M.M., Winship I., Drummond K.J.: Neurosurgical considerations in von Hippel-Lindau disease. J. Clin. Neurosci., 2011; 18: 171–180</w:t>
      </w:r>
    </w:p>
    <w:p w14:paraId="776DB624" w14:textId="38BFA23F"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 xml:space="preserve"> [17</w:t>
      </w:r>
      <w:r w:rsidR="002B34FF" w:rsidRPr="009D212A">
        <w:rPr>
          <w:rFonts w:ascii="Times New Roman" w:hAnsi="Times New Roman" w:cs="Times New Roman"/>
          <w:sz w:val="24"/>
          <w:szCs w:val="24"/>
        </w:rPr>
        <w:t>]. Bartontini M., Dahia P.: VHL disease. Best Pract. Res. Clin. Endocrinol. Metab., 2010; 24: 401–413</w:t>
      </w:r>
    </w:p>
    <w:p w14:paraId="04E5A5DC" w14:textId="12177747"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[18</w:t>
      </w:r>
      <w:r w:rsidR="002B34FF" w:rsidRPr="009D212A">
        <w:rPr>
          <w:rFonts w:ascii="Times New Roman" w:hAnsi="Times New Roman" w:cs="Times New Roman"/>
          <w:sz w:val="24"/>
          <w:szCs w:val="24"/>
        </w:rPr>
        <w:t>].  Richard S., Gardie B., Couve S., Gad S.: Von Hippel-Lindau: how rare disease illuminates cancer biology. Semin. Cancer Biol., 2013; 23 (1): 26–37</w:t>
      </w:r>
    </w:p>
    <w:p w14:paraId="5BD11FD4" w14:textId="4C1D391A"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[19</w:t>
      </w:r>
      <w:r w:rsidR="002B34FF" w:rsidRPr="009D212A">
        <w:rPr>
          <w:rFonts w:ascii="Times New Roman" w:hAnsi="Times New Roman" w:cs="Times New Roman"/>
          <w:sz w:val="24"/>
          <w:szCs w:val="24"/>
        </w:rPr>
        <w:t>].  Bader H.L., Hsu T.: Systemic VHL gene functions and the VHL disease. FEBS Letters, 2012; 586: 1562–1569</w:t>
      </w:r>
    </w:p>
    <w:p w14:paraId="78C849E9" w14:textId="2793951C"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[20</w:t>
      </w:r>
      <w:r w:rsidR="002B34FF" w:rsidRPr="009D212A">
        <w:rPr>
          <w:rFonts w:ascii="Times New Roman" w:hAnsi="Times New Roman" w:cs="Times New Roman"/>
          <w:sz w:val="24"/>
          <w:szCs w:val="24"/>
        </w:rPr>
        <w:t>]. Jilg C.A., Neumann H.P., Glasker S., Schultze-Seemann W.: Growth kinetics in von Hippel-Lindau-associated renal cell carcinoma. Urol. Int., 2012; 88: 71–78</w:t>
      </w:r>
    </w:p>
    <w:p w14:paraId="2A213089" w14:textId="5A0EAD8B" w:rsidR="002B34FF" w:rsidRPr="009D212A" w:rsidRDefault="002B34FF"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[2</w:t>
      </w:r>
      <w:r w:rsidR="008E1383" w:rsidRPr="009D212A">
        <w:rPr>
          <w:rFonts w:ascii="Times New Roman" w:hAnsi="Times New Roman" w:cs="Times New Roman"/>
          <w:sz w:val="24"/>
          <w:szCs w:val="24"/>
        </w:rPr>
        <w:t>1</w:t>
      </w:r>
      <w:r w:rsidRPr="009D212A">
        <w:rPr>
          <w:rFonts w:ascii="Times New Roman" w:hAnsi="Times New Roman" w:cs="Times New Roman"/>
          <w:sz w:val="24"/>
          <w:szCs w:val="24"/>
        </w:rPr>
        <w:t>]. Shuin T, Yamasaki I, Tamura K, Okuda H, Furihata M, Ashida S: Von Hippel-Lindau disease: molecular pathological basis, clinical criteria, genetic testing, clinical features of tumors and treatment. Jpn J Clin Oncol 2006;36:337-343.</w:t>
      </w:r>
    </w:p>
    <w:p w14:paraId="6E742136" w14:textId="73214D0D" w:rsidR="002B34FF"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[22</w:t>
      </w:r>
      <w:r w:rsidR="002B34FF" w:rsidRPr="009D212A">
        <w:rPr>
          <w:rFonts w:ascii="Times New Roman" w:hAnsi="Times New Roman" w:cs="Times New Roman"/>
          <w:sz w:val="24"/>
          <w:szCs w:val="24"/>
        </w:rPr>
        <w:t>]. Beck O, Fassbender WJ, Beyer P, Kriener S, Neumann HP, Klingebiel T, Lehrnbecher T: Pheochromocytoma in childhood: implication for further diagnostic procedures. Acta Paediatr 2004;93:1630-1634.</w:t>
      </w:r>
    </w:p>
    <w:p w14:paraId="2D50CC30" w14:textId="3405D41C" w:rsidR="002B34FF" w:rsidRPr="009D212A" w:rsidRDefault="008E1383" w:rsidP="00CB2913">
      <w:pPr>
        <w:spacing w:line="360" w:lineRule="auto"/>
        <w:rPr>
          <w:rFonts w:ascii="Times New Roman" w:hAnsi="Times New Roman" w:cs="Times New Roman"/>
          <w:sz w:val="24"/>
          <w:szCs w:val="24"/>
        </w:rPr>
      </w:pPr>
      <w:bookmarkStart w:id="1" w:name="ref40"/>
      <w:bookmarkEnd w:id="1"/>
      <w:r w:rsidRPr="009D212A">
        <w:rPr>
          <w:rFonts w:ascii="Times New Roman" w:hAnsi="Times New Roman" w:cs="Times New Roman"/>
          <w:sz w:val="24"/>
          <w:szCs w:val="24"/>
        </w:rPr>
        <w:t>[23</w:t>
      </w:r>
      <w:r w:rsidR="002B34FF" w:rsidRPr="009D212A">
        <w:rPr>
          <w:rFonts w:ascii="Times New Roman" w:hAnsi="Times New Roman" w:cs="Times New Roman"/>
          <w:sz w:val="24"/>
          <w:szCs w:val="24"/>
        </w:rPr>
        <w:t>].Vaganovs P, Bokums K, Miklaševics E, Plonis J, Zarina L, Geldners I, Gardovskis J, Vjaters E: Von Hippel-Lindau syndrome: diagnosis and management of hemangioblastoma and pheochromocytoma. Case Rep Urol 2013;2013:624096.</w:t>
      </w:r>
    </w:p>
    <w:p w14:paraId="5A7A4E33" w14:textId="33F94D81" w:rsidR="002B34FF" w:rsidRPr="009D212A" w:rsidRDefault="008E1383" w:rsidP="00CB2913">
      <w:pPr>
        <w:spacing w:line="360" w:lineRule="auto"/>
        <w:rPr>
          <w:rFonts w:ascii="Times New Roman" w:hAnsi="Times New Roman" w:cs="Times New Roman"/>
          <w:sz w:val="24"/>
          <w:szCs w:val="24"/>
        </w:rPr>
      </w:pPr>
      <w:bookmarkStart w:id="2" w:name="ref41"/>
      <w:bookmarkEnd w:id="2"/>
      <w:r w:rsidRPr="009D212A">
        <w:rPr>
          <w:rFonts w:ascii="Times New Roman" w:hAnsi="Times New Roman" w:cs="Times New Roman"/>
          <w:sz w:val="24"/>
          <w:szCs w:val="24"/>
        </w:rPr>
        <w:t>[24</w:t>
      </w:r>
      <w:r w:rsidR="002B34FF" w:rsidRPr="009D212A">
        <w:rPr>
          <w:rFonts w:ascii="Times New Roman" w:hAnsi="Times New Roman" w:cs="Times New Roman"/>
          <w:sz w:val="24"/>
          <w:szCs w:val="24"/>
        </w:rPr>
        <w:t xml:space="preserve">]. Hasani-Ranjbar S, Amoli MM, Ebrahim-Habibi A, Haghpanah V, Hejazi M, Soltani A, Larijani B: Mutation screening of VHL gene in a family with malignant bilateral </w:t>
      </w:r>
      <w:r w:rsidR="002B34FF" w:rsidRPr="009D212A">
        <w:rPr>
          <w:rFonts w:ascii="Times New Roman" w:hAnsi="Times New Roman" w:cs="Times New Roman"/>
          <w:sz w:val="24"/>
          <w:szCs w:val="24"/>
        </w:rPr>
        <w:lastRenderedPageBreak/>
        <w:t>pheochromocytoma: from isolated familial pheochromocytoma to von Hippel-Lindau disease. Fam Cancer 2009;8:465-471.</w:t>
      </w:r>
      <w:bookmarkStart w:id="3" w:name="ref42"/>
      <w:bookmarkEnd w:id="3"/>
    </w:p>
    <w:p w14:paraId="33A33AC3" w14:textId="3D465C4B" w:rsidR="0028513C"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[25</w:t>
      </w:r>
      <w:r w:rsidR="002B34FF" w:rsidRPr="009D212A">
        <w:rPr>
          <w:rFonts w:ascii="Times New Roman" w:hAnsi="Times New Roman" w:cs="Times New Roman"/>
          <w:sz w:val="24"/>
          <w:szCs w:val="24"/>
        </w:rPr>
        <w:t>]. Toote A, Hasani- Ranjbar S: Von Hippel-Lindau Disease: a new approach to an old problem. Int J Endocrinol Metab 2012;10:619-624.</w:t>
      </w:r>
    </w:p>
    <w:p w14:paraId="3F70BA2C" w14:textId="0303D497" w:rsidR="00657533" w:rsidRPr="009D212A" w:rsidRDefault="008E1383"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[26</w:t>
      </w:r>
      <w:r w:rsidR="00657533" w:rsidRPr="009D212A">
        <w:rPr>
          <w:rFonts w:ascii="Times New Roman" w:hAnsi="Times New Roman" w:cs="Times New Roman"/>
          <w:sz w:val="24"/>
          <w:szCs w:val="24"/>
        </w:rPr>
        <w:t>]. Leung RS, Biswas SV, Duncan M, Rankin S. Imaging features of von Hippel-Lindau disease. Radiographics. 2008 Jan-Feb;28(1):65-79; quiz 323. doi: 10.1148/rg.281075052. PMID: 18203931.</w:t>
      </w:r>
    </w:p>
    <w:p w14:paraId="271E08EF" w14:textId="51BEB137" w:rsidR="0028513C" w:rsidRPr="009D212A" w:rsidRDefault="008E1383" w:rsidP="00CB2913">
      <w:pPr>
        <w:spacing w:line="360" w:lineRule="auto"/>
        <w:rPr>
          <w:rFonts w:ascii="Times New Roman" w:hAnsi="Times New Roman" w:cs="Times New Roman"/>
          <w:sz w:val="24"/>
          <w:szCs w:val="24"/>
        </w:rPr>
      </w:pPr>
      <w:r w:rsidRPr="009D212A">
        <w:rPr>
          <w:rFonts w:ascii="Times New Roman" w:eastAsia="Times New Roman" w:hAnsi="Times New Roman" w:cs="Times New Roman"/>
          <w:sz w:val="24"/>
          <w:szCs w:val="24"/>
        </w:rPr>
        <w:t>[27</w:t>
      </w:r>
      <w:r w:rsidR="0028513C" w:rsidRPr="009D212A">
        <w:rPr>
          <w:rFonts w:ascii="Times New Roman" w:eastAsia="Times New Roman" w:hAnsi="Times New Roman" w:cs="Times New Roman"/>
          <w:sz w:val="24"/>
          <w:szCs w:val="24"/>
        </w:rPr>
        <w:t xml:space="preserve">].Ong, K.R.; Woodward, E.R.; Killick, P.; Lim, C.; Macdonald, F.; Maher, E.R. Genotype-phenotype correlations in von HippelLindau disease. Hum. Mutat. 2007, 28, 143–149. </w:t>
      </w:r>
    </w:p>
    <w:p w14:paraId="46497E5C" w14:textId="370E741E" w:rsidR="0028513C"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[28</w:t>
      </w:r>
      <w:r w:rsidR="0028513C" w:rsidRPr="009D212A">
        <w:rPr>
          <w:rFonts w:ascii="Times New Roman" w:eastAsia="Times New Roman" w:hAnsi="Times New Roman" w:cs="Times New Roman"/>
          <w:sz w:val="24"/>
          <w:szCs w:val="24"/>
        </w:rPr>
        <w:t>]. Chou, A.; Toon, C.; Pickett, J.; Gill, A.J. von Hippel-Lindau syndrome. Front. Horm. Res. 2013, 41, 30–49.</w:t>
      </w:r>
    </w:p>
    <w:p w14:paraId="0C81587B" w14:textId="73D4574F" w:rsidR="0028513C"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[29</w:t>
      </w:r>
      <w:r w:rsidR="0028513C" w:rsidRPr="009D212A">
        <w:rPr>
          <w:rFonts w:ascii="Times New Roman" w:eastAsia="Times New Roman" w:hAnsi="Times New Roman" w:cs="Times New Roman"/>
          <w:sz w:val="24"/>
          <w:szCs w:val="24"/>
        </w:rPr>
        <w:t>]. Zhou, B.; Wang, J.; Liu, S.; Peng, X.; Hong, B.; Zhou, J.; Ma, K.; Zhang, J.; Cai, L.; Gong, K. Hemangioblastoma Instead of Renal Cell Carcinoma Plays a Major Role in the Unfavorable Overall Survival of Von Hippel-Lindau Disease Patients. Front. Oncol. 2019, 9, 1037</w:t>
      </w:r>
    </w:p>
    <w:p w14:paraId="592C1DFB" w14:textId="267DF6C5" w:rsidR="0028513C" w:rsidRPr="009D212A" w:rsidRDefault="00940045"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[30</w:t>
      </w:r>
      <w:r w:rsidR="0028513C" w:rsidRPr="009D212A">
        <w:rPr>
          <w:rFonts w:ascii="Times New Roman" w:hAnsi="Times New Roman" w:cs="Times New Roman"/>
          <w:sz w:val="24"/>
          <w:szCs w:val="24"/>
        </w:rPr>
        <w:t>]</w:t>
      </w:r>
      <w:r w:rsidR="0028513C" w:rsidRPr="009D212A">
        <w:rPr>
          <w:rFonts w:ascii="Times New Roman" w:eastAsia="Times New Roman" w:hAnsi="Times New Roman" w:cs="Times New Roman"/>
          <w:sz w:val="24"/>
          <w:szCs w:val="24"/>
        </w:rPr>
        <w:t xml:space="preserve"> Hampel H, Bennett RL, Buchanan A, et al. A practice guideline from the American College of Medical Genetics and Genomics and the National Society of Genetic Counselors: referral indications for cancer predisposition assessment. Genet Med 2015;17:70–87</w:t>
      </w:r>
    </w:p>
    <w:p w14:paraId="0C8701F9" w14:textId="34E16F0D" w:rsidR="0028513C"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[31</w:t>
      </w:r>
      <w:r w:rsidR="0028513C" w:rsidRPr="009D212A">
        <w:rPr>
          <w:rFonts w:ascii="Times New Roman" w:eastAsia="Times New Roman" w:hAnsi="Times New Roman" w:cs="Times New Roman"/>
          <w:sz w:val="24"/>
          <w:szCs w:val="24"/>
        </w:rPr>
        <w:t>]. Binderup ML, Bisgaard ML, Harbud V, Moller HU, Gimsing S, Friis-Hansen L, Hansen T, Bagi P, Knigge U, Kosteljanetz M, Bogeskov L, Thomsen C, Gerdes AM, Ousager LB, Sunde L. Von Hippel-Lindau disease (vHL). National clinical guideline for diagnosis and surveillance in Denmark. 3rd edition. Dan Med J 2013;60(12):B4763.</w:t>
      </w:r>
    </w:p>
    <w:p w14:paraId="3263747D" w14:textId="36E66BAE" w:rsidR="0028513C"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[32</w:t>
      </w:r>
      <w:r w:rsidR="0028513C" w:rsidRPr="009D212A">
        <w:rPr>
          <w:rFonts w:ascii="Times New Roman" w:eastAsia="Times New Roman" w:hAnsi="Times New Roman" w:cs="Times New Roman"/>
          <w:sz w:val="24"/>
          <w:szCs w:val="24"/>
        </w:rPr>
        <w:t>] MELMON KL, ROSEN SW. LINDAU'S DISEASE. REVIEW OF THE LITERATURE AND STUDY OF A LARGE KINDRED. Am J Med 1964;36:595-617.</w:t>
      </w:r>
    </w:p>
    <w:p w14:paraId="2C78C0BE" w14:textId="3822687E" w:rsidR="0028513C"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[33</w:t>
      </w:r>
      <w:r w:rsidR="0028513C" w:rsidRPr="009D212A">
        <w:rPr>
          <w:rFonts w:ascii="Times New Roman" w:eastAsia="Times New Roman" w:hAnsi="Times New Roman" w:cs="Times New Roman"/>
          <w:sz w:val="24"/>
          <w:szCs w:val="24"/>
        </w:rPr>
        <w:t>] Maher ER, Neumann HP, Richard S. von Hippel-Lindau disease: A clinical and scientific review. Eur J Hum Genet 2011.</w:t>
      </w:r>
    </w:p>
    <w:p w14:paraId="2F8710FE" w14:textId="5DD95BC2" w:rsidR="0028513C"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[34</w:t>
      </w:r>
      <w:r w:rsidR="0028513C" w:rsidRPr="009D212A">
        <w:rPr>
          <w:rFonts w:ascii="Times New Roman" w:eastAsia="Times New Roman" w:hAnsi="Times New Roman" w:cs="Times New Roman"/>
          <w:sz w:val="24"/>
          <w:szCs w:val="24"/>
        </w:rPr>
        <w:t>] Nordstrom-O'Brien M, van der Luijt RB, van RE, van den Ouweland AM, Majoor-Krakauer DF, Lolkema MP, van BA, Voest EE, Giles RH. Genetic analysis of von Hippel-Lindau disease. Hum Mutat 2010;31(5):521-37.</w:t>
      </w:r>
    </w:p>
    <w:p w14:paraId="6BA39D30" w14:textId="725447B7" w:rsidR="0028513C"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lastRenderedPageBreak/>
        <w:t>[35</w:t>
      </w:r>
      <w:r w:rsidR="0028513C" w:rsidRPr="009D212A">
        <w:rPr>
          <w:rFonts w:ascii="Times New Roman" w:eastAsia="Times New Roman" w:hAnsi="Times New Roman" w:cs="Times New Roman"/>
          <w:sz w:val="24"/>
          <w:szCs w:val="24"/>
        </w:rPr>
        <w:t>] Choyke PL, Glenn GM, Walther MM, Patronas NJ, Linehan WM, Zbar B. von Hippel-Lindau disease: genetic, clinical, and imaging features. Radiology 1995;194(3):629-42.</w:t>
      </w:r>
    </w:p>
    <w:p w14:paraId="290A4835" w14:textId="0F764FD9" w:rsidR="0028513C" w:rsidRPr="009D212A" w:rsidRDefault="00940045"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[36</w:t>
      </w:r>
      <w:r w:rsidR="0028513C" w:rsidRPr="009D212A">
        <w:rPr>
          <w:rFonts w:ascii="Times New Roman" w:hAnsi="Times New Roman" w:cs="Times New Roman"/>
          <w:sz w:val="24"/>
          <w:szCs w:val="24"/>
        </w:rPr>
        <w:t>]. Ljungberg B, Albiges L, Abu-Ghanem Y, Bedke J, Capitanio U, Dabestani S, Fernández-Pello S, Giles RH, Hofmann F, Hora M, Klatte T, Kuusk T, Lam TB, Marconi L, Powles T, Tahbaz R, Volpe A, Bex A. European Association of Urology Guidelines on Renal Cell Carcinoma: The 2022 Update. Eur Urol. 2022 Oct;82(4):399-410. doi: 10.1016/j.eururo.2022.03.006. Epub 2022 Mar 26. PMID: 35346519.</w:t>
      </w:r>
    </w:p>
    <w:p w14:paraId="0A80E337" w14:textId="3889E94C" w:rsidR="0028513C" w:rsidRPr="009D212A" w:rsidRDefault="00940045"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[37</w:t>
      </w:r>
      <w:r w:rsidR="0028513C" w:rsidRPr="009D212A">
        <w:rPr>
          <w:rFonts w:ascii="Times New Roman" w:hAnsi="Times New Roman" w:cs="Times New Roman"/>
          <w:sz w:val="24"/>
          <w:szCs w:val="24"/>
        </w:rPr>
        <w:t>]. Ploussard, G., Droupy, S., Ferlicot, S., Ples, R., Rocher, L., Richard, S., &amp; Benoit, G. (2007). </w:t>
      </w:r>
      <w:r w:rsidR="0028513C" w:rsidRPr="009D212A">
        <w:rPr>
          <w:rFonts w:ascii="Times New Roman" w:hAnsi="Times New Roman" w:cs="Times New Roman"/>
          <w:i/>
          <w:iCs/>
          <w:sz w:val="24"/>
          <w:szCs w:val="24"/>
        </w:rPr>
        <w:t>Local Recurrence After Nephron-Sparing Surgery in von Hippel-Lindau Disease. Urology, 70(3), 435–439.</w:t>
      </w:r>
      <w:r w:rsidR="0028513C" w:rsidRPr="009D212A">
        <w:rPr>
          <w:rFonts w:ascii="Times New Roman" w:hAnsi="Times New Roman" w:cs="Times New Roman"/>
          <w:sz w:val="24"/>
          <w:szCs w:val="24"/>
        </w:rPr>
        <w:t> doi:10.1016/j.urology.2007.04.040 </w:t>
      </w:r>
    </w:p>
    <w:p w14:paraId="3132FA87" w14:textId="28C2D358" w:rsidR="0028513C" w:rsidRPr="009D212A" w:rsidRDefault="00940045" w:rsidP="00CB2913">
      <w:pPr>
        <w:spacing w:line="360" w:lineRule="auto"/>
        <w:rPr>
          <w:rStyle w:val="Hipercze"/>
          <w:rFonts w:ascii="Times New Roman" w:hAnsi="Times New Roman" w:cs="Times New Roman"/>
          <w:color w:val="auto"/>
          <w:sz w:val="24"/>
          <w:szCs w:val="24"/>
        </w:rPr>
      </w:pPr>
      <w:r w:rsidRPr="009D212A">
        <w:rPr>
          <w:rFonts w:ascii="Times New Roman" w:hAnsi="Times New Roman" w:cs="Times New Roman"/>
          <w:sz w:val="24"/>
          <w:szCs w:val="24"/>
        </w:rPr>
        <w:t>[38</w:t>
      </w:r>
      <w:r w:rsidR="0028513C" w:rsidRPr="009D212A">
        <w:rPr>
          <w:rFonts w:ascii="Times New Roman" w:hAnsi="Times New Roman" w:cs="Times New Roman"/>
          <w:sz w:val="24"/>
          <w:szCs w:val="24"/>
        </w:rPr>
        <w:t xml:space="preserve">]. Kunath F, Schmidt S, Krabbe LM, et al. Partial nephrectomy versus radical nephrectomy for clinical localised renal masses. Cochrane Database Syst Rev. 2017(5). </w:t>
      </w:r>
      <w:hyperlink r:id="rId9" w:history="1">
        <w:r w:rsidR="0028513C" w:rsidRPr="009D212A">
          <w:rPr>
            <w:rStyle w:val="Hipercze"/>
            <w:rFonts w:ascii="Times New Roman" w:hAnsi="Times New Roman" w:cs="Times New Roman"/>
            <w:color w:val="auto"/>
            <w:sz w:val="24"/>
            <w:szCs w:val="24"/>
          </w:rPr>
          <w:t>https://doi.org/10.1002/14651858.CD012045.pub2</w:t>
        </w:r>
      </w:hyperlink>
    </w:p>
    <w:p w14:paraId="09510DD7" w14:textId="695D0B63" w:rsidR="00940045" w:rsidRPr="009D212A" w:rsidRDefault="00940045" w:rsidP="00CB2913">
      <w:pPr>
        <w:spacing w:line="360" w:lineRule="auto"/>
        <w:rPr>
          <w:rFonts w:ascii="Times New Roman" w:hAnsi="Times New Roman" w:cs="Times New Roman"/>
          <w:sz w:val="24"/>
          <w:szCs w:val="24"/>
          <w:shd w:val="clear" w:color="auto" w:fill="F7F7F8"/>
          <w:lang w:val="en-GB"/>
        </w:rPr>
      </w:pPr>
      <w:r w:rsidRPr="009D212A">
        <w:rPr>
          <w:rStyle w:val="Hipercze"/>
          <w:rFonts w:ascii="Times New Roman" w:hAnsi="Times New Roman" w:cs="Times New Roman"/>
          <w:color w:val="auto"/>
          <w:sz w:val="24"/>
          <w:szCs w:val="24"/>
        </w:rPr>
        <w:t xml:space="preserve">[39] </w:t>
      </w:r>
      <w:r w:rsidRPr="009D212A">
        <w:rPr>
          <w:rFonts w:ascii="Times New Roman" w:hAnsi="Times New Roman" w:cs="Times New Roman"/>
          <w:sz w:val="24"/>
          <w:szCs w:val="24"/>
          <w:shd w:val="clear" w:color="auto" w:fill="F7F7F8"/>
          <w:lang w:val="en-GB"/>
        </w:rPr>
        <w:t>Metelo AM, Noonan H, Iliopoulos O. HIF2a inhibitors for the treatment of VHL disease. Oncotarget. 2015 Sep 15;6(27):23036-7. doi: 10.18632/oncotarget.4564. PMID: 26325097; PMCID: PMC4695098.</w:t>
      </w:r>
    </w:p>
    <w:p w14:paraId="79084960" w14:textId="509732DB" w:rsidR="00940045" w:rsidRPr="009D212A" w:rsidRDefault="00940045" w:rsidP="00CB2913">
      <w:pPr>
        <w:spacing w:line="360" w:lineRule="auto"/>
        <w:rPr>
          <w:rFonts w:ascii="Times New Roman" w:eastAsia="Calibri" w:hAnsi="Times New Roman" w:cs="Times New Roman"/>
          <w:kern w:val="2"/>
          <w:sz w:val="24"/>
          <w:szCs w:val="24"/>
          <w:lang w:val="en-GB"/>
          <w14:ligatures w14:val="standardContextual"/>
        </w:rPr>
      </w:pPr>
      <w:r w:rsidRPr="009D212A">
        <w:rPr>
          <w:rFonts w:ascii="Times New Roman" w:hAnsi="Times New Roman" w:cs="Times New Roman"/>
          <w:sz w:val="24"/>
          <w:szCs w:val="24"/>
          <w:shd w:val="clear" w:color="auto" w:fill="F7F7F8"/>
          <w:lang w:val="en-GB"/>
        </w:rPr>
        <w:t xml:space="preserve">[40] </w:t>
      </w:r>
      <w:r w:rsidRPr="009D212A">
        <w:rPr>
          <w:rFonts w:ascii="Times New Roman" w:eastAsia="Calibri" w:hAnsi="Times New Roman" w:cs="Times New Roman"/>
          <w:kern w:val="2"/>
          <w:sz w:val="24"/>
          <w:szCs w:val="24"/>
          <w:lang w:val="en-GB"/>
          <w14:ligatures w14:val="standardContextual"/>
        </w:rPr>
        <w:t>Watts D., Gaete D., Rodriguez D., Hoogewijs D., Rauner M., Sormendi S., Wielockx B. Hypoxia pathway proteins are master regulators of erythropoiesis. Int. J. Mol. Sci. 2020;21:8131. doi: 10.3390/ijms21218131. [PMC free article] [PubMed] [CrossRef] [Google Scholar] [Ref list]</w:t>
      </w:r>
    </w:p>
    <w:p w14:paraId="38287D35" w14:textId="556C62AD" w:rsidR="00940045" w:rsidRPr="009D212A" w:rsidRDefault="00940045" w:rsidP="00CB2913">
      <w:pPr>
        <w:spacing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[41] </w:t>
      </w:r>
      <w:r w:rsidRPr="009D212A">
        <w:rPr>
          <w:rFonts w:ascii="Times New Roman" w:eastAsia="Calibri" w:hAnsi="Times New Roman" w:cs="Times New Roman"/>
          <w:kern w:val="2"/>
          <w:sz w:val="24"/>
          <w:szCs w:val="24"/>
          <w:lang w:val="en-GB"/>
          <w14:ligatures w14:val="standardContextual"/>
        </w:rPr>
        <w:t>Suárez C, Vieito M, Valdivia A, González M, Carles J. Selective HIF2A Inhibitors in the Management of Clear Cell Renal Cancer and Von Hippel-Lindau-Disease-Associated Tumors. Med Sci (Basel). 2023 Jun 30;11(3):46. doi: 10.3390/medsci11030046. PMID: 37489462; PMCID: PMC10366718.</w:t>
      </w:r>
    </w:p>
    <w:p w14:paraId="31ECC923" w14:textId="3548782E" w:rsidR="00940045" w:rsidRPr="009D212A" w:rsidRDefault="00940045" w:rsidP="00CB2913">
      <w:pPr>
        <w:spacing w:line="360" w:lineRule="auto"/>
        <w:rPr>
          <w:rFonts w:ascii="Times New Roman" w:eastAsia="Calibri" w:hAnsi="Times New Roman" w:cs="Times New Roman"/>
          <w:kern w:val="2"/>
          <w:sz w:val="24"/>
          <w:szCs w:val="24"/>
          <w:lang w:val="en-GB"/>
          <w14:ligatures w14:val="standardContextual"/>
        </w:rPr>
      </w:pPr>
      <w:r w:rsidRPr="009D212A">
        <w:rPr>
          <w:rFonts w:ascii="Times New Roman" w:eastAsia="Calibri" w:hAnsi="Times New Roman" w:cs="Times New Roman"/>
          <w:kern w:val="2"/>
          <w:sz w:val="24"/>
          <w:szCs w:val="24"/>
          <w:lang w:val="en-GB"/>
          <w14:ligatures w14:val="standardContextual"/>
        </w:rPr>
        <w:t xml:space="preserve">[42] </w:t>
      </w:r>
      <w:r w:rsidRPr="009D212A">
        <w:rPr>
          <w:rFonts w:ascii="Times New Roman" w:eastAsia="Calibri" w:hAnsi="Times New Roman" w:cs="Times New Roman"/>
          <w:kern w:val="2"/>
          <w:sz w:val="24"/>
          <w:szCs w:val="24"/>
          <w:lang w:val="en-GB"/>
          <w14:ligatures w14:val="standardContextual"/>
        </w:rPr>
        <w:t>Jonasch E., Iliopoulos O., Rathmell W.K., Narayan V., Maughan B.L., Oudard S., Else T., Maranchie J.K., Welsh S.J., Bundsbæk Bøndergaard Iversen A., et al. LITESPARK-004 (MK-6482-004) phase 2 study of belzutifan, an oral hypoxia-inducible factor 2α inhibitor (HIF-2α), for von Hippel-Lindau (VHL) disease: Update with more than two years of follow-up data. J. Clin. Oncol. 2022;40:4546. doi: 10.1200/JCO.2022.40.16_suppl.4546. [CrossRef] [Google Scholar] [Ref list]</w:t>
      </w:r>
    </w:p>
    <w:p w14:paraId="7742A50D" w14:textId="55DD9298" w:rsidR="00940045" w:rsidRPr="009D212A" w:rsidRDefault="00940045" w:rsidP="00CB2913">
      <w:pPr>
        <w:spacing w:line="360" w:lineRule="auto"/>
        <w:rPr>
          <w:rFonts w:ascii="Times New Roman" w:hAnsi="Times New Roman" w:cs="Times New Roman"/>
          <w:sz w:val="24"/>
          <w:szCs w:val="24"/>
        </w:rPr>
      </w:pPr>
      <w:r w:rsidRPr="009D212A">
        <w:rPr>
          <w:rFonts w:ascii="Times New Roman" w:eastAsia="Calibri" w:hAnsi="Times New Roman" w:cs="Times New Roman"/>
          <w:kern w:val="2"/>
          <w:sz w:val="24"/>
          <w:szCs w:val="24"/>
          <w:lang w:val="en-GB"/>
          <w14:ligatures w14:val="standardContextual"/>
        </w:rPr>
        <w:lastRenderedPageBreak/>
        <w:t xml:space="preserve">[43] </w:t>
      </w:r>
      <w:r w:rsidRPr="009D212A">
        <w:rPr>
          <w:rFonts w:ascii="Times New Roman" w:eastAsia="Calibri" w:hAnsi="Times New Roman" w:cs="Times New Roman"/>
          <w:kern w:val="2"/>
          <w:sz w:val="24"/>
          <w:szCs w:val="24"/>
          <w:lang w:val="en-GB"/>
          <w14:ligatures w14:val="standardContextual"/>
        </w:rPr>
        <w:t>McDermott D.F., Choueiri T.K., Bauer T.M., Arrowsmith E., Roy A., Perini R., Vickery D., Tykodi S.S. 656MO Phase II study of belzutifan (MK-6482), an oral hypoxia-inducible factor 2α (HIF-2α) inhibitor, plus cabozantinib for treatment of advanced clear cell renal cell carcinoma (ccRCC) Ann. Oncol. 2021;32:S681. doi: 10.1016/j.annonc.2021.08.052. [CrossRef] [Google Scholar] [Ref list]</w:t>
      </w:r>
    </w:p>
    <w:p w14:paraId="75101624" w14:textId="75DF100A" w:rsidR="0028513C" w:rsidRPr="009D212A" w:rsidRDefault="00940045"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[44</w:t>
      </w:r>
      <w:r w:rsidR="0028513C" w:rsidRPr="009D212A">
        <w:rPr>
          <w:rFonts w:ascii="Times New Roman" w:hAnsi="Times New Roman" w:cs="Times New Roman"/>
          <w:sz w:val="24"/>
          <w:szCs w:val="24"/>
        </w:rPr>
        <w:t xml:space="preserve">]. Weight CJ, Mulders PF, Pantuck AJ, Thompson RH. The role of adrenalectomy in renal cancer. Eur Urol Focus. 2016; 1(3):251-7. </w:t>
      </w:r>
      <w:hyperlink r:id="rId10" w:history="1">
        <w:r w:rsidR="0028513C" w:rsidRPr="009D212A">
          <w:rPr>
            <w:rStyle w:val="Hipercze"/>
            <w:rFonts w:ascii="Times New Roman" w:hAnsi="Times New Roman" w:cs="Times New Roman"/>
            <w:color w:val="auto"/>
            <w:sz w:val="24"/>
            <w:szCs w:val="24"/>
          </w:rPr>
          <w:t>https://doi.org/10.1016/j.euf.2015.09.005</w:t>
        </w:r>
      </w:hyperlink>
    </w:p>
    <w:p w14:paraId="13875368" w14:textId="1BF49B47" w:rsidR="0028513C" w:rsidRPr="009D212A" w:rsidRDefault="00940045"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[45</w:t>
      </w:r>
      <w:r w:rsidR="0028513C" w:rsidRPr="009D212A">
        <w:rPr>
          <w:rFonts w:ascii="Times New Roman" w:hAnsi="Times New Roman" w:cs="Times New Roman"/>
          <w:sz w:val="24"/>
          <w:szCs w:val="24"/>
        </w:rPr>
        <w:t xml:space="preserve">]. Umbreit EC, McIntosh AG, Suk-Ouichai C, Karam JA, Wood CG. The current role of cytoreductive nephrectomy for metastatic renal cell carcinoma. Indian J Urol. 2021; 37(1):13. </w:t>
      </w:r>
      <w:hyperlink r:id="rId11" w:history="1">
        <w:r w:rsidR="000B4784" w:rsidRPr="009D212A">
          <w:rPr>
            <w:rStyle w:val="Hipercze"/>
            <w:rFonts w:ascii="Times New Roman" w:hAnsi="Times New Roman" w:cs="Times New Roman"/>
            <w:color w:val="auto"/>
            <w:sz w:val="24"/>
            <w:szCs w:val="24"/>
          </w:rPr>
          <w:t>https://pubmed.ncbi.nlm.nih.gov/33850351/</w:t>
        </w:r>
      </w:hyperlink>
    </w:p>
    <w:p w14:paraId="2075E8E2" w14:textId="053848D5" w:rsidR="0028513C" w:rsidRPr="009D212A" w:rsidRDefault="00940045"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[46</w:t>
      </w:r>
      <w:r w:rsidR="0028513C" w:rsidRPr="009D212A">
        <w:rPr>
          <w:rFonts w:ascii="Times New Roman" w:hAnsi="Times New Roman" w:cs="Times New Roman"/>
          <w:sz w:val="24"/>
          <w:szCs w:val="24"/>
        </w:rPr>
        <w:t>]. Hsieh JJ, Purdue MP, Signoretti S, et al. Renal cell carcinoma. Nat Rev Dis Primers. 2017; 3(1):1-19. https://doi.org/10.1038/nrdp.2017.9</w:t>
      </w:r>
    </w:p>
    <w:p w14:paraId="65189FE6" w14:textId="0A932455" w:rsidR="000E2CA1" w:rsidRPr="009D212A" w:rsidRDefault="00940045" w:rsidP="00CB2913">
      <w:pPr>
        <w:spacing w:line="360" w:lineRule="auto"/>
        <w:rPr>
          <w:rFonts w:ascii="Times New Roman" w:hAnsi="Times New Roman" w:cs="Times New Roman"/>
          <w:sz w:val="24"/>
          <w:szCs w:val="24"/>
        </w:rPr>
      </w:pPr>
      <w:r w:rsidRPr="009D212A">
        <w:rPr>
          <w:rFonts w:ascii="Times New Roman" w:hAnsi="Times New Roman" w:cs="Times New Roman"/>
          <w:sz w:val="24"/>
          <w:szCs w:val="24"/>
        </w:rPr>
        <w:t xml:space="preserve"> [47</w:t>
      </w:r>
      <w:r w:rsidR="000E2CA1" w:rsidRPr="009D212A">
        <w:rPr>
          <w:rFonts w:ascii="Times New Roman" w:hAnsi="Times New Roman" w:cs="Times New Roman"/>
          <w:sz w:val="24"/>
          <w:szCs w:val="24"/>
        </w:rPr>
        <w:t>]. Spyropoulou D, Tsiganos P, Dimitrakopoulos F-I, et al. Radiotherapy and Renal Cell Carcinoma: A Continuing Saga. in vivo. 2021; 35(3):1365-77. https://doi.org/10.21873/invivo.12389</w:t>
      </w:r>
    </w:p>
    <w:p w14:paraId="02EB378F" w14:textId="03A673F1" w:rsidR="00EA2233"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[48</w:t>
      </w:r>
      <w:r w:rsidR="4B0C9EC5" w:rsidRPr="009D212A">
        <w:rPr>
          <w:rFonts w:ascii="Times New Roman" w:eastAsia="Times New Roman" w:hAnsi="Times New Roman" w:cs="Times New Roman"/>
          <w:sz w:val="24"/>
          <w:szCs w:val="24"/>
        </w:rPr>
        <w:t>] Surgical management of spinal cord hemangioblastomas in patients with von Hippel—Lindau disease Russell R. Lonser M.D., Robert J. Weil M.D., John E. Wanebo M.D., Hetty L. Devroom R.N., and Edward H. Oldfield M.D.</w:t>
      </w:r>
    </w:p>
    <w:p w14:paraId="4164BA02" w14:textId="5DDFAD73" w:rsidR="00F078C9"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[49</w:t>
      </w:r>
      <w:r w:rsidR="1786DB99" w:rsidRPr="009D212A">
        <w:rPr>
          <w:rFonts w:ascii="Times New Roman" w:eastAsia="Times New Roman" w:hAnsi="Times New Roman" w:cs="Times New Roman"/>
          <w:sz w:val="24"/>
          <w:szCs w:val="24"/>
        </w:rPr>
        <w:t>]Chang SD, Meisel JA, Hancock SL et al. (1998). Treatment of hemangioblastomas in von Hippel–Lindau disease with linear accelerator-based radiosurgery. Neurosurgery 43: 28–34, discussion 34–25.</w:t>
      </w:r>
    </w:p>
    <w:p w14:paraId="77B77AF6" w14:textId="6FCDFF9E" w:rsidR="6CDC8166"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[50</w:t>
      </w:r>
      <w:r w:rsidR="6CDC8166" w:rsidRPr="009D212A">
        <w:rPr>
          <w:rFonts w:ascii="Times New Roman" w:eastAsia="Times New Roman" w:hAnsi="Times New Roman" w:cs="Times New Roman"/>
          <w:sz w:val="24"/>
          <w:szCs w:val="24"/>
        </w:rPr>
        <w:t>] Singh AD, Nouri M, Shields CL et al. (2002). Treatment of retinal Capillary hemangioma. Ophthalmology 109: 1799-1806.</w:t>
      </w:r>
    </w:p>
    <w:p w14:paraId="6360BAE7" w14:textId="5AE917E5" w:rsidR="75C930D4"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[51</w:t>
      </w:r>
      <w:r w:rsidR="75C930D4" w:rsidRPr="009D212A">
        <w:rPr>
          <w:rFonts w:ascii="Times New Roman" w:eastAsia="Times New Roman" w:hAnsi="Times New Roman" w:cs="Times New Roman"/>
          <w:sz w:val="24"/>
          <w:szCs w:val="24"/>
        </w:rPr>
        <w:t>] Wong WT, Liang KJ, Hammel K et al. (2008b). Intravitreal ranibizumab therapy for retinal capillary hemangioblastoma related to von Hippel-Lindau disease. Ophthalmology 115:1957-1964.</w:t>
      </w:r>
    </w:p>
    <w:p w14:paraId="18F71301" w14:textId="4BFF20F3" w:rsidR="00C56361"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[52</w:t>
      </w:r>
      <w:r w:rsidR="0057548D" w:rsidRPr="009D212A">
        <w:rPr>
          <w:rFonts w:ascii="Times New Roman" w:eastAsia="Times New Roman" w:hAnsi="Times New Roman" w:cs="Times New Roman"/>
          <w:sz w:val="24"/>
          <w:szCs w:val="24"/>
        </w:rPr>
        <w:t>] Kim HJ, Hagan M, Butman JA et al, (2013). Surgical resection of endolymphatic sac tumors in von Hippel-Lindau disease: findings, results, and indications. Laryngoscope 123: 477-483.</w:t>
      </w:r>
    </w:p>
    <w:p w14:paraId="429AFA5F" w14:textId="1228B0F1" w:rsidR="00B67512"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lastRenderedPageBreak/>
        <w:t>[53</w:t>
      </w:r>
      <w:r w:rsidR="00B311DF" w:rsidRPr="009D212A">
        <w:rPr>
          <w:rFonts w:ascii="Times New Roman" w:eastAsia="Times New Roman" w:hAnsi="Times New Roman" w:cs="Times New Roman"/>
          <w:sz w:val="24"/>
          <w:szCs w:val="24"/>
        </w:rPr>
        <w:t xml:space="preserve">]. Adapted from the VHL Family Alliance - VHL handbook(9 Alliance VHL. The VHL handbook - What you need to know about VHL. 6th. Boston, MA: VHL Alliance; 2020. International edition. </w:t>
      </w:r>
    </w:p>
    <w:p w14:paraId="0DFC769C" w14:textId="04E72B54" w:rsidR="00B311DF" w:rsidRPr="009D212A" w:rsidRDefault="00940045"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[54</w:t>
      </w:r>
      <w:r w:rsidR="00B67512" w:rsidRPr="009D212A">
        <w:rPr>
          <w:rFonts w:ascii="Times New Roman" w:eastAsia="Times New Roman" w:hAnsi="Times New Roman" w:cs="Times New Roman"/>
          <w:sz w:val="24"/>
          <w:szCs w:val="24"/>
        </w:rPr>
        <w:t xml:space="preserve">]. </w:t>
      </w:r>
      <w:r w:rsidR="00B311DF" w:rsidRPr="009D212A">
        <w:rPr>
          <w:rFonts w:ascii="Times New Roman" w:eastAsia="Times New Roman" w:hAnsi="Times New Roman" w:cs="Times New Roman"/>
          <w:sz w:val="24"/>
          <w:szCs w:val="24"/>
        </w:rPr>
        <w:t>Mourão JLV, et al. Imaging manifestations of von Hippel-Lindau disease: an illustrated guide focusing on the central nervous system. Radiol Bras. 2022 May-Jun;55(3):188-192.</w:t>
      </w:r>
    </w:p>
    <w:p w14:paraId="40559AB2" w14:textId="3EE0C264" w:rsidR="00F078C9" w:rsidRPr="009D212A" w:rsidRDefault="00164229" w:rsidP="00CB2913">
      <w:pPr>
        <w:spacing w:line="360" w:lineRule="auto"/>
        <w:rPr>
          <w:rFonts w:ascii="Times New Roman" w:eastAsia="Times New Roman" w:hAnsi="Times New Roman" w:cs="Times New Roman"/>
          <w:sz w:val="24"/>
          <w:szCs w:val="24"/>
        </w:rPr>
      </w:pPr>
      <w:r w:rsidRPr="009D212A">
        <w:rPr>
          <w:rFonts w:ascii="Times New Roman" w:hAnsi="Times New Roman" w:cs="Times New Roman"/>
          <w:b/>
          <w:bCs/>
          <w:sz w:val="24"/>
          <w:szCs w:val="24"/>
          <w:shd w:val="clear" w:color="auto" w:fill="F7F7F8"/>
        </w:rPr>
        <w:t>Table 1.</w:t>
      </w:r>
      <w:r w:rsidR="00AC3AD3" w:rsidRPr="009D212A">
        <w:rPr>
          <w:rFonts w:ascii="Times New Roman" w:hAnsi="Times New Roman" w:cs="Times New Roman"/>
          <w:b/>
          <w:bCs/>
          <w:sz w:val="24"/>
          <w:szCs w:val="24"/>
          <w:shd w:val="clear" w:color="auto" w:fill="F7F7F8"/>
        </w:rPr>
        <w:t xml:space="preserve"> Danish and international criteria for diagnosing VHL </w:t>
      </w:r>
      <w:r w:rsidR="00940045" w:rsidRPr="009D212A">
        <w:rPr>
          <w:rFonts w:ascii="Times New Roman" w:hAnsi="Times New Roman" w:cs="Times New Roman"/>
          <w:bCs/>
          <w:sz w:val="24"/>
          <w:szCs w:val="24"/>
          <w:shd w:val="clear" w:color="auto" w:fill="F7F7F8"/>
        </w:rPr>
        <w:t>[30-34</w:t>
      </w:r>
      <w:r w:rsidR="00AC3AD3" w:rsidRPr="009D212A">
        <w:rPr>
          <w:rFonts w:ascii="Times New Roman" w:hAnsi="Times New Roman" w:cs="Times New Roman"/>
          <w:bCs/>
          <w:sz w:val="24"/>
          <w:szCs w:val="24"/>
          <w:shd w:val="clear" w:color="auto" w:fill="F7F7F8"/>
        </w:rPr>
        <w:t>].</w:t>
      </w:r>
    </w:p>
    <w:tbl>
      <w:tblPr>
        <w:tblStyle w:val="Tabela-Siatka"/>
        <w:tblW w:w="9060" w:type="dxa"/>
        <w:tblLayout w:type="fixed"/>
        <w:tblLook w:val="06A0" w:firstRow="1" w:lastRow="0" w:firstColumn="1" w:lastColumn="0" w:noHBand="1" w:noVBand="1"/>
      </w:tblPr>
      <w:tblGrid>
        <w:gridCol w:w="3020"/>
        <w:gridCol w:w="3020"/>
        <w:gridCol w:w="3020"/>
      </w:tblGrid>
      <w:tr w:rsidR="00F078C9" w:rsidRPr="009D212A" w14:paraId="681B8927" w14:textId="77777777" w:rsidTr="00A371E4">
        <w:trPr>
          <w:trHeight w:val="300"/>
        </w:trPr>
        <w:tc>
          <w:tcPr>
            <w:tcW w:w="3020" w:type="dxa"/>
          </w:tcPr>
          <w:p w14:paraId="2864A90E" w14:textId="77777777" w:rsidR="00F078C9" w:rsidRPr="009D212A" w:rsidRDefault="00F078C9" w:rsidP="00CB2913">
            <w:pPr>
              <w:spacing w:line="360" w:lineRule="auto"/>
              <w:rPr>
                <w:rFonts w:ascii="Times New Roman" w:hAnsi="Times New Roman" w:cs="Times New Roman"/>
                <w:sz w:val="20"/>
                <w:szCs w:val="20"/>
              </w:rPr>
            </w:pPr>
          </w:p>
        </w:tc>
        <w:tc>
          <w:tcPr>
            <w:tcW w:w="3020" w:type="dxa"/>
          </w:tcPr>
          <w:p w14:paraId="38B6524E" w14:textId="3C74467F" w:rsidR="00F078C9" w:rsidRPr="009D212A" w:rsidRDefault="00AC3AD3" w:rsidP="00CB2913">
            <w:pPr>
              <w:spacing w:line="360" w:lineRule="auto"/>
              <w:rPr>
                <w:rFonts w:ascii="Times New Roman" w:hAnsi="Times New Roman" w:cs="Times New Roman"/>
                <w:b/>
                <w:sz w:val="20"/>
                <w:szCs w:val="20"/>
              </w:rPr>
            </w:pPr>
            <w:r w:rsidRPr="009D212A">
              <w:rPr>
                <w:rFonts w:ascii="Times New Roman" w:hAnsi="Times New Roman" w:cs="Times New Roman"/>
                <w:b/>
                <w:sz w:val="20"/>
                <w:szCs w:val="20"/>
              </w:rPr>
              <w:t>International criteria</w:t>
            </w:r>
          </w:p>
        </w:tc>
        <w:tc>
          <w:tcPr>
            <w:tcW w:w="3020" w:type="dxa"/>
          </w:tcPr>
          <w:p w14:paraId="45805A78" w14:textId="14EFDADC" w:rsidR="00F078C9" w:rsidRPr="009D212A" w:rsidRDefault="00AC3AD3" w:rsidP="00CB2913">
            <w:pPr>
              <w:spacing w:line="360" w:lineRule="auto"/>
              <w:rPr>
                <w:rFonts w:ascii="Times New Roman" w:hAnsi="Times New Roman" w:cs="Times New Roman"/>
                <w:b/>
                <w:sz w:val="20"/>
                <w:szCs w:val="20"/>
              </w:rPr>
            </w:pPr>
            <w:r w:rsidRPr="009D212A">
              <w:rPr>
                <w:rFonts w:ascii="Times New Roman" w:hAnsi="Times New Roman" w:cs="Times New Roman"/>
                <w:b/>
                <w:sz w:val="20"/>
                <w:szCs w:val="20"/>
              </w:rPr>
              <w:t>Danish criteria</w:t>
            </w:r>
          </w:p>
        </w:tc>
      </w:tr>
      <w:tr w:rsidR="00F078C9" w:rsidRPr="009D212A" w14:paraId="581EE2CE" w14:textId="77777777" w:rsidTr="00A371E4">
        <w:trPr>
          <w:trHeight w:val="300"/>
        </w:trPr>
        <w:tc>
          <w:tcPr>
            <w:tcW w:w="3020" w:type="dxa"/>
          </w:tcPr>
          <w:p w14:paraId="03699C07" w14:textId="26A28E41" w:rsidR="00F078C9" w:rsidRPr="009D212A" w:rsidRDefault="00AC3AD3" w:rsidP="00CB2913">
            <w:pPr>
              <w:spacing w:line="360" w:lineRule="auto"/>
              <w:rPr>
                <w:rFonts w:ascii="Times New Roman" w:hAnsi="Times New Roman" w:cs="Times New Roman"/>
                <w:sz w:val="20"/>
                <w:szCs w:val="20"/>
              </w:rPr>
            </w:pPr>
            <w:r w:rsidRPr="009D212A">
              <w:rPr>
                <w:rFonts w:ascii="Times New Roman" w:hAnsi="Times New Roman" w:cs="Times New Roman"/>
                <w:sz w:val="20"/>
                <w:szCs w:val="20"/>
              </w:rPr>
              <w:t>Confirmation of mutation in the family/VHL mutation</w:t>
            </w:r>
          </w:p>
        </w:tc>
        <w:tc>
          <w:tcPr>
            <w:tcW w:w="3020" w:type="dxa"/>
          </w:tcPr>
          <w:p w14:paraId="05935984" w14:textId="4C7D77AE" w:rsidR="00F078C9" w:rsidRPr="009D212A" w:rsidRDefault="00F078C9" w:rsidP="00CB2913">
            <w:pPr>
              <w:spacing w:line="360" w:lineRule="auto"/>
              <w:rPr>
                <w:rFonts w:ascii="Times New Roman" w:hAnsi="Times New Roman" w:cs="Times New Roman"/>
                <w:sz w:val="20"/>
                <w:szCs w:val="20"/>
              </w:rPr>
            </w:pPr>
            <w:r w:rsidRPr="009D212A">
              <w:rPr>
                <w:rFonts w:ascii="Times New Roman" w:hAnsi="Times New Roman" w:cs="Times New Roman"/>
                <w:sz w:val="20"/>
                <w:szCs w:val="20"/>
              </w:rPr>
              <w:t xml:space="preserve"> </w:t>
            </w:r>
            <w:r w:rsidR="00AC3AD3" w:rsidRPr="009D212A">
              <w:rPr>
                <w:rFonts w:ascii="Times New Roman" w:hAnsi="Times New Roman" w:cs="Times New Roman"/>
                <w:sz w:val="20"/>
                <w:szCs w:val="20"/>
              </w:rPr>
              <w:t>Symptom associated with VHL syndrome</w:t>
            </w:r>
          </w:p>
        </w:tc>
        <w:tc>
          <w:tcPr>
            <w:tcW w:w="3020" w:type="dxa"/>
          </w:tcPr>
          <w:p w14:paraId="00DDCD70" w14:textId="0447D267" w:rsidR="00F078C9" w:rsidRPr="009D212A" w:rsidRDefault="00AC3AD3" w:rsidP="00CB2913">
            <w:pPr>
              <w:spacing w:line="360" w:lineRule="auto"/>
              <w:rPr>
                <w:rFonts w:ascii="Times New Roman" w:hAnsi="Times New Roman" w:cs="Times New Roman"/>
                <w:sz w:val="20"/>
                <w:szCs w:val="20"/>
              </w:rPr>
            </w:pPr>
            <w:r w:rsidRPr="009D212A">
              <w:rPr>
                <w:rFonts w:ascii="Times New Roman" w:hAnsi="Times New Roman" w:cs="Times New Roman"/>
                <w:sz w:val="20"/>
                <w:szCs w:val="20"/>
              </w:rPr>
              <w:t>Symptom associated with VHL syndrome</w:t>
            </w:r>
          </w:p>
        </w:tc>
      </w:tr>
      <w:tr w:rsidR="00F078C9" w:rsidRPr="009D212A" w14:paraId="5B8CDD3D" w14:textId="77777777" w:rsidTr="000A7C9E">
        <w:trPr>
          <w:trHeight w:val="58"/>
        </w:trPr>
        <w:tc>
          <w:tcPr>
            <w:tcW w:w="3020" w:type="dxa"/>
          </w:tcPr>
          <w:p w14:paraId="4BB1410C" w14:textId="77777777" w:rsidR="00164229" w:rsidRPr="009D212A" w:rsidRDefault="00164229" w:rsidP="00CB2913">
            <w:pPr>
              <w:spacing w:line="360" w:lineRule="auto"/>
              <w:rPr>
                <w:rFonts w:ascii="Times New Roman" w:hAnsi="Times New Roman" w:cs="Times New Roman"/>
                <w:sz w:val="20"/>
                <w:szCs w:val="20"/>
              </w:rPr>
            </w:pPr>
            <w:r w:rsidRPr="009D212A">
              <w:rPr>
                <w:rFonts w:ascii="Times New Roman" w:hAnsi="Times New Roman" w:cs="Times New Roman"/>
                <w:sz w:val="20"/>
                <w:szCs w:val="20"/>
              </w:rPr>
              <w:t>Associated with VHL</w:t>
            </w:r>
          </w:p>
          <w:p w14:paraId="6A194811" w14:textId="77777777" w:rsidR="00164229" w:rsidRPr="009D212A" w:rsidRDefault="00164229" w:rsidP="00CB2913">
            <w:pPr>
              <w:spacing w:line="360" w:lineRule="auto"/>
              <w:rPr>
                <w:rFonts w:ascii="Times New Roman" w:hAnsi="Times New Roman" w:cs="Times New Roman"/>
                <w:sz w:val="20"/>
                <w:szCs w:val="20"/>
              </w:rPr>
            </w:pPr>
            <w:r w:rsidRPr="009D212A">
              <w:rPr>
                <w:rFonts w:ascii="Times New Roman" w:hAnsi="Times New Roman" w:cs="Times New Roman"/>
                <w:sz w:val="20"/>
                <w:szCs w:val="20"/>
              </w:rPr>
              <w:t>Symptoms included</w:t>
            </w:r>
          </w:p>
          <w:p w14:paraId="219DDFF5" w14:textId="22AC1702" w:rsidR="00F078C9" w:rsidRPr="009D212A" w:rsidRDefault="00164229" w:rsidP="00CB2913">
            <w:pPr>
              <w:spacing w:line="360" w:lineRule="auto"/>
              <w:rPr>
                <w:rFonts w:ascii="Times New Roman" w:hAnsi="Times New Roman" w:cs="Times New Roman"/>
                <w:sz w:val="20"/>
                <w:szCs w:val="20"/>
              </w:rPr>
            </w:pPr>
            <w:r w:rsidRPr="009D212A">
              <w:rPr>
                <w:rFonts w:ascii="Times New Roman" w:hAnsi="Times New Roman" w:cs="Times New Roman"/>
                <w:sz w:val="20"/>
                <w:szCs w:val="20"/>
              </w:rPr>
              <w:t>in the criteria</w:t>
            </w:r>
          </w:p>
        </w:tc>
        <w:tc>
          <w:tcPr>
            <w:tcW w:w="3020" w:type="dxa"/>
          </w:tcPr>
          <w:p w14:paraId="516E57F1" w14:textId="635BFD94" w:rsidR="00394A6B"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 xml:space="preserve">Retinal hemangioblastoma </w:t>
            </w:r>
          </w:p>
          <w:p w14:paraId="09DF2121" w14:textId="46915B74" w:rsidR="00164229"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 xml:space="preserve">CNS hemangioblastoma </w:t>
            </w:r>
          </w:p>
          <w:p w14:paraId="4355DC61" w14:textId="7D18F894" w:rsidR="00164229"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RCC</w:t>
            </w:r>
          </w:p>
          <w:p w14:paraId="70294A6E" w14:textId="77777777" w:rsidR="00394A6B"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 xml:space="preserve">Primitive Neuroectodermal Tumor (PNET) </w:t>
            </w:r>
          </w:p>
          <w:p w14:paraId="6870FC1F" w14:textId="2F5F255E" w:rsidR="00164229"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 xml:space="preserve">Endolymphatic sac tumor (ELST) </w:t>
            </w:r>
          </w:p>
          <w:p w14:paraId="7877D112" w14:textId="4E1AF5F7" w:rsidR="00164229"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 xml:space="preserve">Pancreatic cysts </w:t>
            </w:r>
          </w:p>
          <w:p w14:paraId="1D295631" w14:textId="77777777" w:rsidR="00394A6B"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 xml:space="preserve">Epididymal cystadenomas </w:t>
            </w:r>
          </w:p>
          <w:p w14:paraId="59418EF9" w14:textId="52302C89" w:rsidR="00F078C9"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Pheochromocytoma</w:t>
            </w:r>
          </w:p>
          <w:p w14:paraId="5A211DB0" w14:textId="77777777" w:rsidR="00164229" w:rsidRPr="009D212A" w:rsidRDefault="00164229" w:rsidP="00CB2913">
            <w:pPr>
              <w:spacing w:line="360" w:lineRule="auto"/>
              <w:rPr>
                <w:rFonts w:ascii="Times New Roman" w:hAnsi="Times New Roman" w:cs="Times New Roman"/>
                <w:sz w:val="20"/>
                <w:szCs w:val="20"/>
              </w:rPr>
            </w:pPr>
          </w:p>
          <w:p w14:paraId="1978B3BD" w14:textId="77777777" w:rsidR="00164229" w:rsidRPr="009D212A" w:rsidRDefault="00164229" w:rsidP="00CB2913">
            <w:pPr>
              <w:spacing w:line="360" w:lineRule="auto"/>
              <w:rPr>
                <w:rFonts w:ascii="Times New Roman" w:hAnsi="Times New Roman" w:cs="Times New Roman"/>
                <w:sz w:val="20"/>
                <w:szCs w:val="20"/>
              </w:rPr>
            </w:pPr>
          </w:p>
          <w:p w14:paraId="38F3E773" w14:textId="77777777" w:rsidR="00164229" w:rsidRPr="009D212A" w:rsidRDefault="00164229" w:rsidP="00CB2913">
            <w:pPr>
              <w:spacing w:line="360" w:lineRule="auto"/>
              <w:rPr>
                <w:rFonts w:ascii="Times New Roman" w:hAnsi="Times New Roman" w:cs="Times New Roman"/>
                <w:sz w:val="20"/>
                <w:szCs w:val="20"/>
              </w:rPr>
            </w:pPr>
          </w:p>
          <w:p w14:paraId="0AA68854" w14:textId="77777777" w:rsidR="00164229" w:rsidRPr="009D212A" w:rsidRDefault="00164229" w:rsidP="00CB2913">
            <w:pPr>
              <w:spacing w:line="360" w:lineRule="auto"/>
              <w:rPr>
                <w:rFonts w:ascii="Times New Roman" w:hAnsi="Times New Roman" w:cs="Times New Roman"/>
                <w:sz w:val="20"/>
                <w:szCs w:val="20"/>
              </w:rPr>
            </w:pPr>
          </w:p>
          <w:p w14:paraId="7CD9CBD5" w14:textId="77777777" w:rsidR="00164229" w:rsidRPr="009D212A" w:rsidRDefault="00164229" w:rsidP="00CB2913">
            <w:pPr>
              <w:spacing w:line="360" w:lineRule="auto"/>
              <w:rPr>
                <w:rFonts w:ascii="Times New Roman" w:hAnsi="Times New Roman" w:cs="Times New Roman"/>
                <w:sz w:val="20"/>
                <w:szCs w:val="20"/>
              </w:rPr>
            </w:pPr>
          </w:p>
          <w:p w14:paraId="6E15F25A" w14:textId="77777777" w:rsidR="00164229" w:rsidRPr="009D212A" w:rsidRDefault="00164229" w:rsidP="00CB2913">
            <w:pPr>
              <w:spacing w:line="360" w:lineRule="auto"/>
              <w:rPr>
                <w:rFonts w:ascii="Times New Roman" w:hAnsi="Times New Roman" w:cs="Times New Roman"/>
                <w:sz w:val="20"/>
                <w:szCs w:val="20"/>
              </w:rPr>
            </w:pPr>
          </w:p>
          <w:p w14:paraId="5A58E26D" w14:textId="4A6DB718" w:rsidR="00164229" w:rsidRPr="009D212A" w:rsidRDefault="00164229" w:rsidP="00CB2913">
            <w:pPr>
              <w:spacing w:line="360" w:lineRule="auto"/>
              <w:rPr>
                <w:rFonts w:ascii="Times New Roman" w:hAnsi="Times New Roman" w:cs="Times New Roman"/>
                <w:sz w:val="20"/>
                <w:szCs w:val="20"/>
              </w:rPr>
            </w:pPr>
          </w:p>
        </w:tc>
        <w:tc>
          <w:tcPr>
            <w:tcW w:w="3020" w:type="dxa"/>
          </w:tcPr>
          <w:p w14:paraId="39780E64" w14:textId="61F1257A" w:rsidR="00164229"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Retinal hemangioblastoma</w:t>
            </w:r>
          </w:p>
          <w:p w14:paraId="4DCCEC04" w14:textId="45D51FEB" w:rsidR="00164229"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Hemangioblastoma in the cerebellum, brainstem, or spinal cord</w:t>
            </w:r>
          </w:p>
          <w:p w14:paraId="49873F8D" w14:textId="12F91D73" w:rsidR="00164229"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Primitive Neuroectodermal Tumor (PNET) and/or multiple</w:t>
            </w:r>
          </w:p>
          <w:p w14:paraId="649DE5DA" w14:textId="22CBA4A7" w:rsidR="00164229"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Pancreatic cysts</w:t>
            </w:r>
          </w:p>
          <w:p w14:paraId="1887D00A" w14:textId="2EEFD608" w:rsidR="00164229"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Endolymphatic sac tumor (ELST)</w:t>
            </w:r>
          </w:p>
          <w:p w14:paraId="2D44BC11" w14:textId="71EB28AE" w:rsidR="00164229"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RCC</w:t>
            </w:r>
          </w:p>
          <w:p w14:paraId="68C894B8" w14:textId="6858333F" w:rsidR="00164229" w:rsidRPr="009D212A" w:rsidRDefault="00164229" w:rsidP="00CB2913">
            <w:pPr>
              <w:pStyle w:val="Akapitzlist"/>
              <w:numPr>
                <w:ilvl w:val="0"/>
                <w:numId w:val="3"/>
              </w:numPr>
              <w:spacing w:line="360" w:lineRule="auto"/>
              <w:rPr>
                <w:rFonts w:ascii="Times New Roman" w:hAnsi="Times New Roman" w:cs="Times New Roman"/>
                <w:sz w:val="20"/>
                <w:szCs w:val="20"/>
              </w:rPr>
            </w:pPr>
            <w:r w:rsidRPr="009D212A">
              <w:rPr>
                <w:rFonts w:ascii="Times New Roman" w:hAnsi="Times New Roman" w:cs="Times New Roman"/>
                <w:sz w:val="20"/>
                <w:szCs w:val="20"/>
              </w:rPr>
              <w:t>Pheochromocytoma, paraganglioma, and/or glioma</w:t>
            </w:r>
          </w:p>
          <w:p w14:paraId="36C26AED" w14:textId="5B752FAA" w:rsidR="00F078C9" w:rsidRPr="009D212A" w:rsidRDefault="00F078C9" w:rsidP="00CB2913">
            <w:pPr>
              <w:spacing w:line="360" w:lineRule="auto"/>
              <w:rPr>
                <w:rFonts w:ascii="Times New Roman" w:hAnsi="Times New Roman" w:cs="Times New Roman"/>
                <w:sz w:val="20"/>
                <w:szCs w:val="20"/>
              </w:rPr>
            </w:pPr>
          </w:p>
        </w:tc>
      </w:tr>
      <w:tr w:rsidR="00F078C9" w:rsidRPr="009D212A" w14:paraId="2F654ADD" w14:textId="77777777" w:rsidTr="00A371E4">
        <w:trPr>
          <w:trHeight w:val="300"/>
        </w:trPr>
        <w:tc>
          <w:tcPr>
            <w:tcW w:w="3020" w:type="dxa"/>
          </w:tcPr>
          <w:p w14:paraId="46105084" w14:textId="29DEDC44" w:rsidR="00F078C9" w:rsidRPr="009D212A" w:rsidRDefault="00164229" w:rsidP="00CB2913">
            <w:pPr>
              <w:spacing w:line="360" w:lineRule="auto"/>
              <w:rPr>
                <w:rFonts w:ascii="Times New Roman" w:hAnsi="Times New Roman" w:cs="Times New Roman"/>
                <w:sz w:val="20"/>
                <w:szCs w:val="20"/>
              </w:rPr>
            </w:pPr>
            <w:r w:rsidRPr="009D212A">
              <w:rPr>
                <w:rFonts w:ascii="Times New Roman" w:hAnsi="Times New Roman" w:cs="Times New Roman"/>
                <w:sz w:val="20"/>
                <w:szCs w:val="20"/>
              </w:rPr>
              <w:t>Exclusion of the disease within the family</w:t>
            </w:r>
          </w:p>
        </w:tc>
        <w:tc>
          <w:tcPr>
            <w:tcW w:w="3020" w:type="dxa"/>
          </w:tcPr>
          <w:p w14:paraId="13D2685B" w14:textId="46BC7B80" w:rsidR="00F078C9" w:rsidRPr="009D212A" w:rsidRDefault="00F078C9" w:rsidP="00CB2913">
            <w:pPr>
              <w:spacing w:line="360" w:lineRule="auto"/>
              <w:rPr>
                <w:rFonts w:ascii="Times New Roman" w:hAnsi="Times New Roman" w:cs="Times New Roman"/>
                <w:sz w:val="20"/>
                <w:szCs w:val="20"/>
              </w:rPr>
            </w:pPr>
            <w:r w:rsidRPr="009D212A">
              <w:rPr>
                <w:rFonts w:ascii="Times New Roman" w:hAnsi="Times New Roman" w:cs="Times New Roman"/>
                <w:sz w:val="20"/>
                <w:szCs w:val="20"/>
              </w:rPr>
              <w:t xml:space="preserve"> </w:t>
            </w:r>
            <w:r w:rsidR="00164229" w:rsidRPr="009D212A">
              <w:rPr>
                <w:rFonts w:ascii="Times New Roman" w:hAnsi="Times New Roman" w:cs="Times New Roman"/>
                <w:sz w:val="20"/>
                <w:szCs w:val="20"/>
              </w:rPr>
              <w:t>Hemangioblastoma (CNS or retina) or at least one hemangioblastoma (retina and/or CNS) and other organ damage</w:t>
            </w:r>
          </w:p>
        </w:tc>
        <w:tc>
          <w:tcPr>
            <w:tcW w:w="3020" w:type="dxa"/>
          </w:tcPr>
          <w:p w14:paraId="5B4CE11F" w14:textId="5D20BC8A" w:rsidR="00F078C9" w:rsidRPr="009D212A" w:rsidRDefault="00164229" w:rsidP="00CB2913">
            <w:pPr>
              <w:spacing w:line="360" w:lineRule="auto"/>
              <w:rPr>
                <w:rFonts w:ascii="Times New Roman" w:hAnsi="Times New Roman" w:cs="Times New Roman"/>
                <w:sz w:val="20"/>
                <w:szCs w:val="20"/>
              </w:rPr>
            </w:pPr>
            <w:r w:rsidRPr="009D212A">
              <w:rPr>
                <w:rFonts w:ascii="Times New Roman" w:hAnsi="Times New Roman" w:cs="Times New Roman"/>
                <w:sz w:val="20"/>
                <w:szCs w:val="20"/>
              </w:rPr>
              <w:t>At least 2 symptoms associated with VHL syndrome</w:t>
            </w:r>
          </w:p>
        </w:tc>
      </w:tr>
    </w:tbl>
    <w:p w14:paraId="3797F459" w14:textId="46DF53BC" w:rsidR="00716677" w:rsidRPr="009D212A" w:rsidRDefault="00716677" w:rsidP="00CB2913">
      <w:pPr>
        <w:spacing w:line="360" w:lineRule="auto"/>
        <w:rPr>
          <w:rFonts w:ascii="Times New Roman" w:eastAsia="Times New Roman" w:hAnsi="Times New Roman" w:cs="Times New Roman"/>
          <w:sz w:val="24"/>
          <w:szCs w:val="24"/>
        </w:rPr>
      </w:pPr>
    </w:p>
    <w:p w14:paraId="6A815CB4" w14:textId="79527657" w:rsidR="00716677" w:rsidRPr="009D212A" w:rsidRDefault="00716677" w:rsidP="00CB2913">
      <w:pPr>
        <w:spacing w:line="360" w:lineRule="auto"/>
        <w:rPr>
          <w:rFonts w:ascii="Times New Roman" w:eastAsia="Times New Roman" w:hAnsi="Times New Roman" w:cs="Times New Roman"/>
          <w:sz w:val="24"/>
          <w:szCs w:val="24"/>
        </w:rPr>
      </w:pPr>
      <w:r w:rsidRPr="009D212A">
        <w:rPr>
          <w:noProof/>
          <w:lang w:eastAsia="pl-PL"/>
        </w:rPr>
        <w:lastRenderedPageBreak/>
        <w:drawing>
          <wp:inline distT="0" distB="0" distL="0" distR="0" wp14:anchorId="72837C7F" wp14:editId="2D351B7D">
            <wp:extent cx="5760720" cy="445135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451350"/>
                    </a:xfrm>
                    <a:prstGeom prst="rect">
                      <a:avLst/>
                    </a:prstGeom>
                  </pic:spPr>
                </pic:pic>
              </a:graphicData>
            </a:graphic>
          </wp:inline>
        </w:drawing>
      </w:r>
    </w:p>
    <w:p w14:paraId="1E7068C4" w14:textId="540DBF2E" w:rsidR="00F7404D" w:rsidRPr="009D212A" w:rsidRDefault="00716677"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Fig. 1. Cystic hemangioblastoma. Enhanced coronal T1-weighted MR image depicts a cystic mass with a strongly enhancing mural nodule (arrow) in the cerebellum</w:t>
      </w:r>
    </w:p>
    <w:p w14:paraId="7C0216E5" w14:textId="71AED8A1" w:rsidR="00716677" w:rsidRPr="009D212A" w:rsidRDefault="00F7404D" w:rsidP="00CB2913">
      <w:pPr>
        <w:spacing w:line="360" w:lineRule="auto"/>
        <w:rPr>
          <w:rFonts w:ascii="Times New Roman" w:eastAsia="Times New Roman" w:hAnsi="Times New Roman" w:cs="Times New Roman"/>
          <w:sz w:val="24"/>
          <w:szCs w:val="24"/>
        </w:rPr>
      </w:pPr>
      <w:r w:rsidRPr="009D212A">
        <w:rPr>
          <w:noProof/>
          <w:lang w:eastAsia="pl-PL"/>
        </w:rPr>
        <w:drawing>
          <wp:inline distT="0" distB="0" distL="0" distR="0" wp14:anchorId="5BB987AE" wp14:editId="554FF541">
            <wp:extent cx="5760720" cy="32537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53740"/>
                    </a:xfrm>
                    <a:prstGeom prst="rect">
                      <a:avLst/>
                    </a:prstGeom>
                  </pic:spPr>
                </pic:pic>
              </a:graphicData>
            </a:graphic>
          </wp:inline>
        </w:drawing>
      </w:r>
    </w:p>
    <w:p w14:paraId="5FE9B8CD" w14:textId="71EAD992" w:rsidR="00716677" w:rsidRPr="009D212A" w:rsidRDefault="00716677" w:rsidP="00716677">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lastRenderedPageBreak/>
        <w:t>Fig. 2. Coronal contrast-enhanced CT scan shows right adrenal gland pheochromocytoma with homogeneous, vivid enhancement (arrow).</w:t>
      </w:r>
    </w:p>
    <w:p w14:paraId="69C6B938" w14:textId="7DAAC09D" w:rsidR="00F7404D" w:rsidRPr="009D212A" w:rsidRDefault="00F7404D" w:rsidP="00716677">
      <w:pPr>
        <w:spacing w:line="360" w:lineRule="auto"/>
        <w:rPr>
          <w:rFonts w:ascii="Times New Roman" w:eastAsia="Times New Roman" w:hAnsi="Times New Roman" w:cs="Times New Roman"/>
          <w:sz w:val="24"/>
          <w:szCs w:val="24"/>
        </w:rPr>
      </w:pPr>
      <w:r w:rsidRPr="009D212A">
        <w:rPr>
          <w:noProof/>
          <w:lang w:eastAsia="pl-PL"/>
        </w:rPr>
        <w:drawing>
          <wp:inline distT="0" distB="0" distL="0" distR="0" wp14:anchorId="0F7A6B5F" wp14:editId="50934D61">
            <wp:extent cx="5760720" cy="24231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23160"/>
                    </a:xfrm>
                    <a:prstGeom prst="rect">
                      <a:avLst/>
                    </a:prstGeom>
                  </pic:spPr>
                </pic:pic>
              </a:graphicData>
            </a:graphic>
          </wp:inline>
        </w:drawing>
      </w:r>
    </w:p>
    <w:p w14:paraId="739DBBEA" w14:textId="2520BCD0" w:rsidR="00F7404D" w:rsidRPr="009D212A" w:rsidRDefault="00F7404D" w:rsidP="00716677">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Fig. 2</w:t>
      </w:r>
      <w:r w:rsidR="00716677" w:rsidRPr="009D212A">
        <w:rPr>
          <w:rFonts w:ascii="Times New Roman" w:eastAsia="Times New Roman" w:hAnsi="Times New Roman" w:cs="Times New Roman"/>
          <w:sz w:val="24"/>
          <w:szCs w:val="24"/>
        </w:rPr>
        <w:t>a. Same patient as in Fig.2. Axial contrast-enhanced CT image depicts multiple cystic lesions (arrows) scattered within the body and tail of pancreas.</w:t>
      </w:r>
    </w:p>
    <w:p w14:paraId="5D6DC3FC" w14:textId="14D43BF2" w:rsidR="00F7404D" w:rsidRPr="009D212A" w:rsidRDefault="00F7404D" w:rsidP="00716677">
      <w:pPr>
        <w:spacing w:line="360" w:lineRule="auto"/>
        <w:rPr>
          <w:rFonts w:ascii="Times New Roman" w:eastAsia="Times New Roman" w:hAnsi="Times New Roman" w:cs="Times New Roman"/>
          <w:sz w:val="24"/>
          <w:szCs w:val="24"/>
        </w:rPr>
      </w:pPr>
      <w:r w:rsidRPr="009D212A">
        <w:rPr>
          <w:noProof/>
          <w:lang w:eastAsia="pl-PL"/>
        </w:rPr>
        <w:drawing>
          <wp:inline distT="0" distB="0" distL="0" distR="0" wp14:anchorId="2D0C7D78" wp14:editId="3CA93FFD">
            <wp:extent cx="5760720" cy="313436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34360"/>
                    </a:xfrm>
                    <a:prstGeom prst="rect">
                      <a:avLst/>
                    </a:prstGeom>
                  </pic:spPr>
                </pic:pic>
              </a:graphicData>
            </a:graphic>
          </wp:inline>
        </w:drawing>
      </w:r>
    </w:p>
    <w:p w14:paraId="1C285775" w14:textId="24B5F62D" w:rsidR="00F7404D" w:rsidRPr="009D212A" w:rsidRDefault="00F7404D" w:rsidP="00716677">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Fig. 3</w:t>
      </w:r>
      <w:r w:rsidR="00716677" w:rsidRPr="009D212A">
        <w:rPr>
          <w:rFonts w:ascii="Times New Roman" w:eastAsia="Times New Roman" w:hAnsi="Times New Roman" w:cs="Times New Roman"/>
          <w:sz w:val="24"/>
          <w:szCs w:val="24"/>
        </w:rPr>
        <w:t>.</w:t>
      </w:r>
      <w:r w:rsidR="00716677" w:rsidRPr="009D212A">
        <w:rPr>
          <w:rFonts w:ascii="Times New Roman" w:eastAsia="Times New Roman" w:hAnsi="Times New Roman" w:cs="Times New Roman"/>
          <w:sz w:val="24"/>
          <w:szCs w:val="24"/>
        </w:rPr>
        <w:tab/>
        <w:t>Coronal contrast-enhanced CT scan shows left renal solid mass (arrow) showing strong arterial enhancement typical for clear cell renal cell carcinoma.</w:t>
      </w:r>
    </w:p>
    <w:p w14:paraId="41105340" w14:textId="7B26B1F8" w:rsidR="00F7404D" w:rsidRPr="009D212A" w:rsidRDefault="00F7404D" w:rsidP="00716677">
      <w:pPr>
        <w:spacing w:line="360" w:lineRule="auto"/>
        <w:rPr>
          <w:rFonts w:ascii="Times New Roman" w:eastAsia="Times New Roman" w:hAnsi="Times New Roman" w:cs="Times New Roman"/>
          <w:sz w:val="24"/>
          <w:szCs w:val="24"/>
        </w:rPr>
      </w:pPr>
      <w:r w:rsidRPr="009D212A">
        <w:rPr>
          <w:noProof/>
          <w:lang w:eastAsia="pl-PL"/>
        </w:rPr>
        <w:lastRenderedPageBreak/>
        <w:drawing>
          <wp:inline distT="0" distB="0" distL="0" distR="0" wp14:anchorId="16866F22" wp14:editId="01B834EF">
            <wp:extent cx="5760720" cy="39827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982720"/>
                    </a:xfrm>
                    <a:prstGeom prst="rect">
                      <a:avLst/>
                    </a:prstGeom>
                  </pic:spPr>
                </pic:pic>
              </a:graphicData>
            </a:graphic>
          </wp:inline>
        </w:drawing>
      </w:r>
    </w:p>
    <w:p w14:paraId="27172E1D" w14:textId="00165561" w:rsidR="00716677" w:rsidRPr="009D212A" w:rsidRDefault="00F7404D" w:rsidP="00716677">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 xml:space="preserve">Fig. </w:t>
      </w:r>
      <w:r w:rsidR="00716677" w:rsidRPr="009D212A">
        <w:rPr>
          <w:rFonts w:ascii="Times New Roman" w:eastAsia="Times New Roman" w:hAnsi="Times New Roman" w:cs="Times New Roman"/>
          <w:sz w:val="24"/>
          <w:szCs w:val="24"/>
        </w:rPr>
        <w:t xml:space="preserve">3a. Same patient as in Fig.3. Coronal contrast-enhanced CT scan depicts left adrenal mass showing heterogeneous enhancement suggestive of pheochromocytoma. </w:t>
      </w:r>
    </w:p>
    <w:p w14:paraId="73D622A8" w14:textId="73703131" w:rsidR="00F7404D" w:rsidRPr="009D212A" w:rsidRDefault="00F7404D" w:rsidP="00716677">
      <w:pPr>
        <w:spacing w:line="360" w:lineRule="auto"/>
        <w:rPr>
          <w:rFonts w:ascii="Times New Roman" w:eastAsia="Times New Roman" w:hAnsi="Times New Roman" w:cs="Times New Roman"/>
          <w:sz w:val="24"/>
          <w:szCs w:val="24"/>
        </w:rPr>
      </w:pPr>
      <w:r w:rsidRPr="009D212A">
        <w:rPr>
          <w:noProof/>
          <w:lang w:eastAsia="pl-PL"/>
        </w:rPr>
        <w:drawing>
          <wp:inline distT="0" distB="0" distL="0" distR="0" wp14:anchorId="321C07A2" wp14:editId="71DA32CF">
            <wp:extent cx="5760720" cy="193484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934845"/>
                    </a:xfrm>
                    <a:prstGeom prst="rect">
                      <a:avLst/>
                    </a:prstGeom>
                  </pic:spPr>
                </pic:pic>
              </a:graphicData>
            </a:graphic>
          </wp:inline>
        </w:drawing>
      </w:r>
    </w:p>
    <w:p w14:paraId="3F50C981" w14:textId="1FBA12A3" w:rsidR="00716677" w:rsidRPr="009D212A" w:rsidRDefault="00F7404D" w:rsidP="00716677">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 xml:space="preserve">Fig. </w:t>
      </w:r>
      <w:r w:rsidR="00716677" w:rsidRPr="009D212A">
        <w:rPr>
          <w:rFonts w:ascii="Times New Roman" w:eastAsia="Times New Roman" w:hAnsi="Times New Roman" w:cs="Times New Roman"/>
          <w:sz w:val="24"/>
          <w:szCs w:val="24"/>
        </w:rPr>
        <w:t>3b. Same patient as in Fig 3 and 3a. Axial contrast-enhanced CT image demonstrates a small well-defined hyperenhancing mass (arrow) located in the pancreatic uncinate process. CT appearance of the lesion is considered suggestive of neuroendocrine tumor (NET).</w:t>
      </w:r>
    </w:p>
    <w:p w14:paraId="4B611C2F" w14:textId="5A44A050" w:rsidR="00F7404D" w:rsidRPr="009D212A" w:rsidRDefault="00F7404D" w:rsidP="00716677">
      <w:pPr>
        <w:spacing w:line="360" w:lineRule="auto"/>
        <w:rPr>
          <w:rFonts w:ascii="Times New Roman" w:eastAsia="Times New Roman" w:hAnsi="Times New Roman" w:cs="Times New Roman"/>
          <w:sz w:val="24"/>
          <w:szCs w:val="24"/>
        </w:rPr>
      </w:pPr>
      <w:r w:rsidRPr="009D212A">
        <w:rPr>
          <w:noProof/>
          <w:lang w:eastAsia="pl-PL"/>
        </w:rPr>
        <w:lastRenderedPageBreak/>
        <w:drawing>
          <wp:inline distT="0" distB="0" distL="0" distR="0" wp14:anchorId="15C6F4CE" wp14:editId="33E343F5">
            <wp:extent cx="5760720" cy="4187190"/>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187190"/>
                    </a:xfrm>
                    <a:prstGeom prst="rect">
                      <a:avLst/>
                    </a:prstGeom>
                  </pic:spPr>
                </pic:pic>
              </a:graphicData>
            </a:graphic>
          </wp:inline>
        </w:drawing>
      </w:r>
    </w:p>
    <w:p w14:paraId="194F31D5" w14:textId="30B2DB7B" w:rsidR="00716677" w:rsidRPr="009D212A" w:rsidRDefault="00F7404D" w:rsidP="00716677">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 xml:space="preserve">Fig. 4. </w:t>
      </w:r>
      <w:r w:rsidR="00716677" w:rsidRPr="009D212A">
        <w:rPr>
          <w:rFonts w:ascii="Times New Roman" w:eastAsia="Times New Roman" w:hAnsi="Times New Roman" w:cs="Times New Roman"/>
          <w:sz w:val="24"/>
          <w:szCs w:val="24"/>
        </w:rPr>
        <w:t>Axial contrast-enhanced CT image shows complex cystic left renal mass (large arrow) and multiple simple renal cysts (small arrow).</w:t>
      </w:r>
    </w:p>
    <w:p w14:paraId="589AD07A" w14:textId="02BEFEB5" w:rsidR="00F7404D" w:rsidRPr="009D212A" w:rsidRDefault="00F7404D" w:rsidP="00716677">
      <w:pPr>
        <w:spacing w:line="360" w:lineRule="auto"/>
        <w:rPr>
          <w:rFonts w:ascii="Times New Roman" w:eastAsia="Times New Roman" w:hAnsi="Times New Roman" w:cs="Times New Roman"/>
          <w:sz w:val="24"/>
          <w:szCs w:val="24"/>
        </w:rPr>
      </w:pPr>
      <w:r w:rsidRPr="009D212A">
        <w:rPr>
          <w:noProof/>
          <w:lang w:eastAsia="pl-PL"/>
        </w:rPr>
        <w:lastRenderedPageBreak/>
        <w:drawing>
          <wp:inline distT="0" distB="0" distL="0" distR="0" wp14:anchorId="743E0C6A" wp14:editId="210EC534">
            <wp:extent cx="5760720" cy="467296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672965"/>
                    </a:xfrm>
                    <a:prstGeom prst="rect">
                      <a:avLst/>
                    </a:prstGeom>
                  </pic:spPr>
                </pic:pic>
              </a:graphicData>
            </a:graphic>
          </wp:inline>
        </w:drawing>
      </w:r>
    </w:p>
    <w:p w14:paraId="62D4FD25" w14:textId="1E15BBCA" w:rsidR="00716677" w:rsidRPr="009D212A" w:rsidRDefault="00F7404D" w:rsidP="00CB2913">
      <w:pPr>
        <w:spacing w:line="360" w:lineRule="auto"/>
        <w:rPr>
          <w:rFonts w:ascii="Times New Roman" w:eastAsia="Times New Roman" w:hAnsi="Times New Roman" w:cs="Times New Roman"/>
          <w:sz w:val="24"/>
          <w:szCs w:val="24"/>
        </w:rPr>
      </w:pPr>
      <w:r w:rsidRPr="009D212A">
        <w:rPr>
          <w:rFonts w:ascii="Times New Roman" w:eastAsia="Times New Roman" w:hAnsi="Times New Roman" w:cs="Times New Roman"/>
          <w:sz w:val="24"/>
          <w:szCs w:val="24"/>
        </w:rPr>
        <w:t xml:space="preserve">Fig. </w:t>
      </w:r>
      <w:r w:rsidR="00716677" w:rsidRPr="009D212A">
        <w:rPr>
          <w:rFonts w:ascii="Times New Roman" w:eastAsia="Times New Roman" w:hAnsi="Times New Roman" w:cs="Times New Roman"/>
          <w:sz w:val="24"/>
          <w:szCs w:val="24"/>
        </w:rPr>
        <w:t>4a. Axial contrast-enhanced CT image in the same patient as in Fig. 4. The arrows show multiple, hypodense cystic lesions within the pancreatic tail.</w:t>
      </w:r>
    </w:p>
    <w:p w14:paraId="42D1E5C3" w14:textId="1381DF6F" w:rsidR="002055E1" w:rsidRPr="009D212A" w:rsidRDefault="002055E1" w:rsidP="00CB2913">
      <w:pPr>
        <w:spacing w:line="360" w:lineRule="auto"/>
        <w:rPr>
          <w:rFonts w:ascii="Times New Roman" w:eastAsia="Times New Roman" w:hAnsi="Times New Roman" w:cs="Times New Roman"/>
          <w:sz w:val="24"/>
          <w:szCs w:val="24"/>
        </w:rPr>
      </w:pPr>
    </w:p>
    <w:sectPr w:rsidR="002055E1" w:rsidRPr="009D212A" w:rsidSect="008A16BF">
      <w:headerReference w:type="default" r:id="rId20"/>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2A512" w14:textId="77777777" w:rsidR="006F2D4C" w:rsidRDefault="006F2D4C" w:rsidP="005E362F">
      <w:pPr>
        <w:spacing w:after="0" w:line="240" w:lineRule="auto"/>
      </w:pPr>
      <w:r>
        <w:separator/>
      </w:r>
    </w:p>
  </w:endnote>
  <w:endnote w:type="continuationSeparator" w:id="0">
    <w:p w14:paraId="637FD4A2" w14:textId="77777777" w:rsidR="006F2D4C" w:rsidRDefault="006F2D4C" w:rsidP="005E3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3C2B9" w14:textId="77777777" w:rsidR="006F2D4C" w:rsidRDefault="006F2D4C" w:rsidP="005E362F">
      <w:pPr>
        <w:spacing w:after="0" w:line="240" w:lineRule="auto"/>
      </w:pPr>
      <w:r>
        <w:separator/>
      </w:r>
    </w:p>
  </w:footnote>
  <w:footnote w:type="continuationSeparator" w:id="0">
    <w:p w14:paraId="2203EA58" w14:textId="77777777" w:rsidR="006F2D4C" w:rsidRDefault="006F2D4C" w:rsidP="005E36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26216"/>
      <w:docPartObj>
        <w:docPartGallery w:val="Page Numbers (Top of Page)"/>
        <w:docPartUnique/>
      </w:docPartObj>
    </w:sdtPr>
    <w:sdtContent>
      <w:p w14:paraId="2AC1781E" w14:textId="4ACA108C" w:rsidR="005C698A" w:rsidRDefault="005C698A">
        <w:pPr>
          <w:pStyle w:val="Nagwek"/>
        </w:pPr>
        <w:r>
          <w:fldChar w:fldCharType="begin"/>
        </w:r>
        <w:r>
          <w:instrText>PAGE   \* MERGEFORMAT</w:instrText>
        </w:r>
        <w:r>
          <w:fldChar w:fldCharType="separate"/>
        </w:r>
        <w:r w:rsidR="006713E3">
          <w:rPr>
            <w:noProof/>
          </w:rPr>
          <w:t>4</w:t>
        </w:r>
        <w:r>
          <w:fldChar w:fldCharType="end"/>
        </w:r>
      </w:p>
    </w:sdtContent>
  </w:sdt>
  <w:p w14:paraId="5A675EE0" w14:textId="77777777" w:rsidR="005C698A" w:rsidRDefault="005C698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B6995"/>
    <w:multiLevelType w:val="hybridMultilevel"/>
    <w:tmpl w:val="8A068B6E"/>
    <w:lvl w:ilvl="0" w:tplc="0415000F">
      <w:start w:val="1"/>
      <w:numFmt w:val="decimal"/>
      <w:lvlText w:val="%1."/>
      <w:lvlJc w:val="left"/>
      <w:pPr>
        <w:ind w:left="720" w:hanging="360"/>
      </w:pPr>
      <w:rPr>
        <w:rFonts w:eastAsia="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B396937"/>
    <w:multiLevelType w:val="multilevel"/>
    <w:tmpl w:val="5060D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266BDB"/>
    <w:multiLevelType w:val="hybridMultilevel"/>
    <w:tmpl w:val="D2B623CA"/>
    <w:lvl w:ilvl="0" w:tplc="DCCE8662">
      <w:start w:val="1"/>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7D32C34"/>
    <w:multiLevelType w:val="hybridMultilevel"/>
    <w:tmpl w:val="52306A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D4E6972"/>
    <w:multiLevelType w:val="multilevel"/>
    <w:tmpl w:val="29ECB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D21B2B"/>
    <w:multiLevelType w:val="hybridMultilevel"/>
    <w:tmpl w:val="2312C6E6"/>
    <w:lvl w:ilvl="0" w:tplc="769CB53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646"/>
    <w:rsid w:val="00011DB8"/>
    <w:rsid w:val="000139D4"/>
    <w:rsid w:val="00023E20"/>
    <w:rsid w:val="00070BD2"/>
    <w:rsid w:val="00071529"/>
    <w:rsid w:val="00081B65"/>
    <w:rsid w:val="000915D8"/>
    <w:rsid w:val="0009421D"/>
    <w:rsid w:val="000A7C9E"/>
    <w:rsid w:val="000B3BB6"/>
    <w:rsid w:val="000B4784"/>
    <w:rsid w:val="000E2CA1"/>
    <w:rsid w:val="000F3C77"/>
    <w:rsid w:val="00113F3C"/>
    <w:rsid w:val="00123EC4"/>
    <w:rsid w:val="001260E5"/>
    <w:rsid w:val="001456B2"/>
    <w:rsid w:val="00150F71"/>
    <w:rsid w:val="00164229"/>
    <w:rsid w:val="0017375E"/>
    <w:rsid w:val="001805C7"/>
    <w:rsid w:val="00184B05"/>
    <w:rsid w:val="00196866"/>
    <w:rsid w:val="001B6149"/>
    <w:rsid w:val="001B67EF"/>
    <w:rsid w:val="002055E1"/>
    <w:rsid w:val="00281BDC"/>
    <w:rsid w:val="0028513C"/>
    <w:rsid w:val="002A5308"/>
    <w:rsid w:val="002B34FF"/>
    <w:rsid w:val="002F1B27"/>
    <w:rsid w:val="0030640A"/>
    <w:rsid w:val="0030722D"/>
    <w:rsid w:val="0031426F"/>
    <w:rsid w:val="0033743F"/>
    <w:rsid w:val="003602B9"/>
    <w:rsid w:val="00365C83"/>
    <w:rsid w:val="003671D9"/>
    <w:rsid w:val="00372F45"/>
    <w:rsid w:val="00380461"/>
    <w:rsid w:val="00394A6B"/>
    <w:rsid w:val="00432646"/>
    <w:rsid w:val="00434CFC"/>
    <w:rsid w:val="0045693A"/>
    <w:rsid w:val="004619F6"/>
    <w:rsid w:val="00494878"/>
    <w:rsid w:val="004A0FBC"/>
    <w:rsid w:val="004F3F81"/>
    <w:rsid w:val="0052691D"/>
    <w:rsid w:val="005324C3"/>
    <w:rsid w:val="005337FA"/>
    <w:rsid w:val="00547B78"/>
    <w:rsid w:val="0056038F"/>
    <w:rsid w:val="00562343"/>
    <w:rsid w:val="00570CCC"/>
    <w:rsid w:val="0057548D"/>
    <w:rsid w:val="00581090"/>
    <w:rsid w:val="005B4FCA"/>
    <w:rsid w:val="005C698A"/>
    <w:rsid w:val="005D022E"/>
    <w:rsid w:val="005D47E4"/>
    <w:rsid w:val="005E017A"/>
    <w:rsid w:val="005E362F"/>
    <w:rsid w:val="005F0D3F"/>
    <w:rsid w:val="005F7A2A"/>
    <w:rsid w:val="0061077A"/>
    <w:rsid w:val="0063269C"/>
    <w:rsid w:val="00657533"/>
    <w:rsid w:val="00660D44"/>
    <w:rsid w:val="006713E3"/>
    <w:rsid w:val="006B628A"/>
    <w:rsid w:val="006B65A8"/>
    <w:rsid w:val="006C5570"/>
    <w:rsid w:val="006C7F47"/>
    <w:rsid w:val="006D4D4A"/>
    <w:rsid w:val="006D5E27"/>
    <w:rsid w:val="006E4F3C"/>
    <w:rsid w:val="006F2D4C"/>
    <w:rsid w:val="00716677"/>
    <w:rsid w:val="0072088E"/>
    <w:rsid w:val="00765B5C"/>
    <w:rsid w:val="007732EB"/>
    <w:rsid w:val="007753BA"/>
    <w:rsid w:val="007970A9"/>
    <w:rsid w:val="007A0AB8"/>
    <w:rsid w:val="007C22C1"/>
    <w:rsid w:val="007F733E"/>
    <w:rsid w:val="00826ABD"/>
    <w:rsid w:val="008410AD"/>
    <w:rsid w:val="00847B82"/>
    <w:rsid w:val="00862B28"/>
    <w:rsid w:val="008835AE"/>
    <w:rsid w:val="00887D9B"/>
    <w:rsid w:val="008916E8"/>
    <w:rsid w:val="008A16BF"/>
    <w:rsid w:val="008A2F43"/>
    <w:rsid w:val="008D58BD"/>
    <w:rsid w:val="008E1383"/>
    <w:rsid w:val="008E2F95"/>
    <w:rsid w:val="008F51BB"/>
    <w:rsid w:val="008F6C1F"/>
    <w:rsid w:val="009317D6"/>
    <w:rsid w:val="0093680E"/>
    <w:rsid w:val="00940045"/>
    <w:rsid w:val="0095222A"/>
    <w:rsid w:val="009630E3"/>
    <w:rsid w:val="009902E7"/>
    <w:rsid w:val="00993675"/>
    <w:rsid w:val="009A2352"/>
    <w:rsid w:val="009B4065"/>
    <w:rsid w:val="009C2B35"/>
    <w:rsid w:val="009C658E"/>
    <w:rsid w:val="009C7001"/>
    <w:rsid w:val="009D181A"/>
    <w:rsid w:val="009D212A"/>
    <w:rsid w:val="00A1210B"/>
    <w:rsid w:val="00A35CF8"/>
    <w:rsid w:val="00A371E4"/>
    <w:rsid w:val="00A40039"/>
    <w:rsid w:val="00A47215"/>
    <w:rsid w:val="00A711B5"/>
    <w:rsid w:val="00AC3AD3"/>
    <w:rsid w:val="00AC5241"/>
    <w:rsid w:val="00AD2540"/>
    <w:rsid w:val="00AD4D6F"/>
    <w:rsid w:val="00AD5E9D"/>
    <w:rsid w:val="00AE084F"/>
    <w:rsid w:val="00AE43B4"/>
    <w:rsid w:val="00B0373E"/>
    <w:rsid w:val="00B22C30"/>
    <w:rsid w:val="00B311DF"/>
    <w:rsid w:val="00B37900"/>
    <w:rsid w:val="00B67512"/>
    <w:rsid w:val="00BB4B2F"/>
    <w:rsid w:val="00BD465C"/>
    <w:rsid w:val="00BD6432"/>
    <w:rsid w:val="00BE5A4D"/>
    <w:rsid w:val="00C11BFE"/>
    <w:rsid w:val="00C56361"/>
    <w:rsid w:val="00C5747D"/>
    <w:rsid w:val="00CA2A20"/>
    <w:rsid w:val="00CA6C38"/>
    <w:rsid w:val="00CB2913"/>
    <w:rsid w:val="00CB770A"/>
    <w:rsid w:val="00CC13A6"/>
    <w:rsid w:val="00CC1BA9"/>
    <w:rsid w:val="00CE1D86"/>
    <w:rsid w:val="00CE6FA3"/>
    <w:rsid w:val="00CF37AD"/>
    <w:rsid w:val="00D00A52"/>
    <w:rsid w:val="00D22E2C"/>
    <w:rsid w:val="00D44E4F"/>
    <w:rsid w:val="00D46E47"/>
    <w:rsid w:val="00D873AE"/>
    <w:rsid w:val="00DD000E"/>
    <w:rsid w:val="00DE3263"/>
    <w:rsid w:val="00E17C93"/>
    <w:rsid w:val="00E2731F"/>
    <w:rsid w:val="00E379D7"/>
    <w:rsid w:val="00E73A25"/>
    <w:rsid w:val="00EA2233"/>
    <w:rsid w:val="00EA4DE8"/>
    <w:rsid w:val="00EC1477"/>
    <w:rsid w:val="00EC3E8A"/>
    <w:rsid w:val="00EC535D"/>
    <w:rsid w:val="00EC6C63"/>
    <w:rsid w:val="00EE2FCC"/>
    <w:rsid w:val="00F078C9"/>
    <w:rsid w:val="00F30B77"/>
    <w:rsid w:val="00F7404D"/>
    <w:rsid w:val="00FA7F40"/>
    <w:rsid w:val="00FC60EF"/>
    <w:rsid w:val="00FE6954"/>
    <w:rsid w:val="00FF2BC2"/>
    <w:rsid w:val="01306AC1"/>
    <w:rsid w:val="01541072"/>
    <w:rsid w:val="02B583A6"/>
    <w:rsid w:val="03047EBF"/>
    <w:rsid w:val="044EE326"/>
    <w:rsid w:val="0596BFD1"/>
    <w:rsid w:val="05B96858"/>
    <w:rsid w:val="05FD37B0"/>
    <w:rsid w:val="06A4419E"/>
    <w:rsid w:val="06DF8986"/>
    <w:rsid w:val="07329032"/>
    <w:rsid w:val="076512C2"/>
    <w:rsid w:val="0796AAA8"/>
    <w:rsid w:val="08B4CE20"/>
    <w:rsid w:val="093AC55E"/>
    <w:rsid w:val="097DF171"/>
    <w:rsid w:val="0A69C6DE"/>
    <w:rsid w:val="0B245995"/>
    <w:rsid w:val="0B354C83"/>
    <w:rsid w:val="0BA6357B"/>
    <w:rsid w:val="0BEC6EE2"/>
    <w:rsid w:val="0BF58B58"/>
    <w:rsid w:val="0C7235AE"/>
    <w:rsid w:val="0D780C1E"/>
    <w:rsid w:val="0DA167A0"/>
    <w:rsid w:val="0FA0D126"/>
    <w:rsid w:val="10791C9B"/>
    <w:rsid w:val="11296FB1"/>
    <w:rsid w:val="114BA087"/>
    <w:rsid w:val="119B824D"/>
    <w:rsid w:val="1299BC58"/>
    <w:rsid w:val="12F8E98C"/>
    <w:rsid w:val="1410A924"/>
    <w:rsid w:val="153F189B"/>
    <w:rsid w:val="159B311C"/>
    <w:rsid w:val="15AC7985"/>
    <w:rsid w:val="1635C259"/>
    <w:rsid w:val="171EEE64"/>
    <w:rsid w:val="1770A4BC"/>
    <w:rsid w:val="1786DB99"/>
    <w:rsid w:val="186E8C6F"/>
    <w:rsid w:val="18BA473E"/>
    <w:rsid w:val="19288CDB"/>
    <w:rsid w:val="192BB717"/>
    <w:rsid w:val="19F296E4"/>
    <w:rsid w:val="1A05AF9D"/>
    <w:rsid w:val="1A0A5CD0"/>
    <w:rsid w:val="1BA62D31"/>
    <w:rsid w:val="1C0DD737"/>
    <w:rsid w:val="1C6377A7"/>
    <w:rsid w:val="1CD1867D"/>
    <w:rsid w:val="1CDE9997"/>
    <w:rsid w:val="1D4D244C"/>
    <w:rsid w:val="1DF127B6"/>
    <w:rsid w:val="1E607EC6"/>
    <w:rsid w:val="1EBFC37D"/>
    <w:rsid w:val="1EE8F4AD"/>
    <w:rsid w:val="1FF9AC38"/>
    <w:rsid w:val="2084C50E"/>
    <w:rsid w:val="21268089"/>
    <w:rsid w:val="21E37905"/>
    <w:rsid w:val="23558B3C"/>
    <w:rsid w:val="25050984"/>
    <w:rsid w:val="25837FBB"/>
    <w:rsid w:val="258E0272"/>
    <w:rsid w:val="25A5C1DF"/>
    <w:rsid w:val="25F26D5F"/>
    <w:rsid w:val="27126BB7"/>
    <w:rsid w:val="274D32D9"/>
    <w:rsid w:val="283637CD"/>
    <w:rsid w:val="28692519"/>
    <w:rsid w:val="2A793302"/>
    <w:rsid w:val="2BA29420"/>
    <w:rsid w:val="2C043426"/>
    <w:rsid w:val="2C9F187F"/>
    <w:rsid w:val="2CD3F7A1"/>
    <w:rsid w:val="2E09EA99"/>
    <w:rsid w:val="2E16FDB3"/>
    <w:rsid w:val="306165D5"/>
    <w:rsid w:val="30D4B90D"/>
    <w:rsid w:val="30EBCE85"/>
    <w:rsid w:val="3104FEB3"/>
    <w:rsid w:val="31516A22"/>
    <w:rsid w:val="322A4446"/>
    <w:rsid w:val="32B092C7"/>
    <w:rsid w:val="346247E3"/>
    <w:rsid w:val="346DD82F"/>
    <w:rsid w:val="35065077"/>
    <w:rsid w:val="368A276B"/>
    <w:rsid w:val="36C1AB54"/>
    <w:rsid w:val="36EE35DB"/>
    <w:rsid w:val="370FA701"/>
    <w:rsid w:val="371217E2"/>
    <w:rsid w:val="38133CC0"/>
    <w:rsid w:val="392A6BB9"/>
    <w:rsid w:val="393B7411"/>
    <w:rsid w:val="39614EFF"/>
    <w:rsid w:val="3A76FAC0"/>
    <w:rsid w:val="3A90231D"/>
    <w:rsid w:val="3AE5C8D7"/>
    <w:rsid w:val="3AF3696A"/>
    <w:rsid w:val="3B3ED74F"/>
    <w:rsid w:val="3B471047"/>
    <w:rsid w:val="3C0CA350"/>
    <w:rsid w:val="3C12CB21"/>
    <w:rsid w:val="3C1D9F69"/>
    <w:rsid w:val="3C975933"/>
    <w:rsid w:val="3CB62682"/>
    <w:rsid w:val="3D243C5D"/>
    <w:rsid w:val="3D9E4497"/>
    <w:rsid w:val="3DAE9B82"/>
    <w:rsid w:val="3E262CA5"/>
    <w:rsid w:val="3E308F3A"/>
    <w:rsid w:val="3EAD32BD"/>
    <w:rsid w:val="3F9C478B"/>
    <w:rsid w:val="3FA20A75"/>
    <w:rsid w:val="3FBC4ACC"/>
    <w:rsid w:val="40622B7B"/>
    <w:rsid w:val="419A7FBB"/>
    <w:rsid w:val="41B0F72C"/>
    <w:rsid w:val="42820CA5"/>
    <w:rsid w:val="42A74D6A"/>
    <w:rsid w:val="471EEC07"/>
    <w:rsid w:val="47643723"/>
    <w:rsid w:val="47AADE14"/>
    <w:rsid w:val="47C165B9"/>
    <w:rsid w:val="47E8B889"/>
    <w:rsid w:val="484BCE69"/>
    <w:rsid w:val="48E69C6C"/>
    <w:rsid w:val="48F1C576"/>
    <w:rsid w:val="4A14C8F9"/>
    <w:rsid w:val="4AF9067B"/>
    <w:rsid w:val="4B0C9EC5"/>
    <w:rsid w:val="4B4BF5B6"/>
    <w:rsid w:val="4C014263"/>
    <w:rsid w:val="4C2D8F6B"/>
    <w:rsid w:val="4C93B8EE"/>
    <w:rsid w:val="4D0F8963"/>
    <w:rsid w:val="4E05A8DE"/>
    <w:rsid w:val="4F49F5F9"/>
    <w:rsid w:val="50E675CE"/>
    <w:rsid w:val="5126265D"/>
    <w:rsid w:val="51A9B888"/>
    <w:rsid w:val="525596C3"/>
    <w:rsid w:val="52D636F2"/>
    <w:rsid w:val="54720753"/>
    <w:rsid w:val="554D634E"/>
    <w:rsid w:val="557B9078"/>
    <w:rsid w:val="560DD7B4"/>
    <w:rsid w:val="56CAB559"/>
    <w:rsid w:val="57195917"/>
    <w:rsid w:val="58463C28"/>
    <w:rsid w:val="5852273B"/>
    <w:rsid w:val="5858FDF6"/>
    <w:rsid w:val="5941B892"/>
    <w:rsid w:val="5AD0709F"/>
    <w:rsid w:val="5B30B4D6"/>
    <w:rsid w:val="5B837EC8"/>
    <w:rsid w:val="5BAB3A82"/>
    <w:rsid w:val="5BEC64B6"/>
    <w:rsid w:val="5C63F0DB"/>
    <w:rsid w:val="5D19AD4B"/>
    <w:rsid w:val="5D2C6F19"/>
    <w:rsid w:val="5DBBDF0B"/>
    <w:rsid w:val="5E0957CD"/>
    <w:rsid w:val="5E1B83E7"/>
    <w:rsid w:val="5EA29A53"/>
    <w:rsid w:val="60B1BC5D"/>
    <w:rsid w:val="60E2D6E8"/>
    <w:rsid w:val="613FB223"/>
    <w:rsid w:val="614FE548"/>
    <w:rsid w:val="61C558F7"/>
    <w:rsid w:val="625E8493"/>
    <w:rsid w:val="62DBA9C2"/>
    <w:rsid w:val="63612958"/>
    <w:rsid w:val="64A4D1B4"/>
    <w:rsid w:val="66554183"/>
    <w:rsid w:val="6698CA1A"/>
    <w:rsid w:val="695AF72D"/>
    <w:rsid w:val="69E547B3"/>
    <w:rsid w:val="6A7C8C83"/>
    <w:rsid w:val="6AEC0610"/>
    <w:rsid w:val="6C82022B"/>
    <w:rsid w:val="6C84B41D"/>
    <w:rsid w:val="6CCD721B"/>
    <w:rsid w:val="6CDC8166"/>
    <w:rsid w:val="6D4FB3A4"/>
    <w:rsid w:val="6DA64B53"/>
    <w:rsid w:val="6DA8FAF4"/>
    <w:rsid w:val="6F54AAD9"/>
    <w:rsid w:val="6F782623"/>
    <w:rsid w:val="6FB9A2ED"/>
    <w:rsid w:val="6FD22637"/>
    <w:rsid w:val="6FDAFE6F"/>
    <w:rsid w:val="70A5785A"/>
    <w:rsid w:val="70DC4DC7"/>
    <w:rsid w:val="71EA481B"/>
    <w:rsid w:val="7228205E"/>
    <w:rsid w:val="72307083"/>
    <w:rsid w:val="7269DC0F"/>
    <w:rsid w:val="73072D14"/>
    <w:rsid w:val="7309C6F9"/>
    <w:rsid w:val="733BFBE8"/>
    <w:rsid w:val="7412E810"/>
    <w:rsid w:val="74E539E5"/>
    <w:rsid w:val="752DF0A6"/>
    <w:rsid w:val="75681145"/>
    <w:rsid w:val="75C930D4"/>
    <w:rsid w:val="763605F2"/>
    <w:rsid w:val="76664B50"/>
    <w:rsid w:val="789FD945"/>
    <w:rsid w:val="79A2924C"/>
    <w:rsid w:val="79A6AE87"/>
    <w:rsid w:val="79EBF578"/>
    <w:rsid w:val="7A3BA9A6"/>
    <w:rsid w:val="7A822994"/>
    <w:rsid w:val="7C197106"/>
    <w:rsid w:val="7C2BE347"/>
    <w:rsid w:val="7C310C2F"/>
    <w:rsid w:val="7C4A983F"/>
    <w:rsid w:val="7C58305A"/>
    <w:rsid w:val="7C58A37F"/>
    <w:rsid w:val="7CCA6D88"/>
    <w:rsid w:val="7DE8FD7F"/>
    <w:rsid w:val="7EE218E4"/>
    <w:rsid w:val="7F6B73EE"/>
    <w:rsid w:val="7FDA66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F21A5"/>
  <w15:chartTrackingRefBased/>
  <w15:docId w15:val="{7523DF00-236A-4176-8C80-B35655CA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E695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B34FF"/>
    <w:rPr>
      <w:color w:val="0563C1" w:themeColor="hyperlink"/>
      <w:u w:val="single"/>
    </w:rPr>
  </w:style>
  <w:style w:type="paragraph" w:styleId="Akapitzlist">
    <w:name w:val="List Paragraph"/>
    <w:basedOn w:val="Normalny"/>
    <w:uiPriority w:val="34"/>
    <w:qFormat/>
    <w:rsid w:val="006B628A"/>
    <w:pPr>
      <w:ind w:left="720"/>
      <w:contextualSpacing/>
    </w:p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umerwiersza">
    <w:name w:val="line number"/>
    <w:basedOn w:val="Domylnaczcionkaakapitu"/>
    <w:uiPriority w:val="99"/>
    <w:semiHidden/>
    <w:unhideWhenUsed/>
    <w:rsid w:val="008A16BF"/>
  </w:style>
  <w:style w:type="paragraph" w:styleId="NormalnyWeb">
    <w:name w:val="Normal (Web)"/>
    <w:basedOn w:val="Normalny"/>
    <w:uiPriority w:val="99"/>
    <w:semiHidden/>
    <w:unhideWhenUsed/>
    <w:rsid w:val="005F0D3F"/>
    <w:rPr>
      <w:rFonts w:ascii="Times New Roman" w:hAnsi="Times New Roman" w:cs="Times New Roman"/>
      <w:sz w:val="24"/>
      <w:szCs w:val="24"/>
    </w:rPr>
  </w:style>
  <w:style w:type="paragraph" w:styleId="Nagwek">
    <w:name w:val="header"/>
    <w:basedOn w:val="Normalny"/>
    <w:link w:val="NagwekZnak"/>
    <w:uiPriority w:val="99"/>
    <w:unhideWhenUsed/>
    <w:rsid w:val="005E36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E362F"/>
  </w:style>
  <w:style w:type="paragraph" w:styleId="Stopka">
    <w:name w:val="footer"/>
    <w:basedOn w:val="Normalny"/>
    <w:link w:val="StopkaZnak"/>
    <w:uiPriority w:val="99"/>
    <w:unhideWhenUsed/>
    <w:rsid w:val="005E36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E3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8298">
      <w:bodyDiv w:val="1"/>
      <w:marLeft w:val="0"/>
      <w:marRight w:val="0"/>
      <w:marTop w:val="0"/>
      <w:marBottom w:val="0"/>
      <w:divBdr>
        <w:top w:val="none" w:sz="0" w:space="0" w:color="auto"/>
        <w:left w:val="none" w:sz="0" w:space="0" w:color="auto"/>
        <w:bottom w:val="none" w:sz="0" w:space="0" w:color="auto"/>
        <w:right w:val="none" w:sz="0" w:space="0" w:color="auto"/>
      </w:divBdr>
    </w:div>
    <w:div w:id="360591915">
      <w:bodyDiv w:val="1"/>
      <w:marLeft w:val="0"/>
      <w:marRight w:val="0"/>
      <w:marTop w:val="0"/>
      <w:marBottom w:val="0"/>
      <w:divBdr>
        <w:top w:val="none" w:sz="0" w:space="0" w:color="auto"/>
        <w:left w:val="none" w:sz="0" w:space="0" w:color="auto"/>
        <w:bottom w:val="none" w:sz="0" w:space="0" w:color="auto"/>
        <w:right w:val="none" w:sz="0" w:space="0" w:color="auto"/>
      </w:divBdr>
      <w:divsChild>
        <w:div w:id="961107194">
          <w:marLeft w:val="0"/>
          <w:marRight w:val="0"/>
          <w:marTop w:val="0"/>
          <w:marBottom w:val="0"/>
          <w:divBdr>
            <w:top w:val="none" w:sz="0" w:space="0" w:color="auto"/>
            <w:left w:val="none" w:sz="0" w:space="0" w:color="auto"/>
            <w:bottom w:val="none" w:sz="0" w:space="0" w:color="auto"/>
            <w:right w:val="none" w:sz="0" w:space="0" w:color="auto"/>
          </w:divBdr>
        </w:div>
      </w:divsChild>
    </w:div>
    <w:div w:id="659847902">
      <w:bodyDiv w:val="1"/>
      <w:marLeft w:val="0"/>
      <w:marRight w:val="0"/>
      <w:marTop w:val="0"/>
      <w:marBottom w:val="0"/>
      <w:divBdr>
        <w:top w:val="none" w:sz="0" w:space="0" w:color="auto"/>
        <w:left w:val="none" w:sz="0" w:space="0" w:color="auto"/>
        <w:bottom w:val="none" w:sz="0" w:space="0" w:color="auto"/>
        <w:right w:val="none" w:sz="0" w:space="0" w:color="auto"/>
      </w:divBdr>
      <w:divsChild>
        <w:div w:id="1191921283">
          <w:marLeft w:val="0"/>
          <w:marRight w:val="0"/>
          <w:marTop w:val="0"/>
          <w:marBottom w:val="0"/>
          <w:divBdr>
            <w:top w:val="none" w:sz="0" w:space="0" w:color="auto"/>
            <w:left w:val="none" w:sz="0" w:space="0" w:color="auto"/>
            <w:bottom w:val="none" w:sz="0" w:space="0" w:color="auto"/>
            <w:right w:val="none" w:sz="0" w:space="0" w:color="auto"/>
          </w:divBdr>
        </w:div>
      </w:divsChild>
    </w:div>
    <w:div w:id="762723098">
      <w:bodyDiv w:val="1"/>
      <w:marLeft w:val="0"/>
      <w:marRight w:val="0"/>
      <w:marTop w:val="0"/>
      <w:marBottom w:val="0"/>
      <w:divBdr>
        <w:top w:val="none" w:sz="0" w:space="0" w:color="auto"/>
        <w:left w:val="none" w:sz="0" w:space="0" w:color="auto"/>
        <w:bottom w:val="none" w:sz="0" w:space="0" w:color="auto"/>
        <w:right w:val="none" w:sz="0" w:space="0" w:color="auto"/>
      </w:divBdr>
    </w:div>
    <w:div w:id="764571667">
      <w:bodyDiv w:val="1"/>
      <w:marLeft w:val="0"/>
      <w:marRight w:val="0"/>
      <w:marTop w:val="0"/>
      <w:marBottom w:val="0"/>
      <w:divBdr>
        <w:top w:val="none" w:sz="0" w:space="0" w:color="auto"/>
        <w:left w:val="none" w:sz="0" w:space="0" w:color="auto"/>
        <w:bottom w:val="none" w:sz="0" w:space="0" w:color="auto"/>
        <w:right w:val="none" w:sz="0" w:space="0" w:color="auto"/>
      </w:divBdr>
    </w:div>
    <w:div w:id="852837757">
      <w:bodyDiv w:val="1"/>
      <w:marLeft w:val="0"/>
      <w:marRight w:val="0"/>
      <w:marTop w:val="0"/>
      <w:marBottom w:val="0"/>
      <w:divBdr>
        <w:top w:val="none" w:sz="0" w:space="0" w:color="auto"/>
        <w:left w:val="none" w:sz="0" w:space="0" w:color="auto"/>
        <w:bottom w:val="none" w:sz="0" w:space="0" w:color="auto"/>
        <w:right w:val="none" w:sz="0" w:space="0" w:color="auto"/>
      </w:divBdr>
    </w:div>
    <w:div w:id="1078750747">
      <w:bodyDiv w:val="1"/>
      <w:marLeft w:val="0"/>
      <w:marRight w:val="0"/>
      <w:marTop w:val="0"/>
      <w:marBottom w:val="0"/>
      <w:divBdr>
        <w:top w:val="none" w:sz="0" w:space="0" w:color="auto"/>
        <w:left w:val="none" w:sz="0" w:space="0" w:color="auto"/>
        <w:bottom w:val="none" w:sz="0" w:space="0" w:color="auto"/>
        <w:right w:val="none" w:sz="0" w:space="0" w:color="auto"/>
      </w:divBdr>
    </w:div>
    <w:div w:id="1109666209">
      <w:bodyDiv w:val="1"/>
      <w:marLeft w:val="0"/>
      <w:marRight w:val="0"/>
      <w:marTop w:val="0"/>
      <w:marBottom w:val="0"/>
      <w:divBdr>
        <w:top w:val="none" w:sz="0" w:space="0" w:color="auto"/>
        <w:left w:val="none" w:sz="0" w:space="0" w:color="auto"/>
        <w:bottom w:val="none" w:sz="0" w:space="0" w:color="auto"/>
        <w:right w:val="none" w:sz="0" w:space="0" w:color="auto"/>
      </w:divBdr>
    </w:div>
    <w:div w:id="1287345541">
      <w:bodyDiv w:val="1"/>
      <w:marLeft w:val="0"/>
      <w:marRight w:val="0"/>
      <w:marTop w:val="0"/>
      <w:marBottom w:val="0"/>
      <w:divBdr>
        <w:top w:val="none" w:sz="0" w:space="0" w:color="auto"/>
        <w:left w:val="none" w:sz="0" w:space="0" w:color="auto"/>
        <w:bottom w:val="none" w:sz="0" w:space="0" w:color="auto"/>
        <w:right w:val="none" w:sz="0" w:space="0" w:color="auto"/>
      </w:divBdr>
      <w:divsChild>
        <w:div w:id="551231468">
          <w:marLeft w:val="0"/>
          <w:marRight w:val="0"/>
          <w:marTop w:val="0"/>
          <w:marBottom w:val="0"/>
          <w:divBdr>
            <w:top w:val="single" w:sz="2" w:space="0" w:color="D9D9E3"/>
            <w:left w:val="single" w:sz="2" w:space="0" w:color="D9D9E3"/>
            <w:bottom w:val="single" w:sz="2" w:space="0" w:color="D9D9E3"/>
            <w:right w:val="single" w:sz="2" w:space="0" w:color="D9D9E3"/>
          </w:divBdr>
          <w:divsChild>
            <w:div w:id="490490602">
              <w:marLeft w:val="0"/>
              <w:marRight w:val="0"/>
              <w:marTop w:val="0"/>
              <w:marBottom w:val="0"/>
              <w:divBdr>
                <w:top w:val="single" w:sz="2" w:space="0" w:color="D9D9E3"/>
                <w:left w:val="single" w:sz="2" w:space="0" w:color="D9D9E3"/>
                <w:bottom w:val="single" w:sz="2" w:space="0" w:color="D9D9E3"/>
                <w:right w:val="single" w:sz="2" w:space="0" w:color="D9D9E3"/>
              </w:divBdr>
              <w:divsChild>
                <w:div w:id="1389913349">
                  <w:marLeft w:val="0"/>
                  <w:marRight w:val="0"/>
                  <w:marTop w:val="0"/>
                  <w:marBottom w:val="0"/>
                  <w:divBdr>
                    <w:top w:val="single" w:sz="2" w:space="0" w:color="D9D9E3"/>
                    <w:left w:val="single" w:sz="2" w:space="0" w:color="D9D9E3"/>
                    <w:bottom w:val="single" w:sz="2" w:space="0" w:color="D9D9E3"/>
                    <w:right w:val="single" w:sz="2" w:space="0" w:color="D9D9E3"/>
                  </w:divBdr>
                  <w:divsChild>
                    <w:div w:id="1889802167">
                      <w:marLeft w:val="0"/>
                      <w:marRight w:val="0"/>
                      <w:marTop w:val="0"/>
                      <w:marBottom w:val="0"/>
                      <w:divBdr>
                        <w:top w:val="single" w:sz="2" w:space="0" w:color="D9D9E3"/>
                        <w:left w:val="single" w:sz="2" w:space="0" w:color="D9D9E3"/>
                        <w:bottom w:val="single" w:sz="2" w:space="0" w:color="D9D9E3"/>
                        <w:right w:val="single" w:sz="2" w:space="0" w:color="D9D9E3"/>
                      </w:divBdr>
                      <w:divsChild>
                        <w:div w:id="1179541080">
                          <w:marLeft w:val="0"/>
                          <w:marRight w:val="0"/>
                          <w:marTop w:val="0"/>
                          <w:marBottom w:val="0"/>
                          <w:divBdr>
                            <w:top w:val="none" w:sz="0" w:space="0" w:color="auto"/>
                            <w:left w:val="none" w:sz="0" w:space="0" w:color="auto"/>
                            <w:bottom w:val="none" w:sz="0" w:space="0" w:color="auto"/>
                            <w:right w:val="none" w:sz="0" w:space="0" w:color="auto"/>
                          </w:divBdr>
                          <w:divsChild>
                            <w:div w:id="23674596">
                              <w:marLeft w:val="0"/>
                              <w:marRight w:val="0"/>
                              <w:marTop w:val="100"/>
                              <w:marBottom w:val="100"/>
                              <w:divBdr>
                                <w:top w:val="single" w:sz="2" w:space="0" w:color="D9D9E3"/>
                                <w:left w:val="single" w:sz="2" w:space="0" w:color="D9D9E3"/>
                                <w:bottom w:val="single" w:sz="2" w:space="0" w:color="D9D9E3"/>
                                <w:right w:val="single" w:sz="2" w:space="0" w:color="D9D9E3"/>
                              </w:divBdr>
                              <w:divsChild>
                                <w:div w:id="1502618406">
                                  <w:marLeft w:val="0"/>
                                  <w:marRight w:val="0"/>
                                  <w:marTop w:val="0"/>
                                  <w:marBottom w:val="0"/>
                                  <w:divBdr>
                                    <w:top w:val="single" w:sz="2" w:space="0" w:color="D9D9E3"/>
                                    <w:left w:val="single" w:sz="2" w:space="0" w:color="D9D9E3"/>
                                    <w:bottom w:val="single" w:sz="2" w:space="0" w:color="D9D9E3"/>
                                    <w:right w:val="single" w:sz="2" w:space="0" w:color="D9D9E3"/>
                                  </w:divBdr>
                                  <w:divsChild>
                                    <w:div w:id="1457917969">
                                      <w:marLeft w:val="0"/>
                                      <w:marRight w:val="0"/>
                                      <w:marTop w:val="0"/>
                                      <w:marBottom w:val="0"/>
                                      <w:divBdr>
                                        <w:top w:val="single" w:sz="2" w:space="0" w:color="D9D9E3"/>
                                        <w:left w:val="single" w:sz="2" w:space="0" w:color="D9D9E3"/>
                                        <w:bottom w:val="single" w:sz="2" w:space="0" w:color="D9D9E3"/>
                                        <w:right w:val="single" w:sz="2" w:space="0" w:color="D9D9E3"/>
                                      </w:divBdr>
                                      <w:divsChild>
                                        <w:div w:id="1226381169">
                                          <w:marLeft w:val="0"/>
                                          <w:marRight w:val="0"/>
                                          <w:marTop w:val="0"/>
                                          <w:marBottom w:val="0"/>
                                          <w:divBdr>
                                            <w:top w:val="single" w:sz="2" w:space="0" w:color="D9D9E3"/>
                                            <w:left w:val="single" w:sz="2" w:space="0" w:color="D9D9E3"/>
                                            <w:bottom w:val="single" w:sz="2" w:space="0" w:color="D9D9E3"/>
                                            <w:right w:val="single" w:sz="2" w:space="0" w:color="D9D9E3"/>
                                          </w:divBdr>
                                          <w:divsChild>
                                            <w:div w:id="1310330282">
                                              <w:marLeft w:val="0"/>
                                              <w:marRight w:val="0"/>
                                              <w:marTop w:val="0"/>
                                              <w:marBottom w:val="0"/>
                                              <w:divBdr>
                                                <w:top w:val="single" w:sz="2" w:space="0" w:color="D9D9E3"/>
                                                <w:left w:val="single" w:sz="2" w:space="0" w:color="D9D9E3"/>
                                                <w:bottom w:val="single" w:sz="2" w:space="0" w:color="D9D9E3"/>
                                                <w:right w:val="single" w:sz="2" w:space="0" w:color="D9D9E3"/>
                                              </w:divBdr>
                                              <w:divsChild>
                                                <w:div w:id="904610292">
                                                  <w:marLeft w:val="0"/>
                                                  <w:marRight w:val="0"/>
                                                  <w:marTop w:val="0"/>
                                                  <w:marBottom w:val="0"/>
                                                  <w:divBdr>
                                                    <w:top w:val="single" w:sz="2" w:space="0" w:color="D9D9E3"/>
                                                    <w:left w:val="single" w:sz="2" w:space="0" w:color="D9D9E3"/>
                                                    <w:bottom w:val="single" w:sz="2" w:space="0" w:color="D9D9E3"/>
                                                    <w:right w:val="single" w:sz="2" w:space="0" w:color="D9D9E3"/>
                                                  </w:divBdr>
                                                  <w:divsChild>
                                                    <w:div w:id="18092767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20177627">
          <w:marLeft w:val="0"/>
          <w:marRight w:val="0"/>
          <w:marTop w:val="0"/>
          <w:marBottom w:val="0"/>
          <w:divBdr>
            <w:top w:val="none" w:sz="0" w:space="0" w:color="auto"/>
            <w:left w:val="none" w:sz="0" w:space="0" w:color="auto"/>
            <w:bottom w:val="none" w:sz="0" w:space="0" w:color="auto"/>
            <w:right w:val="none" w:sz="0" w:space="0" w:color="auto"/>
          </w:divBdr>
        </w:div>
      </w:divsChild>
    </w:div>
    <w:div w:id="1440221834">
      <w:bodyDiv w:val="1"/>
      <w:marLeft w:val="0"/>
      <w:marRight w:val="0"/>
      <w:marTop w:val="0"/>
      <w:marBottom w:val="0"/>
      <w:divBdr>
        <w:top w:val="none" w:sz="0" w:space="0" w:color="auto"/>
        <w:left w:val="none" w:sz="0" w:space="0" w:color="auto"/>
        <w:bottom w:val="none" w:sz="0" w:space="0" w:color="auto"/>
        <w:right w:val="none" w:sz="0" w:space="0" w:color="auto"/>
      </w:divBdr>
    </w:div>
    <w:div w:id="1754623919">
      <w:bodyDiv w:val="1"/>
      <w:marLeft w:val="0"/>
      <w:marRight w:val="0"/>
      <w:marTop w:val="0"/>
      <w:marBottom w:val="0"/>
      <w:divBdr>
        <w:top w:val="none" w:sz="0" w:space="0" w:color="auto"/>
        <w:left w:val="none" w:sz="0" w:space="0" w:color="auto"/>
        <w:bottom w:val="none" w:sz="0" w:space="0" w:color="auto"/>
        <w:right w:val="none" w:sz="0" w:space="0" w:color="auto"/>
      </w:divBdr>
    </w:div>
    <w:div w:id="1815679796">
      <w:bodyDiv w:val="1"/>
      <w:marLeft w:val="0"/>
      <w:marRight w:val="0"/>
      <w:marTop w:val="0"/>
      <w:marBottom w:val="0"/>
      <w:divBdr>
        <w:top w:val="none" w:sz="0" w:space="0" w:color="auto"/>
        <w:left w:val="none" w:sz="0" w:space="0" w:color="auto"/>
        <w:bottom w:val="none" w:sz="0" w:space="0" w:color="auto"/>
        <w:right w:val="none" w:sz="0" w:space="0" w:color="auto"/>
      </w:divBdr>
    </w:div>
    <w:div w:id="2000233231">
      <w:bodyDiv w:val="1"/>
      <w:marLeft w:val="0"/>
      <w:marRight w:val="0"/>
      <w:marTop w:val="0"/>
      <w:marBottom w:val="0"/>
      <w:divBdr>
        <w:top w:val="none" w:sz="0" w:space="0" w:color="auto"/>
        <w:left w:val="none" w:sz="0" w:space="0" w:color="auto"/>
        <w:bottom w:val="none" w:sz="0" w:space="0" w:color="auto"/>
        <w:right w:val="none" w:sz="0" w:space="0" w:color="auto"/>
      </w:divBdr>
      <w:divsChild>
        <w:div w:id="599990021">
          <w:marLeft w:val="0"/>
          <w:marRight w:val="0"/>
          <w:marTop w:val="0"/>
          <w:marBottom w:val="0"/>
          <w:divBdr>
            <w:top w:val="single" w:sz="2" w:space="0" w:color="D9D9E3"/>
            <w:left w:val="single" w:sz="2" w:space="0" w:color="D9D9E3"/>
            <w:bottom w:val="single" w:sz="2" w:space="0" w:color="D9D9E3"/>
            <w:right w:val="single" w:sz="2" w:space="0" w:color="D9D9E3"/>
          </w:divBdr>
          <w:divsChild>
            <w:div w:id="1469669036">
              <w:marLeft w:val="0"/>
              <w:marRight w:val="0"/>
              <w:marTop w:val="100"/>
              <w:marBottom w:val="100"/>
              <w:divBdr>
                <w:top w:val="single" w:sz="2" w:space="0" w:color="D9D9E3"/>
                <w:left w:val="single" w:sz="2" w:space="0" w:color="D9D9E3"/>
                <w:bottom w:val="single" w:sz="2" w:space="0" w:color="D9D9E3"/>
                <w:right w:val="single" w:sz="2" w:space="0" w:color="D9D9E3"/>
              </w:divBdr>
              <w:divsChild>
                <w:div w:id="68355278">
                  <w:marLeft w:val="0"/>
                  <w:marRight w:val="0"/>
                  <w:marTop w:val="0"/>
                  <w:marBottom w:val="0"/>
                  <w:divBdr>
                    <w:top w:val="single" w:sz="2" w:space="0" w:color="D9D9E3"/>
                    <w:left w:val="single" w:sz="2" w:space="0" w:color="D9D9E3"/>
                    <w:bottom w:val="single" w:sz="2" w:space="0" w:color="D9D9E3"/>
                    <w:right w:val="single" w:sz="2" w:space="0" w:color="D9D9E3"/>
                  </w:divBdr>
                  <w:divsChild>
                    <w:div w:id="1903638645">
                      <w:marLeft w:val="0"/>
                      <w:marRight w:val="0"/>
                      <w:marTop w:val="0"/>
                      <w:marBottom w:val="0"/>
                      <w:divBdr>
                        <w:top w:val="single" w:sz="2" w:space="0" w:color="D9D9E3"/>
                        <w:left w:val="single" w:sz="2" w:space="0" w:color="D9D9E3"/>
                        <w:bottom w:val="single" w:sz="2" w:space="0" w:color="D9D9E3"/>
                        <w:right w:val="single" w:sz="2" w:space="0" w:color="D9D9E3"/>
                      </w:divBdr>
                      <w:divsChild>
                        <w:div w:id="1857116673">
                          <w:marLeft w:val="0"/>
                          <w:marRight w:val="0"/>
                          <w:marTop w:val="0"/>
                          <w:marBottom w:val="0"/>
                          <w:divBdr>
                            <w:top w:val="single" w:sz="2" w:space="0" w:color="D9D9E3"/>
                            <w:left w:val="single" w:sz="2" w:space="0" w:color="D9D9E3"/>
                            <w:bottom w:val="single" w:sz="2" w:space="0" w:color="D9D9E3"/>
                            <w:right w:val="single" w:sz="2" w:space="0" w:color="D9D9E3"/>
                          </w:divBdr>
                          <w:divsChild>
                            <w:div w:id="1299720531">
                              <w:marLeft w:val="0"/>
                              <w:marRight w:val="0"/>
                              <w:marTop w:val="0"/>
                              <w:marBottom w:val="0"/>
                              <w:divBdr>
                                <w:top w:val="single" w:sz="2" w:space="0" w:color="D9D9E3"/>
                                <w:left w:val="single" w:sz="2" w:space="0" w:color="D9D9E3"/>
                                <w:bottom w:val="single" w:sz="2" w:space="0" w:color="D9D9E3"/>
                                <w:right w:val="single" w:sz="2" w:space="0" w:color="D9D9E3"/>
                              </w:divBdr>
                              <w:divsChild>
                                <w:div w:id="1440569819">
                                  <w:marLeft w:val="0"/>
                                  <w:marRight w:val="0"/>
                                  <w:marTop w:val="0"/>
                                  <w:marBottom w:val="0"/>
                                  <w:divBdr>
                                    <w:top w:val="single" w:sz="2" w:space="0" w:color="D9D9E3"/>
                                    <w:left w:val="single" w:sz="2" w:space="0" w:color="D9D9E3"/>
                                    <w:bottom w:val="single" w:sz="2" w:space="0" w:color="D9D9E3"/>
                                    <w:right w:val="single" w:sz="2" w:space="0" w:color="D9D9E3"/>
                                  </w:divBdr>
                                  <w:divsChild>
                                    <w:div w:id="10651094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0588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zysztof.kowalik.uro@gmail.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33850351/"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doi.org/10.1016/j.euf.2015.09.005"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oi.org/10.1002/14651858.CD012045.pub2"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81B54-AC1F-4EA6-B2EB-E1BAABB3C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7314</TotalTime>
  <Pages>21</Pages>
  <Words>4893</Words>
  <Characters>29359</Characters>
  <Application>Microsoft Office Word</Application>
  <DocSecurity>0</DocSecurity>
  <Lines>244</Lines>
  <Paragraphs>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dc:creator>
  <cp:keywords/>
  <dc:description/>
  <cp:lastModifiedBy>Konto Microsoft</cp:lastModifiedBy>
  <cp:revision>14</cp:revision>
  <dcterms:created xsi:type="dcterms:W3CDTF">2024-05-27T23:06:00Z</dcterms:created>
  <dcterms:modified xsi:type="dcterms:W3CDTF">2024-07-03T20:27:00Z</dcterms:modified>
</cp:coreProperties>
</file>