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D0" w:rsidRPr="00C36FD0" w:rsidRDefault="00C36FD0" w:rsidP="00C36FD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references 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Gouw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AA,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Seewann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A, van der Flier WM,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Barkhof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Rozemuller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AM,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Scheltens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Geurts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JJ. Heterogeneity of small vessel disease: a systematic review of MRI and histopathology correlations. J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Neurol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Neurosurg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Psychiatry. 2011 Feb;82(2):126-35.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Haller S,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Montandon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ML,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Lazeyras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Scheffler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M, Meckel S, Herrmann FR, Giannakopoulos P,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Kövari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E. Radiologic-Histopathologic Correlation of Cerebral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Using Pre-Mortem and Post-Mortem MRI.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PLoS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One. 2016 Dec </w:t>
      </w:r>
      <w:bookmarkStart w:id="0" w:name="_GoBack"/>
      <w:bookmarkEnd w:id="0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9;11(12):e0167743. 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Wardlaw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JM, Smith EE,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Biessels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GJ,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Cordonnier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Fazekas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F, Frayne R, et al on behalf of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STandards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ReportIng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Vascular changes on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nEuroimaging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(STRIVE v1). Neuroimaging standards for research into small vessel disease and its contribution to ageing and neurodegeneration. 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Lancet.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Neurology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2013; 12(8): 822–838.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Romero JR,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Preis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SR,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Beiser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A, </w:t>
      </w:r>
      <w:bookmarkStart w:id="1" w:name="_Hlk68169893"/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DeCarli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C, Viswanathan A, Martinez-Ramirez S, </w:t>
      </w:r>
      <w:bookmarkEnd w:id="1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et al. Risk factors, stroke prevention treatments, and prevalence of cerebral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the Framingham Heart Study.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Stroke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. 2014;45(5):1492-1494.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bookmarkStart w:id="2" w:name="_Hlk68170873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Graff-Radford J, Botha H,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Rabinstein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AA, Gunter JL,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Przybelski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SA,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Lesnick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T. Cerebral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Prevalence and relationship to amyloid burden. Neurology. 2019;92(3):e253-e262. 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Xu X, Chan QL,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Hilal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S, Goh WK,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Ikram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MK, Wong TY, et al. Cerebral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neuropsychiatric symptoms in an elderly Asian cohort. J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Neurol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Neurosurg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Psychiatry 2017;88(1):7-11. </w:t>
      </w:r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Ham JH, Yi H,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Sunwoo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MK, Hong JY,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Sohn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YH, Lee PH. Cerebral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patients with Parkinson's disease. 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Neurol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2014;261(8):1628-1635. 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de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Laat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KF,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Tuladhar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AM, van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Norden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AG, Norris DG,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Zwiers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MP, de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Leeuw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FE. Loss of white matter integrity is associated with gait disorders in cerebral small vessel disease. 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Brain 2011;134(Pt 1):73-83.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68198249"/>
      <w:bookmarkEnd w:id="2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Shams S,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Wahlund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LO. Cerebral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as a biomarker in Alzheimer's disease? 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review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field.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Biomark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 2016;10(1):9-18.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Yates PA,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Sirisriro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Villemagne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VL, Farquharson S, Masters CL, Rowe CC; AIBL Research Group. Cerebral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microhemorrhage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brain 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-amyloid in aging and Alzheimer disease. Neurology 2011;77(1):48-54.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Pettersen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JA,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Sathiyamoorthy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G, Gao FQ,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Szilagyi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Nadkarni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NK, St George-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Hyslop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P, et al.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topography,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leukoaraiosis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and cognition in probable Alzheimer disease from the Sunnybrook dementia study. Arch Neurol. 2008;65(6):790-795. 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Nagasawa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Kiyozaka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T, Ikeda K. Prevalence and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clinicoradiological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analyses of patients with Alzheimer disease coexisting multiple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J Stroke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Cerebrovasc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Dis 2014;23(9):2444-2449. 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Park JH,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Seo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SW, Kim C, Kim GH,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Noh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HJ, Kim ST, et al. 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Pathogenesis of cerebral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In vivo imaging of amyloid and subcortical ischemic small vessel disease in 226 individuals with cognitive impairment. 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Ann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Neurol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2013;73(5):584-593. </w:t>
      </w:r>
    </w:p>
    <w:bookmarkEnd w:id="3"/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Caplan LR.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C36FD0">
        <w:rPr>
          <w:rFonts w:ascii="Times New Roman" w:hAnsi="Times New Roman" w:cs="Times New Roman"/>
          <w:sz w:val="24"/>
          <w:szCs w:val="24"/>
          <w:lang w:val="en-US"/>
        </w:rPr>
        <w:t>Circulation 2015;132:479-480.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75173899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Graff-Radford J,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Lesnick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Rabinstein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AA, Gunter JL,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Przybelski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SA,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Noseworthy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PA, et al. Cerebral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Relationship to Antithrombotic Medications.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Stroke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. 2021 May 10:STROKEAHA120031515. 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Best JG, Ambler G, Wilson D, Lee KJ, Lim JS,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Shiozawa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M, et al.;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International Collaborative Network. Development of imaging-based risk scores for prediction of intracranial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haemorrhage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ischaemic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stroke in patients taking 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antithrombotic therapy after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ischaemic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stroke or transient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ischaemic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attack: a pooled analysis of individual patient data from cohort studies. Lancet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Neurol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2021;20(4):294-303.</w:t>
      </w:r>
    </w:p>
    <w:bookmarkEnd w:id="4"/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Greenberg SM. Cerebral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prediction of intracranial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haemorrhage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Lancet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Neurol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2021;20(4):252-254.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Gregoire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SM, Chaudhary UJ, Brown MM, </w:t>
      </w:r>
      <w:r w:rsidRPr="00C36FD0">
        <w:rPr>
          <w:rStyle w:val="comma"/>
          <w:rFonts w:ascii="Segoe UI" w:hAnsi="Segoe UI" w:cs="Segoe UI"/>
          <w:shd w:val="clear" w:color="auto" w:fill="FFFFFF"/>
          <w:lang w:val="en-US"/>
        </w:rPr>
        <w:t> </w:t>
      </w:r>
      <w:proofErr w:type="spellStart"/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 xml:space="preserve"> HYPERLINK "https://pubmed.ncbi.nlm.nih.gov/?term=Yousry+TA&amp;cauthor_id=19933977" </w:instrText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C36FD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Yousry</w:t>
      </w:r>
      <w:proofErr w:type="spellEnd"/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TA</w:t>
      </w:r>
      <w:r w:rsidRPr="00C36FD0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proofErr w:type="spellStart"/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 xml:space="preserve"> HYPERLINK "https://pubmed.ncbi.nlm.nih.gov/?term=Kallis+C&amp;cauthor_id=19933977" </w:instrText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C36FD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Kallis</w:t>
      </w:r>
      <w:proofErr w:type="spellEnd"/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</w:t>
      </w:r>
      <w:r w:rsidRPr="00C36FD0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proofErr w:type="spellStart"/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 xml:space="preserve"> HYPERLINK "https://pubmed.ncbi.nlm.nih.gov/?term=J%C3%A4ger+HR&amp;cauthor_id=19933977" </w:instrText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C36FD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Jäger</w:t>
      </w:r>
      <w:proofErr w:type="spellEnd"/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HR</w:t>
      </w:r>
      <w:r w:rsidRPr="00C36FD0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C36FD0">
        <w:rPr>
          <w:rStyle w:val="comma"/>
          <w:rFonts w:ascii="Segoe UI" w:hAnsi="Segoe UI" w:cs="Segoe UI"/>
          <w:shd w:val="clear" w:color="auto" w:fill="FFFFFF"/>
          <w:lang w:val="en-US"/>
        </w:rPr>
        <w:t> </w:t>
      </w:r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et al. The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Microbleed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Anatomical Rating Scale (MARS): reliability of a tool to map brain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>. Neurology 2009;73:1759-1766.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Cordonnier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C, Potter GM, Jackson CA,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Doubal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F, Keir S,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Sudlow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CL, </w:t>
      </w:r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et al. Improving inter-observer agreement about brain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microbleeds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: development of the Brain Observer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MicroBleed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Scale (BOMBS). Stroke 2009;40:94-99.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Rietbrock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Heeley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E, Plumb J, van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Staa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T. Chronic atrial fibrillation: Incidence, prevalence, and prediction of stroke using the Congestive heart failure, Hypertension, Age &gt;75, Diabetes mellitus, and prior Stroke or transient ischemic attack (CHADS2) risk stratification scheme. Am Heart J 2008;156(1):57-64.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Joundi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RA,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Cipriano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LE,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Sposato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Saposnik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G; Stroke Outcomes Research Working Group. Ischemic Stroke Risk in Patients With Atrial Fibrillation and CHA2DS2-VASc Score of 1: Systematic Review and Meta-Analysis.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Stroke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2016;47(5):1364-1367.</w:t>
      </w:r>
      <w:r w:rsidRPr="00C36FD0">
        <w:rPr>
          <w:rFonts w:ascii="Segoe UI" w:hAnsi="Segoe UI" w:cs="Segoe UI"/>
          <w:shd w:val="clear" w:color="auto" w:fill="FFFFFF"/>
        </w:rPr>
        <w:t> 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Gallego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Roldán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Torregrosa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JM,</w:t>
      </w:r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tooltip="Josefa Gálvez" w:history="1">
        <w:proofErr w:type="spellStart"/>
        <w:r w:rsidRPr="00C36FD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Gálvez</w:t>
        </w:r>
        <w:proofErr w:type="spellEnd"/>
      </w:hyperlink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hyperlink r:id="rId6" w:tooltip="Mariano Valdés" w:history="1">
        <w:r w:rsidRPr="00C36FD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Valdés</w:t>
        </w:r>
      </w:hyperlink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hyperlink r:id="rId7" w:tooltip="Vicente Vicente" w:history="1">
        <w:r w:rsidRPr="00C36FD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Vicente</w:t>
        </w:r>
      </w:hyperlink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V, et al. 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Relation of the HAS-BLED bleeding risk score to major bleeding, cardiovascular events, and mortality in anticoagulated patients with atrial fibrillation. 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Circ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Arrhythm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Electrophysiol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2012;52:312-318.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Apostolakis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S, Lane DA,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Guo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Y, Buller H, Lip GY. </w:t>
      </w:r>
      <w:r w:rsidRPr="00C36FD0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Performance of the HEMORR(2)HAGES, ATRIA, and HAS-BLED bleeding risk-prediction scores in </w:t>
      </w:r>
      <w:r w:rsidRPr="00C36FD0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patients with atrial fibrillation undergoing anticoagulation: the AMADEUS (evaluating the use of SR34006 compared to warfarin or </w:t>
      </w:r>
      <w:proofErr w:type="spellStart"/>
      <w:r w:rsidRPr="00C36FD0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acenocoumarol</w:t>
      </w:r>
      <w:proofErr w:type="spellEnd"/>
      <w:r w:rsidRPr="00C36FD0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patients with atrial fibrillation) study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r w:rsidRPr="00C36F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 xml:space="preserve">J Am </w:t>
      </w:r>
      <w:proofErr w:type="spellStart"/>
      <w:r w:rsidRPr="00C36F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Coll</w:t>
      </w:r>
      <w:proofErr w:type="spellEnd"/>
      <w:r w:rsidRPr="00C36F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6F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Cardiol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 2012;</w:t>
      </w:r>
      <w:r w:rsidRPr="00C36FD0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:861-867.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Steinberg BA,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Shrader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P, Kim S, </w:t>
      </w:r>
      <w:hyperlink r:id="rId8" w:history="1">
        <w:r w:rsidRPr="00C36FD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Thomas</w:t>
        </w:r>
      </w:hyperlink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</w:t>
      </w:r>
      <w:r w:rsidRPr="00C36FD0">
        <w:rPr>
          <w:rStyle w:val="author-sup-separator"/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C36FD0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proofErr w:type="spellStart"/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 xml:space="preserve"> HYPERLINK "https://pubmed.ncbi.nlm.nih.gov/?term=Fonarow+GC&amp;cauthor_id=27823686" </w:instrText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C36FD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Fonarow</w:t>
      </w:r>
      <w:proofErr w:type="spellEnd"/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GC</w:t>
      </w:r>
      <w:r w:rsidRPr="00C36FD0">
        <w:rPr>
          <w:rStyle w:val="author-sup-separator"/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C36FD0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9" w:history="1">
        <w:r w:rsidRPr="00C36FD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Ansell</w:t>
        </w:r>
      </w:hyperlink>
      <w:r w:rsidRPr="00C36FD0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et al. How well does physician risk assessment predict stroke and bleeding in atrial fibrillation? Results from the Outcomes Registry for Better Informed Treatment of Atrial Fibrillation (ORBIT-AF). </w:t>
      </w:r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>Heart</w:t>
      </w:r>
      <w:proofErr w:type="spellEnd"/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 2016;181:145-152.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Fisher M. MRI Screening for Chronic Anticoagulation in Atrial Fibrillation. </w:t>
      </w:r>
      <w:hyperlink r:id="rId10" w:history="1">
        <w:r w:rsidRPr="00C36FD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Front </w:t>
        </w:r>
        <w:proofErr w:type="spellStart"/>
        <w:r w:rsidRPr="00C36FD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Neurol</w:t>
        </w:r>
        <w:proofErr w:type="spellEnd"/>
      </w:hyperlink>
      <w:r w:rsidRPr="00C36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2013;4:137.</w:t>
      </w:r>
    </w:p>
    <w:p w:rsidR="00C36FD0" w:rsidRPr="00C36FD0" w:rsidRDefault="00C36FD0" w:rsidP="00C36F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Berge E,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Whiteley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W,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Audebert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H, De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Marchis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GM, Fonseca AC ,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Padiglioni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C, et al. European Stroke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(ESO) guidelines on intravenous thrombolysis for acute </w:t>
      </w:r>
      <w:proofErr w:type="spellStart"/>
      <w:r w:rsidRPr="00C36FD0">
        <w:rPr>
          <w:rFonts w:ascii="Times New Roman" w:hAnsi="Times New Roman" w:cs="Times New Roman"/>
          <w:sz w:val="24"/>
          <w:szCs w:val="24"/>
          <w:lang w:val="en-US"/>
        </w:rPr>
        <w:t>ischaemic</w:t>
      </w:r>
      <w:proofErr w:type="spellEnd"/>
      <w:r w:rsidRPr="00C36FD0">
        <w:rPr>
          <w:rFonts w:ascii="Times New Roman" w:hAnsi="Times New Roman" w:cs="Times New Roman"/>
          <w:sz w:val="24"/>
          <w:szCs w:val="24"/>
          <w:lang w:val="en-US"/>
        </w:rPr>
        <w:t xml:space="preserve"> stroke. European Stroke Journal 2021;</w:t>
      </w:r>
      <w:r w:rsidRPr="00C36FD0">
        <w:rPr>
          <w:rFonts w:ascii="Times New Roman" w:hAnsi="Times New Roman" w:cs="Times New Roman"/>
          <w:sz w:val="24"/>
          <w:szCs w:val="24"/>
        </w:rPr>
        <w:t>0(0):1–62. DOI: 10.1177/2396987321989865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FD0" w:rsidRPr="00C36FD0" w:rsidRDefault="00C36FD0" w:rsidP="00C36FD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3D9B" w:rsidRPr="00C36FD0" w:rsidRDefault="00293D9B"/>
    <w:sectPr w:rsidR="00293D9B" w:rsidRPr="00C3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5247D"/>
    <w:multiLevelType w:val="hybridMultilevel"/>
    <w:tmpl w:val="3790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0"/>
    <w:rsid w:val="00051190"/>
    <w:rsid w:val="00061500"/>
    <w:rsid w:val="000909FD"/>
    <w:rsid w:val="000B669C"/>
    <w:rsid w:val="00293D9B"/>
    <w:rsid w:val="00362DD7"/>
    <w:rsid w:val="003D1CB0"/>
    <w:rsid w:val="004410C1"/>
    <w:rsid w:val="0068101C"/>
    <w:rsid w:val="007302EE"/>
    <w:rsid w:val="0079406C"/>
    <w:rsid w:val="0084154C"/>
    <w:rsid w:val="00843013"/>
    <w:rsid w:val="00901B8A"/>
    <w:rsid w:val="009558C0"/>
    <w:rsid w:val="00B46B3A"/>
    <w:rsid w:val="00C36FD0"/>
    <w:rsid w:val="00D073D6"/>
    <w:rsid w:val="00DB5F4F"/>
    <w:rsid w:val="00E54E2C"/>
    <w:rsid w:val="00F3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59EE-9AD2-41DA-BB5D-A0FAFFD2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6F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6FD0"/>
    <w:pPr>
      <w:ind w:left="720"/>
      <w:contextualSpacing/>
    </w:pPr>
  </w:style>
  <w:style w:type="character" w:customStyle="1" w:styleId="ref-journal">
    <w:name w:val="ref-journal"/>
    <w:basedOn w:val="Domylnaczcionkaakapitu"/>
    <w:rsid w:val="00C36FD0"/>
  </w:style>
  <w:style w:type="character" w:customStyle="1" w:styleId="ref-vol">
    <w:name w:val="ref-vol"/>
    <w:basedOn w:val="Domylnaczcionkaakapitu"/>
    <w:rsid w:val="00C36FD0"/>
  </w:style>
  <w:style w:type="character" w:customStyle="1" w:styleId="authors-list-item">
    <w:name w:val="authors-list-item"/>
    <w:basedOn w:val="Domylnaczcionkaakapitu"/>
    <w:rsid w:val="00C36FD0"/>
  </w:style>
  <w:style w:type="character" w:customStyle="1" w:styleId="comma">
    <w:name w:val="comma"/>
    <w:basedOn w:val="Domylnaczcionkaakapitu"/>
    <w:rsid w:val="00C36FD0"/>
  </w:style>
  <w:style w:type="character" w:customStyle="1" w:styleId="author-sup-separator">
    <w:name w:val="author-sup-separator"/>
    <w:basedOn w:val="Domylnaczcionkaakapitu"/>
    <w:rsid w:val="00C36FD0"/>
  </w:style>
  <w:style w:type="character" w:customStyle="1" w:styleId="ref-title">
    <w:name w:val="ref-title"/>
    <w:basedOn w:val="Domylnaczcionkaakapitu"/>
    <w:rsid w:val="00C3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Thomas+L&amp;cauthor_id=27823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hajournals.org/doi/10.1161/CIRCEP.111.967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hajournals.org/doi/10.1161/CIRCEP.111.967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hajournals.org/doi/10.1161/CIRCEP.111.967000" TargetMode="External"/><Relationship Id="rId10" Type="http://schemas.openxmlformats.org/officeDocument/2006/relationships/hyperlink" Target="https://www.ncbi.nlm.nih.gov/pmc/articles/PMC37901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Ansell+J&amp;cauthor_id=278236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Czarnocka</dc:creator>
  <cp:keywords/>
  <dc:description/>
  <cp:lastModifiedBy>Dorota Czarnocka</cp:lastModifiedBy>
  <cp:revision>1</cp:revision>
  <dcterms:created xsi:type="dcterms:W3CDTF">2021-08-12T09:38:00Z</dcterms:created>
  <dcterms:modified xsi:type="dcterms:W3CDTF">2021-08-12T09:39:00Z</dcterms:modified>
</cp:coreProperties>
</file>