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802E" w14:textId="77777777" w:rsidR="008C2540" w:rsidRPr="00EC5A7E" w:rsidRDefault="008C2540" w:rsidP="008C2540">
      <w:pPr>
        <w:spacing w:line="480" w:lineRule="auto"/>
        <w:rPr>
          <w:rStyle w:val="EquationCaption"/>
          <w:rFonts w:ascii="Times New Roman" w:hAnsi="Times New Roman" w:cs="Times New Roman"/>
          <w:sz w:val="24"/>
          <w:szCs w:val="24"/>
        </w:rPr>
      </w:pPr>
      <w:r w:rsidRPr="00EC5A7E">
        <w:rPr>
          <w:rStyle w:val="EquationCaption"/>
          <w:rFonts w:ascii="Times New Roman" w:hAnsi="Times New Roman" w:cs="Times New Roman"/>
          <w:b/>
          <w:sz w:val="24"/>
          <w:szCs w:val="24"/>
        </w:rPr>
        <w:t xml:space="preserve">Supplemental Table 1. </w:t>
      </w:r>
      <w:bookmarkStart w:id="0" w:name="_Hlk36202642"/>
      <w:r w:rsidRPr="00EC5A7E">
        <w:rPr>
          <w:rStyle w:val="EquationCaption"/>
          <w:rFonts w:ascii="Times New Roman" w:hAnsi="Times New Roman" w:cs="Times New Roman"/>
          <w:sz w:val="24"/>
          <w:szCs w:val="24"/>
        </w:rPr>
        <w:t xml:space="preserve">Proportion of subjects attending each study visit by BoNT-A formulation 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140"/>
        <w:gridCol w:w="2649"/>
        <w:gridCol w:w="2630"/>
        <w:gridCol w:w="2610"/>
        <w:gridCol w:w="1929"/>
      </w:tblGrid>
      <w:tr w:rsidR="008C2540" w:rsidRPr="00EC5A7E" w14:paraId="6459E029" w14:textId="77777777" w:rsidTr="000B4052">
        <w:trPr>
          <w:trHeight w:val="20"/>
          <w:tblHeader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</w:tcPr>
          <w:p w14:paraId="7E8A6FC6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visit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EF03EE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IncobotulinumtoxinA</w:t>
            </w:r>
          </w:p>
          <w:p w14:paraId="2F7684D3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465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0D25171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OnabotulinumtoxinA</w:t>
            </w:r>
            <w:proofErr w:type="spellEnd"/>
          </w:p>
          <w:p w14:paraId="4F8B3E22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142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DB6F5A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AbobotulinumtoxinA</w:t>
            </w:r>
            <w:proofErr w:type="spellEnd"/>
          </w:p>
          <w:p w14:paraId="1C4B90BC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80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FC4940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population</w:t>
            </w:r>
          </w:p>
          <w:p w14:paraId="7E92E4A1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701</w:t>
            </w:r>
          </w:p>
        </w:tc>
      </w:tr>
      <w:tr w:rsidR="008C2540" w:rsidRPr="00EC5A7E" w14:paraId="479715DB" w14:textId="77777777" w:rsidTr="000B4052">
        <w:trPr>
          <w:trHeight w:val="20"/>
        </w:trPr>
        <w:tc>
          <w:tcPr>
            <w:tcW w:w="1483" w:type="pct"/>
            <w:tcBorders>
              <w:top w:val="single" w:sz="4" w:space="0" w:color="auto"/>
            </w:tcBorders>
            <w:hideMark/>
          </w:tcPr>
          <w:p w14:paraId="66F95F7B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1, n (%)</w:t>
            </w:r>
            <w:r w:rsidRPr="00EC5A7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49" w:type="pct"/>
            <w:tcBorders>
              <w:top w:val="single" w:sz="4" w:space="0" w:color="auto"/>
            </w:tcBorders>
            <w:hideMark/>
          </w:tcPr>
          <w:p w14:paraId="07D0E2AE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456 (98.1)</w:t>
            </w:r>
          </w:p>
        </w:tc>
        <w:tc>
          <w:tcPr>
            <w:tcW w:w="942" w:type="pct"/>
            <w:tcBorders>
              <w:top w:val="single" w:sz="4" w:space="0" w:color="auto"/>
            </w:tcBorders>
            <w:hideMark/>
          </w:tcPr>
          <w:p w14:paraId="7394DD63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140 (98.6)</w:t>
            </w:r>
          </w:p>
        </w:tc>
        <w:tc>
          <w:tcPr>
            <w:tcW w:w="935" w:type="pct"/>
            <w:tcBorders>
              <w:top w:val="single" w:sz="4" w:space="0" w:color="auto"/>
            </w:tcBorders>
            <w:hideMark/>
          </w:tcPr>
          <w:p w14:paraId="30FE174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79 (98.8)</w:t>
            </w:r>
          </w:p>
        </w:tc>
        <w:tc>
          <w:tcPr>
            <w:tcW w:w="691" w:type="pct"/>
            <w:tcBorders>
              <w:top w:val="single" w:sz="4" w:space="0" w:color="auto"/>
            </w:tcBorders>
            <w:hideMark/>
          </w:tcPr>
          <w:p w14:paraId="1ED0B406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685 (97.7)</w:t>
            </w:r>
          </w:p>
        </w:tc>
      </w:tr>
      <w:tr w:rsidR="008C2540" w:rsidRPr="00EC5A7E" w14:paraId="4B20BF9E" w14:textId="77777777" w:rsidTr="000B4052">
        <w:trPr>
          <w:trHeight w:val="20"/>
        </w:trPr>
        <w:tc>
          <w:tcPr>
            <w:tcW w:w="1483" w:type="pct"/>
          </w:tcPr>
          <w:p w14:paraId="0A2E5DEF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2, n (%)</w:t>
            </w:r>
          </w:p>
        </w:tc>
        <w:tc>
          <w:tcPr>
            <w:tcW w:w="949" w:type="pct"/>
          </w:tcPr>
          <w:p w14:paraId="2FD65877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386 (83.0)</w:t>
            </w:r>
          </w:p>
        </w:tc>
        <w:tc>
          <w:tcPr>
            <w:tcW w:w="942" w:type="pct"/>
          </w:tcPr>
          <w:p w14:paraId="4D0CA160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111 (78.2)</w:t>
            </w:r>
          </w:p>
        </w:tc>
        <w:tc>
          <w:tcPr>
            <w:tcW w:w="935" w:type="pct"/>
          </w:tcPr>
          <w:p w14:paraId="7897B909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64 (80.0)</w:t>
            </w:r>
          </w:p>
        </w:tc>
        <w:tc>
          <w:tcPr>
            <w:tcW w:w="691" w:type="pct"/>
          </w:tcPr>
          <w:p w14:paraId="6FA29450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567 (80.9)</w:t>
            </w:r>
          </w:p>
        </w:tc>
      </w:tr>
      <w:tr w:rsidR="008C2540" w:rsidRPr="00EC5A7E" w14:paraId="6BFEE764" w14:textId="77777777" w:rsidTr="000B4052">
        <w:trPr>
          <w:trHeight w:val="20"/>
        </w:trPr>
        <w:tc>
          <w:tcPr>
            <w:tcW w:w="1483" w:type="pct"/>
          </w:tcPr>
          <w:p w14:paraId="4263E24C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3, n (%)</w:t>
            </w:r>
          </w:p>
        </w:tc>
        <w:tc>
          <w:tcPr>
            <w:tcW w:w="949" w:type="pct"/>
          </w:tcPr>
          <w:p w14:paraId="0CED458B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331 (71.2)</w:t>
            </w:r>
          </w:p>
        </w:tc>
        <w:tc>
          <w:tcPr>
            <w:tcW w:w="942" w:type="pct"/>
          </w:tcPr>
          <w:p w14:paraId="0591A75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91 (64.1)</w:t>
            </w:r>
          </w:p>
        </w:tc>
        <w:tc>
          <w:tcPr>
            <w:tcW w:w="935" w:type="pct"/>
          </w:tcPr>
          <w:p w14:paraId="3FCE414C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50 (62.5)</w:t>
            </w:r>
          </w:p>
        </w:tc>
        <w:tc>
          <w:tcPr>
            <w:tcW w:w="691" w:type="pct"/>
          </w:tcPr>
          <w:p w14:paraId="66ABE862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477 (68.0)</w:t>
            </w:r>
          </w:p>
        </w:tc>
      </w:tr>
      <w:tr w:rsidR="008C2540" w:rsidRPr="00EC5A7E" w14:paraId="5F83E4AF" w14:textId="77777777" w:rsidTr="000B4052">
        <w:trPr>
          <w:trHeight w:val="20"/>
        </w:trPr>
        <w:tc>
          <w:tcPr>
            <w:tcW w:w="1483" w:type="pct"/>
          </w:tcPr>
          <w:p w14:paraId="2CFFE7D5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4, n (%)</w:t>
            </w:r>
          </w:p>
        </w:tc>
        <w:tc>
          <w:tcPr>
            <w:tcW w:w="949" w:type="pct"/>
          </w:tcPr>
          <w:p w14:paraId="706D9DA2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276 (59.4)</w:t>
            </w:r>
          </w:p>
        </w:tc>
        <w:tc>
          <w:tcPr>
            <w:tcW w:w="942" w:type="pct"/>
          </w:tcPr>
          <w:p w14:paraId="38454617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70 (49.3)</w:t>
            </w:r>
          </w:p>
        </w:tc>
        <w:tc>
          <w:tcPr>
            <w:tcW w:w="935" w:type="pct"/>
          </w:tcPr>
          <w:p w14:paraId="549EAC1B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35 (43.8)</w:t>
            </w:r>
          </w:p>
        </w:tc>
        <w:tc>
          <w:tcPr>
            <w:tcW w:w="691" w:type="pct"/>
          </w:tcPr>
          <w:p w14:paraId="663D7A26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386 (55.1)</w:t>
            </w:r>
          </w:p>
        </w:tc>
      </w:tr>
      <w:tr w:rsidR="008C2540" w:rsidRPr="00EC5A7E" w14:paraId="78214BE0" w14:textId="77777777" w:rsidTr="000B4052">
        <w:trPr>
          <w:trHeight w:val="20"/>
        </w:trPr>
        <w:tc>
          <w:tcPr>
            <w:tcW w:w="1483" w:type="pct"/>
          </w:tcPr>
          <w:p w14:paraId="61E90874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5, n (%)</w:t>
            </w:r>
          </w:p>
        </w:tc>
        <w:tc>
          <w:tcPr>
            <w:tcW w:w="949" w:type="pct"/>
          </w:tcPr>
          <w:p w14:paraId="43F64626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234 (50.3)</w:t>
            </w:r>
          </w:p>
        </w:tc>
        <w:tc>
          <w:tcPr>
            <w:tcW w:w="942" w:type="pct"/>
          </w:tcPr>
          <w:p w14:paraId="59EDEAE2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47 (33.1)</w:t>
            </w:r>
          </w:p>
        </w:tc>
        <w:tc>
          <w:tcPr>
            <w:tcW w:w="935" w:type="pct"/>
          </w:tcPr>
          <w:p w14:paraId="1758BA18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24 (30.0)</w:t>
            </w:r>
          </w:p>
        </w:tc>
        <w:tc>
          <w:tcPr>
            <w:tcW w:w="691" w:type="pct"/>
          </w:tcPr>
          <w:p w14:paraId="41E7E3F7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309 (44.1)</w:t>
            </w:r>
          </w:p>
        </w:tc>
      </w:tr>
      <w:tr w:rsidR="008C2540" w:rsidRPr="00EC5A7E" w14:paraId="0B7F8754" w14:textId="77777777" w:rsidTr="000B4052">
        <w:trPr>
          <w:trHeight w:val="20"/>
        </w:trPr>
        <w:tc>
          <w:tcPr>
            <w:tcW w:w="1483" w:type="pct"/>
          </w:tcPr>
          <w:p w14:paraId="3068C5B7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6, n (%)</w:t>
            </w:r>
          </w:p>
        </w:tc>
        <w:tc>
          <w:tcPr>
            <w:tcW w:w="949" w:type="pct"/>
          </w:tcPr>
          <w:p w14:paraId="3E75C257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207 (44.5)</w:t>
            </w:r>
          </w:p>
        </w:tc>
        <w:tc>
          <w:tcPr>
            <w:tcW w:w="942" w:type="pct"/>
          </w:tcPr>
          <w:p w14:paraId="46AD5AAC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31 (21.8)</w:t>
            </w:r>
          </w:p>
        </w:tc>
        <w:tc>
          <w:tcPr>
            <w:tcW w:w="935" w:type="pct"/>
          </w:tcPr>
          <w:p w14:paraId="037C54E0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20 (25.0)</w:t>
            </w:r>
          </w:p>
        </w:tc>
        <w:tc>
          <w:tcPr>
            <w:tcW w:w="691" w:type="pct"/>
          </w:tcPr>
          <w:p w14:paraId="53D0C76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261 (37.2)</w:t>
            </w:r>
          </w:p>
        </w:tc>
      </w:tr>
      <w:tr w:rsidR="008C2540" w:rsidRPr="00EC5A7E" w14:paraId="6CE217BF" w14:textId="77777777" w:rsidTr="000B4052">
        <w:trPr>
          <w:trHeight w:val="20"/>
        </w:trPr>
        <w:tc>
          <w:tcPr>
            <w:tcW w:w="1483" w:type="pct"/>
          </w:tcPr>
          <w:p w14:paraId="3677561E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7, n (%)</w:t>
            </w:r>
          </w:p>
        </w:tc>
        <w:tc>
          <w:tcPr>
            <w:tcW w:w="949" w:type="pct"/>
          </w:tcPr>
          <w:p w14:paraId="1B2F8402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177 (38.1)</w:t>
            </w:r>
          </w:p>
        </w:tc>
        <w:tc>
          <w:tcPr>
            <w:tcW w:w="942" w:type="pct"/>
          </w:tcPr>
          <w:p w14:paraId="08E802AB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20 (14.1)</w:t>
            </w:r>
          </w:p>
        </w:tc>
        <w:tc>
          <w:tcPr>
            <w:tcW w:w="935" w:type="pct"/>
          </w:tcPr>
          <w:p w14:paraId="47BB079A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15 (18.8)</w:t>
            </w:r>
          </w:p>
        </w:tc>
        <w:tc>
          <w:tcPr>
            <w:tcW w:w="691" w:type="pct"/>
          </w:tcPr>
          <w:p w14:paraId="6D1F8299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214 (30.5)</w:t>
            </w:r>
          </w:p>
        </w:tc>
      </w:tr>
      <w:tr w:rsidR="008C2540" w:rsidRPr="00EC5A7E" w14:paraId="5157B418" w14:textId="77777777" w:rsidTr="000B4052">
        <w:trPr>
          <w:trHeight w:val="20"/>
        </w:trPr>
        <w:tc>
          <w:tcPr>
            <w:tcW w:w="1483" w:type="pct"/>
          </w:tcPr>
          <w:p w14:paraId="38B5F771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 8, n (%)</w:t>
            </w:r>
          </w:p>
        </w:tc>
        <w:tc>
          <w:tcPr>
            <w:tcW w:w="949" w:type="pct"/>
          </w:tcPr>
          <w:p w14:paraId="37E28A09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151 (32.5)</w:t>
            </w:r>
          </w:p>
        </w:tc>
        <w:tc>
          <w:tcPr>
            <w:tcW w:w="942" w:type="pct"/>
          </w:tcPr>
          <w:p w14:paraId="08D648E6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13 (9.2)</w:t>
            </w:r>
          </w:p>
        </w:tc>
        <w:tc>
          <w:tcPr>
            <w:tcW w:w="935" w:type="pct"/>
          </w:tcPr>
          <w:p w14:paraId="1FB759E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13 (16.3)</w:t>
            </w:r>
          </w:p>
        </w:tc>
        <w:tc>
          <w:tcPr>
            <w:tcW w:w="691" w:type="pct"/>
          </w:tcPr>
          <w:p w14:paraId="58019FAE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178 (25.4)</w:t>
            </w:r>
          </w:p>
        </w:tc>
      </w:tr>
      <w:tr w:rsidR="008C2540" w:rsidRPr="00EC5A7E" w14:paraId="258F51DC" w14:textId="77777777" w:rsidTr="000B4052">
        <w:trPr>
          <w:trHeight w:val="20"/>
        </w:trPr>
        <w:tc>
          <w:tcPr>
            <w:tcW w:w="1483" w:type="pct"/>
            <w:tcBorders>
              <w:bottom w:val="single" w:sz="4" w:space="0" w:color="auto"/>
            </w:tcBorders>
          </w:tcPr>
          <w:p w14:paraId="2CA4ED6A" w14:textId="77777777" w:rsidR="008C2540" w:rsidRPr="00EC5A7E" w:rsidRDefault="008C2540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Final </w:t>
            </w:r>
            <w:proofErr w:type="spellStart"/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visit,</w:t>
            </w:r>
            <w:r w:rsidRPr="00EC5A7E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b</w:t>
            </w:r>
            <w:proofErr w:type="spellEnd"/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 (%)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14:paraId="4E34B62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153 (32.9)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14:paraId="573DBEC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24 (16.9)</w:t>
            </w:r>
          </w:p>
        </w:tc>
        <w:tc>
          <w:tcPr>
            <w:tcW w:w="935" w:type="pct"/>
            <w:tcBorders>
              <w:bottom w:val="single" w:sz="4" w:space="0" w:color="auto"/>
            </w:tcBorders>
          </w:tcPr>
          <w:p w14:paraId="76CDB23C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17 (21.3)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4C3B99FD" w14:textId="77777777" w:rsidR="008C2540" w:rsidRPr="00EC5A7E" w:rsidRDefault="008C2540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196 (28.0)</w:t>
            </w:r>
          </w:p>
        </w:tc>
      </w:tr>
    </w:tbl>
    <w:p w14:paraId="06441B53" w14:textId="77777777" w:rsidR="008C2540" w:rsidRPr="00EC5A7E" w:rsidRDefault="008C2540" w:rsidP="008C2540">
      <w:pPr>
        <w:tabs>
          <w:tab w:val="left" w:pos="540"/>
        </w:tabs>
        <w:spacing w:before="160"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C5A7E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column includes subjects with a recorded injection, but for whom the BoNT-A formulation administered at the first injection was not reported; </w:t>
      </w: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C5A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final visit occurred at the end of the study, subjects did not receive an injection at this point and only those who returned for assessment were included in the analysis</w:t>
      </w:r>
    </w:p>
    <w:p w14:paraId="7DD8EDAE" w14:textId="77777777" w:rsidR="008C2540" w:rsidRPr="00EC5A7E" w:rsidRDefault="008C2540" w:rsidP="008C2540">
      <w:pPr>
        <w:tabs>
          <w:tab w:val="left" w:pos="540"/>
        </w:tabs>
        <w:spacing w:after="0" w:line="48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Percentages based on total subject populations</w:t>
      </w:r>
    </w:p>
    <w:p w14:paraId="062324B3" w14:textId="77777777" w:rsidR="003A0358" w:rsidRDefault="008C2540" w:rsidP="008C2540">
      <w:pPr>
        <w:tabs>
          <w:tab w:val="left" w:pos="540"/>
        </w:tabs>
        <w:spacing w:line="360" w:lineRule="auto"/>
        <w:ind w:left="540" w:hanging="540"/>
      </w:pPr>
      <w:r w:rsidRPr="00EC5A7E">
        <w:rPr>
          <w:rFonts w:ascii="Times New Roman" w:hAnsi="Times New Roman" w:cs="Times New Roman"/>
          <w:sz w:val="24"/>
          <w:szCs w:val="24"/>
        </w:rPr>
        <w:t>BoNT-A – botulinum neurotoxin type A; n – number of observations; N – total number of subjects</w:t>
      </w:r>
      <w:bookmarkStart w:id="1" w:name="_GoBack"/>
      <w:bookmarkEnd w:id="1"/>
    </w:p>
    <w:sectPr w:rsidR="003A0358" w:rsidSect="008C25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40"/>
    <w:rsid w:val="003A0358"/>
    <w:rsid w:val="008C2540"/>
    <w:rsid w:val="00C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9665"/>
  <w15:chartTrackingRefBased/>
  <w15:docId w15:val="{912D4C0E-1E8B-474B-8364-D2E3A924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sid w:val="008C2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FF9D6B5F196930458C53FD932E44CAF2" ma:contentTypeVersion="0" ma:contentTypeDescription="Create a new document." ma:contentTypeScope="" ma:versionID="bdb1305ddbe003c390824bd53c1a14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3DDCF-526E-470E-A802-503CB8601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5A63D3-80E4-46B2-86FA-C852E17C8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A795A-9621-4EE3-9A5F-FEAFA4DF4D3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2020-10-29T13:32:00Z</dcterms:created>
  <dcterms:modified xsi:type="dcterms:W3CDTF">2020-10-29T13:33:00Z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0x010100FA0963FA69A646AA916D2E41284FC10000FF9D6B5F196930458C53FD932E44CAF2</vt:lpwstr>
  </property>
</Properties>
</file>