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05" w:rsidRPr="00EC5A7E" w:rsidRDefault="00A11E05" w:rsidP="00A11E05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EC5A7E">
        <w:rPr>
          <w:rFonts w:ascii="Times New Roman" w:hAnsi="Times New Roman" w:cs="Times New Roman"/>
          <w:b/>
          <w:sz w:val="28"/>
          <w:szCs w:val="28"/>
        </w:rPr>
        <w:t>Spasticity in practice (SPACE), an international non-interventional study of botulinum neurotoxin type A in treatment-naïve subjects with spasticity</w:t>
      </w:r>
    </w:p>
    <w:p w:rsidR="00A11E05" w:rsidRDefault="00A11E05" w:rsidP="00A11E05">
      <w:pPr>
        <w:spacing w:after="0" w:line="480" w:lineRule="auto"/>
        <w:ind w:firstLine="27"/>
        <w:rPr>
          <w:rFonts w:ascii="Times New Roman" w:hAnsi="Times New Roman" w:cs="Times New Roman"/>
          <w:b/>
          <w:sz w:val="28"/>
          <w:szCs w:val="28"/>
        </w:rPr>
      </w:pPr>
    </w:p>
    <w:p w:rsidR="00A11E05" w:rsidRPr="00EC5A7E" w:rsidRDefault="00A11E05" w:rsidP="00A11E05">
      <w:pPr>
        <w:spacing w:after="0" w:line="480" w:lineRule="auto"/>
        <w:ind w:firstLine="27"/>
        <w:rPr>
          <w:rFonts w:ascii="Times New Roman" w:hAnsi="Times New Roman" w:cs="Times New Roman"/>
          <w:b/>
          <w:sz w:val="28"/>
          <w:szCs w:val="28"/>
        </w:rPr>
      </w:pPr>
      <w:r w:rsidRPr="00EC5A7E">
        <w:rPr>
          <w:rFonts w:ascii="Times New Roman" w:hAnsi="Times New Roman" w:cs="Times New Roman"/>
          <w:b/>
          <w:sz w:val="28"/>
          <w:szCs w:val="28"/>
        </w:rPr>
        <w:t xml:space="preserve">Supplemental </w:t>
      </w:r>
      <w:r>
        <w:rPr>
          <w:rFonts w:ascii="Times New Roman" w:hAnsi="Times New Roman" w:cs="Times New Roman"/>
          <w:b/>
          <w:sz w:val="28"/>
          <w:szCs w:val="28"/>
        </w:rPr>
        <w:t>data</w:t>
      </w:r>
    </w:p>
    <w:p w:rsidR="00A11E05" w:rsidRPr="00EC5A7E" w:rsidRDefault="00A11E05" w:rsidP="00A11E05">
      <w:pPr>
        <w:tabs>
          <w:tab w:val="left" w:pos="540"/>
        </w:tabs>
        <w:spacing w:after="0" w:line="480" w:lineRule="auto"/>
        <w:ind w:left="540" w:hanging="540"/>
        <w:rPr>
          <w:rFonts w:ascii="Times New Roman" w:hAnsi="Times New Roman" w:cs="Times New Roman"/>
          <w:b/>
          <w:sz w:val="24"/>
          <w:szCs w:val="24"/>
        </w:rPr>
      </w:pPr>
      <w:r w:rsidRPr="00EC5A7E">
        <w:rPr>
          <w:rFonts w:ascii="Times New Roman" w:hAnsi="Times New Roman" w:cs="Times New Roman"/>
          <w:b/>
          <w:sz w:val="24"/>
          <w:szCs w:val="24"/>
        </w:rPr>
        <w:t>Supplemental methods</w:t>
      </w:r>
    </w:p>
    <w:p w:rsidR="00A11E05" w:rsidRPr="00EC5A7E" w:rsidRDefault="00A11E05" w:rsidP="00A11E05">
      <w:pPr>
        <w:tabs>
          <w:tab w:val="left" w:pos="540"/>
        </w:tabs>
        <w:spacing w:after="0" w:line="480" w:lineRule="auto"/>
        <w:ind w:left="540" w:hanging="54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C5A7E">
        <w:rPr>
          <w:rFonts w:ascii="Times New Roman" w:hAnsi="Times New Roman" w:cs="Times New Roman"/>
          <w:b/>
          <w:i/>
          <w:sz w:val="24"/>
          <w:szCs w:val="24"/>
        </w:rPr>
        <w:t>HRQoL</w:t>
      </w:r>
      <w:proofErr w:type="spellEnd"/>
      <w:r w:rsidRPr="00EC5A7E">
        <w:rPr>
          <w:rFonts w:ascii="Times New Roman" w:hAnsi="Times New Roman" w:cs="Times New Roman"/>
          <w:b/>
          <w:i/>
          <w:sz w:val="24"/>
          <w:szCs w:val="24"/>
        </w:rPr>
        <w:t xml:space="preserve"> (SF-12)</w:t>
      </w:r>
    </w:p>
    <w:p w:rsidR="00A11E05" w:rsidRPr="00EC5A7E" w:rsidRDefault="00A11E05" w:rsidP="00A11E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C5A7E">
        <w:rPr>
          <w:rFonts w:ascii="Times New Roman" w:hAnsi="Times New Roman" w:cs="Times New Roman"/>
          <w:sz w:val="24"/>
          <w:szCs w:val="24"/>
        </w:rPr>
        <w:t>Health-related quality of life (</w:t>
      </w:r>
      <w:proofErr w:type="spellStart"/>
      <w:r w:rsidRPr="00EC5A7E">
        <w:rPr>
          <w:rFonts w:ascii="Times New Roman" w:hAnsi="Times New Roman" w:cs="Times New Roman"/>
          <w:sz w:val="24"/>
          <w:szCs w:val="24"/>
        </w:rPr>
        <w:t>HRQoL</w:t>
      </w:r>
      <w:proofErr w:type="spellEnd"/>
      <w:r w:rsidRPr="00EC5A7E">
        <w:rPr>
          <w:rFonts w:ascii="Times New Roman" w:hAnsi="Times New Roman" w:cs="Times New Roman"/>
          <w:sz w:val="24"/>
          <w:szCs w:val="24"/>
        </w:rPr>
        <w:t xml:space="preserve">) was additionally assessed using the 12-item Short-form (SF-12) Health Survey </w:t>
      </w:r>
      <w:r w:rsidRPr="00EC5A7E">
        <w:rPr>
          <w:rFonts w:ascii="Times New Roman" w:hAnsi="Times New Roman" w:cs="Times New Roman"/>
          <w:sz w:val="24"/>
          <w:szCs w:val="24"/>
        </w:rPr>
        <w:fldChar w:fldCharType="begin"/>
      </w:r>
      <w:r w:rsidRPr="00EC5A7E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&lt;EndNote&gt;&lt;Cite&gt;&lt;Author&gt;Ware&lt;/Author&gt;&lt;Year&gt;1996&lt;/Year&gt;&lt;RecNum&gt;94&lt;/RecNum&gt;&lt;DisplayText&gt;[30]&lt;/DisplayText&gt;&lt;record&gt;&lt;rec-number&gt;94&lt;/rec-number&gt;&lt;foreign-keys&gt;&lt;key app="EN" db-id="vr0razxeottwwoexff0xdd2k9vaztrdvt2tt" timestamp="1518608623"&gt;94&lt;/key&gt;&lt;/foreign-keys&gt;&lt;ref-type name="Journal Article"&gt;17&lt;/ref-type&gt;&lt;contributors&gt;&lt;authors&gt;&lt;author&gt;Ware, J., Jr.&lt;/author&gt;&lt;author&gt;Kosinski, M.&lt;/author&gt;&lt;author&gt;Keller, S.D.&lt;/author&gt;&lt;/authors&gt;&lt;/contributors&gt;&lt;auth-address&gt;Health Institute, New England Medical Center, Boston, Massachusetts, USA&lt;/auth-address&gt;&lt;titles&gt;&lt;title&gt;A 12-Item Short-Form Health Survey: construction of scales and preliminary tests of reliability and validity&lt;/title&gt;&lt;secondary-title&gt;Med Care&lt;/secondary-title&gt;&lt;/titles&gt;&lt;periodical&gt;&lt;full-title&gt;Med Care&lt;/full-title&gt;&lt;/periodical&gt;&lt;pages&gt;220-233&lt;/pages&gt;&lt;volume&gt;34&lt;/volume&gt;&lt;number&gt;3&lt;/number&gt;&lt;reprint-edition&gt;Not in File&lt;/reprint-edition&gt;&lt;keywords&gt;&lt;keyword&gt;Algorithms&lt;/keyword&gt;&lt;keyword&gt;Cross-Sectional Studies&lt;/keyword&gt;&lt;keyword&gt;England&lt;/keyword&gt;&lt;keyword&gt;epidemiology&lt;/keyword&gt;&lt;keyword&gt;Health Status&lt;/keyword&gt;&lt;keyword&gt;Health Surveys&lt;/keyword&gt;&lt;keyword&gt;Humans&lt;/keyword&gt;&lt;keyword&gt;Longitudinal Studies&lt;/keyword&gt;&lt;keyword&gt;Mental Health&lt;/keyword&gt;&lt;keyword&gt;methods&lt;/keyword&gt;&lt;keyword&gt;Outcome Assessment (Health Care)&lt;/keyword&gt;&lt;keyword&gt;Regression Analysis&lt;/keyword&gt;&lt;keyword&gt;Reproducibility of Results&lt;/keyword&gt;&lt;keyword&gt;United States&lt;/keyword&gt;&lt;/keywords&gt;&lt;dates&gt;&lt;year&gt;1996&lt;/year&gt;&lt;pub-dates&gt;&lt;date&gt;3/1996&lt;/date&gt;&lt;/pub-dates&gt;&lt;/dates&gt;&lt;label&gt;438&lt;/label&gt;&lt;urls&gt;&lt;related-urls&gt;&lt;url&gt;http://www.ncbi.nlm.nih.gov/pubmed/8628042&lt;/url&gt;&lt;/related-urls&gt;&lt;/urls&gt;&lt;electronic-resource-num&gt;doi: 10.1097/00005650-199603000-00003&lt;/electronic-resource-num&gt;&lt;/record&gt;&lt;/Cite&gt;&lt;/EndNote&gt;</w:instrText>
      </w:r>
      <w:r w:rsidRPr="00EC5A7E">
        <w:rPr>
          <w:rFonts w:ascii="Times New Roman" w:hAnsi="Times New Roman" w:cs="Times New Roman"/>
          <w:sz w:val="24"/>
          <w:szCs w:val="24"/>
        </w:rPr>
        <w:fldChar w:fldCharType="separate"/>
      </w:r>
      <w:r w:rsidRPr="00EC5A7E">
        <w:rPr>
          <w:rFonts w:ascii="Times New Roman" w:hAnsi="Times New Roman" w:cs="Times New Roman"/>
          <w:noProof/>
          <w:sz w:val="24"/>
          <w:szCs w:val="24"/>
        </w:rPr>
        <w:t>[30]</w:t>
      </w:r>
      <w:r w:rsidRPr="00EC5A7E">
        <w:rPr>
          <w:rFonts w:ascii="Times New Roman" w:hAnsi="Times New Roman" w:cs="Times New Roman"/>
          <w:sz w:val="24"/>
          <w:szCs w:val="24"/>
        </w:rPr>
        <w:fldChar w:fldCharType="end"/>
      </w:r>
      <w:r w:rsidRPr="00EC5A7E">
        <w:rPr>
          <w:rFonts w:ascii="Times New Roman" w:hAnsi="Times New Roman" w:cs="Times New Roman"/>
          <w:sz w:val="24"/>
          <w:szCs w:val="24"/>
        </w:rPr>
        <w:t xml:space="preserve">. Subjects completed the SF-12 questionnaires at their study centres during each injection visit and at home 4 weeks after the injection. </w:t>
      </w:r>
    </w:p>
    <w:p w:rsidR="00A11E05" w:rsidRPr="00EC5A7E" w:rsidRDefault="00A11E05" w:rsidP="00A11E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11E05" w:rsidRPr="00EC5A7E" w:rsidRDefault="00A11E05" w:rsidP="00A11E05">
      <w:pPr>
        <w:tabs>
          <w:tab w:val="left" w:pos="540"/>
        </w:tabs>
        <w:spacing w:after="0" w:line="480" w:lineRule="auto"/>
        <w:ind w:left="540" w:hanging="54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C5A7E">
        <w:rPr>
          <w:rFonts w:ascii="Times New Roman" w:hAnsi="Times New Roman" w:cs="Times New Roman"/>
          <w:b/>
          <w:i/>
          <w:sz w:val="24"/>
          <w:szCs w:val="24"/>
        </w:rPr>
        <w:t>HRQoL</w:t>
      </w:r>
      <w:proofErr w:type="spellEnd"/>
      <w:r w:rsidRPr="00EC5A7E">
        <w:rPr>
          <w:rFonts w:ascii="Times New Roman" w:hAnsi="Times New Roman" w:cs="Times New Roman"/>
          <w:b/>
          <w:i/>
          <w:sz w:val="24"/>
          <w:szCs w:val="24"/>
        </w:rPr>
        <w:t xml:space="preserve"> (EQ-5D dimensions)</w:t>
      </w:r>
    </w:p>
    <w:p w:rsidR="00A11E05" w:rsidRPr="00EC5A7E" w:rsidRDefault="00A11E05" w:rsidP="00A11E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C5A7E">
        <w:rPr>
          <w:rFonts w:ascii="Times New Roman" w:hAnsi="Times New Roman" w:cs="Times New Roman"/>
          <w:sz w:val="24"/>
          <w:szCs w:val="24"/>
        </w:rPr>
        <w:t>For each dimension of the EQ-5D descriptive system (Mobility, Self-care, Usual activities, Pain/discomfort and Anxiety/depression), subjects selected the statement that best described their health state on that day: no problems reported (normal condition, score 1), some problems reported (moderate impairment, score 2) and extreme problems reported (severe impairment, score 3).</w:t>
      </w:r>
    </w:p>
    <w:p w:rsidR="00A11E05" w:rsidRDefault="00A11E05">
      <w:r>
        <w:br w:type="page"/>
      </w:r>
    </w:p>
    <w:p w:rsidR="00A11E05" w:rsidRDefault="00A11E05" w:rsidP="00A11E0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Supplemental Figure legends</w:t>
      </w:r>
    </w:p>
    <w:p w:rsidR="00A11E05" w:rsidRDefault="00A11E05" w:rsidP="00A11E0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11E05" w:rsidRPr="00EC5A7E" w:rsidRDefault="00A11E05" w:rsidP="00A11E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C5A7E">
        <w:rPr>
          <w:rFonts w:ascii="Times New Roman" w:hAnsi="Times New Roman" w:cs="Times New Roman"/>
          <w:b/>
          <w:sz w:val="24"/>
          <w:szCs w:val="24"/>
        </w:rPr>
        <w:t xml:space="preserve">Supplemental Figure 1. </w:t>
      </w:r>
      <w:bookmarkStart w:id="0" w:name="_Hlk36202695"/>
      <w:r w:rsidRPr="00EC5A7E">
        <w:rPr>
          <w:rFonts w:ascii="Times New Roman" w:hAnsi="Times New Roman" w:cs="Times New Roman"/>
          <w:sz w:val="24"/>
          <w:szCs w:val="24"/>
        </w:rPr>
        <w:t>Subject disposition at study baseline, and documented discontinuations</w:t>
      </w:r>
    </w:p>
    <w:bookmarkEnd w:id="0"/>
    <w:p w:rsidR="00CD359C" w:rsidRDefault="00CD359C" w:rsidP="00A11E05">
      <w:pPr>
        <w:spacing w:line="480" w:lineRule="auto"/>
      </w:pPr>
    </w:p>
    <w:p w:rsidR="00A11E05" w:rsidRPr="00EC5A7E" w:rsidRDefault="00A11E05" w:rsidP="00A11E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5A7E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EC5A7E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EC5A7E">
        <w:rPr>
          <w:rFonts w:ascii="Times New Roman" w:hAnsi="Times New Roman" w:cs="Times New Roman"/>
          <w:sz w:val="24"/>
          <w:szCs w:val="24"/>
        </w:rPr>
        <w:t xml:space="preserve"> subjects who received ≥1 injection of </w:t>
      </w:r>
      <w:proofErr w:type="spellStart"/>
      <w:r w:rsidRPr="00EC5A7E">
        <w:rPr>
          <w:rFonts w:ascii="Times New Roman" w:hAnsi="Times New Roman" w:cs="Times New Roman"/>
          <w:sz w:val="24"/>
          <w:szCs w:val="24"/>
        </w:rPr>
        <w:t>BoNT</w:t>
      </w:r>
      <w:proofErr w:type="spellEnd"/>
      <w:r w:rsidRPr="00EC5A7E">
        <w:rPr>
          <w:rFonts w:ascii="Times New Roman" w:hAnsi="Times New Roman" w:cs="Times New Roman"/>
          <w:sz w:val="24"/>
          <w:szCs w:val="24"/>
        </w:rPr>
        <w:t xml:space="preserve">-A during the study; </w:t>
      </w:r>
      <w:proofErr w:type="spellStart"/>
      <w:r w:rsidRPr="00EC5A7E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EC5A7E">
        <w:rPr>
          <w:rFonts w:ascii="Times New Roman" w:hAnsi="Times New Roman" w:cs="Times New Roman"/>
          <w:sz w:val="24"/>
          <w:szCs w:val="24"/>
        </w:rPr>
        <w:t>includes</w:t>
      </w:r>
      <w:proofErr w:type="spellEnd"/>
      <w:r w:rsidRPr="00EC5A7E">
        <w:rPr>
          <w:rFonts w:ascii="Times New Roman" w:hAnsi="Times New Roman" w:cs="Times New Roman"/>
          <w:sz w:val="24"/>
          <w:szCs w:val="24"/>
        </w:rPr>
        <w:t xml:space="preserve"> subjects in the safety population with no reported </w:t>
      </w:r>
      <w:proofErr w:type="spellStart"/>
      <w:r w:rsidRPr="00EC5A7E">
        <w:rPr>
          <w:rFonts w:ascii="Times New Roman" w:hAnsi="Times New Roman" w:cs="Times New Roman"/>
          <w:sz w:val="24"/>
          <w:szCs w:val="24"/>
        </w:rPr>
        <w:t>BoNT</w:t>
      </w:r>
      <w:proofErr w:type="spellEnd"/>
      <w:r w:rsidRPr="00EC5A7E">
        <w:rPr>
          <w:rFonts w:ascii="Times New Roman" w:hAnsi="Times New Roman" w:cs="Times New Roman"/>
          <w:sz w:val="24"/>
          <w:szCs w:val="24"/>
        </w:rPr>
        <w:t xml:space="preserve">-A product administered at the first injection and documented reasons for discontinuation, n = 4; </w:t>
      </w:r>
      <w:proofErr w:type="spellStart"/>
      <w:r w:rsidRPr="00EC5A7E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EC5A7E">
        <w:rPr>
          <w:rFonts w:ascii="Times New Roman" w:hAnsi="Times New Roman" w:cs="Times New Roman"/>
          <w:sz w:val="24"/>
          <w:szCs w:val="24"/>
        </w:rPr>
        <w:t>subjects</w:t>
      </w:r>
      <w:proofErr w:type="spellEnd"/>
      <w:r w:rsidRPr="00EC5A7E">
        <w:rPr>
          <w:rFonts w:ascii="Times New Roman" w:hAnsi="Times New Roman" w:cs="Times New Roman"/>
          <w:sz w:val="24"/>
          <w:szCs w:val="24"/>
        </w:rPr>
        <w:t xml:space="preserve"> with available date of written consent and reported </w:t>
      </w:r>
      <w:proofErr w:type="spellStart"/>
      <w:r w:rsidRPr="00EC5A7E">
        <w:rPr>
          <w:rFonts w:ascii="Times New Roman" w:hAnsi="Times New Roman" w:cs="Times New Roman"/>
          <w:sz w:val="24"/>
          <w:szCs w:val="24"/>
        </w:rPr>
        <w:t>BoNT</w:t>
      </w:r>
      <w:proofErr w:type="spellEnd"/>
      <w:r w:rsidRPr="00EC5A7E">
        <w:rPr>
          <w:rFonts w:ascii="Times New Roman" w:hAnsi="Times New Roman" w:cs="Times New Roman"/>
          <w:sz w:val="24"/>
          <w:szCs w:val="24"/>
        </w:rPr>
        <w:t>-A product administered at the first injection</w:t>
      </w:r>
    </w:p>
    <w:p w:rsidR="00A11E05" w:rsidRDefault="00A11E05"/>
    <w:p w:rsidR="00A11E05" w:rsidRDefault="00A11E05"/>
    <w:p w:rsidR="00A11E05" w:rsidRDefault="00A11E05" w:rsidP="00A11E05">
      <w:pPr>
        <w:pStyle w:val="ListParagraph"/>
        <w:tabs>
          <w:tab w:val="left" w:pos="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C5A7E">
        <w:rPr>
          <w:rFonts w:ascii="Times New Roman" w:hAnsi="Times New Roman" w:cs="Times New Roman"/>
          <w:b/>
          <w:sz w:val="24"/>
          <w:szCs w:val="24"/>
        </w:rPr>
        <w:t xml:space="preserve">Supplemental Figure 2. </w:t>
      </w:r>
      <w:bookmarkStart w:id="1" w:name="_Hlk36202707"/>
      <w:r w:rsidRPr="00EC5A7E">
        <w:rPr>
          <w:rFonts w:ascii="Times New Roman" w:hAnsi="Times New Roman" w:cs="Times New Roman"/>
          <w:sz w:val="24"/>
          <w:szCs w:val="24"/>
        </w:rPr>
        <w:t xml:space="preserve">Most frequently treated muscles in the upper limb </w:t>
      </w:r>
      <w:bookmarkStart w:id="2" w:name="_Hlk36202794"/>
      <w:bookmarkEnd w:id="1"/>
      <w:r w:rsidRPr="00EC5A7E">
        <w:rPr>
          <w:rFonts w:ascii="Times New Roman" w:hAnsi="Times New Roman" w:cs="Times New Roman"/>
          <w:sz w:val="24"/>
          <w:szCs w:val="24"/>
        </w:rPr>
        <w:t xml:space="preserve">at A) Visit 1, B) Visit 8 and in the lower limb at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EC5A7E">
        <w:rPr>
          <w:rFonts w:ascii="Times New Roman" w:hAnsi="Times New Roman" w:cs="Times New Roman"/>
          <w:sz w:val="24"/>
          <w:szCs w:val="24"/>
        </w:rPr>
        <w:t>) Visit 1, D) Visit 8</w:t>
      </w:r>
    </w:p>
    <w:p w:rsidR="00A11E05" w:rsidRDefault="00A11E05" w:rsidP="00A11E05">
      <w:pPr>
        <w:pStyle w:val="ListParagraph"/>
        <w:tabs>
          <w:tab w:val="left" w:pos="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11E05" w:rsidRPr="00EC5A7E" w:rsidRDefault="00A11E05" w:rsidP="00A11E05">
      <w:pPr>
        <w:spacing w:after="24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C5A7E">
        <w:rPr>
          <w:rFonts w:ascii="Times New Roman" w:hAnsi="Times New Roman" w:cs="Times New Roman"/>
          <w:sz w:val="24"/>
          <w:szCs w:val="24"/>
        </w:rPr>
        <w:t>Percentages are based on non-missing values</w:t>
      </w:r>
    </w:p>
    <w:p w:rsidR="00A11E05" w:rsidRDefault="00A11E05" w:rsidP="00A11E05">
      <w:pPr>
        <w:pStyle w:val="ListParagraph"/>
        <w:tabs>
          <w:tab w:val="left" w:pos="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11E05" w:rsidRPr="00EC5A7E" w:rsidRDefault="00A11E05" w:rsidP="00A11E05">
      <w:pPr>
        <w:tabs>
          <w:tab w:val="left" w:pos="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3" w:name="_Hlk52895563"/>
      <w:r w:rsidRPr="00EC5A7E">
        <w:rPr>
          <w:rFonts w:ascii="Times New Roman" w:hAnsi="Times New Roman" w:cs="Times New Roman"/>
          <w:b/>
          <w:sz w:val="24"/>
          <w:szCs w:val="24"/>
        </w:rPr>
        <w:t xml:space="preserve">Supplemental Figure 3. </w:t>
      </w:r>
      <w:bookmarkStart w:id="4" w:name="_Hlk36202717"/>
      <w:r w:rsidRPr="00EC5A7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roportion of subjects with p</w:t>
      </w:r>
      <w:r w:rsidRPr="00EC5A7E">
        <w:rPr>
          <w:rFonts w:ascii="Times New Roman" w:hAnsi="Times New Roman" w:cs="Times New Roman"/>
          <w:sz w:val="24"/>
          <w:szCs w:val="24"/>
        </w:rPr>
        <w:t xml:space="preserve">hysicians’ assessment of tolerability </w:t>
      </w:r>
      <w:bookmarkStart w:id="5" w:name="_Hlk36202779"/>
      <w:bookmarkEnd w:id="4"/>
      <w:r>
        <w:rPr>
          <w:rFonts w:ascii="Times New Roman" w:hAnsi="Times New Roman" w:cs="Times New Roman"/>
          <w:sz w:val="24"/>
          <w:szCs w:val="24"/>
        </w:rPr>
        <w:t xml:space="preserve">rated as very good, good, moderate or poor </w:t>
      </w:r>
      <w:r w:rsidRPr="00EC5A7E">
        <w:rPr>
          <w:rFonts w:ascii="Times New Roman" w:hAnsi="Times New Roman" w:cs="Times New Roman"/>
          <w:sz w:val="24"/>
          <w:szCs w:val="24"/>
        </w:rPr>
        <w:t xml:space="preserve">at A) Visit 2 (evaluation of treatment cycle 1) and B) final </w:t>
      </w:r>
      <w:proofErr w:type="spellStart"/>
      <w:r w:rsidRPr="00EC5A7E">
        <w:rPr>
          <w:rFonts w:ascii="Times New Roman" w:hAnsi="Times New Roman" w:cs="Times New Roman"/>
          <w:sz w:val="24"/>
          <w:szCs w:val="24"/>
        </w:rPr>
        <w:t>visit</w:t>
      </w:r>
      <w:r w:rsidRPr="00EC5A7E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EC5A7E">
        <w:rPr>
          <w:rFonts w:ascii="Times New Roman" w:hAnsi="Times New Roman" w:cs="Times New Roman"/>
          <w:sz w:val="24"/>
          <w:szCs w:val="24"/>
        </w:rPr>
        <w:t xml:space="preserve"> (evaluation of treatment cycle 8)</w:t>
      </w:r>
    </w:p>
    <w:bookmarkEnd w:id="3"/>
    <w:bookmarkEnd w:id="5"/>
    <w:p w:rsidR="00A11E05" w:rsidRPr="00EC5A7E" w:rsidRDefault="00A11E05" w:rsidP="00A11E05">
      <w:pPr>
        <w:pStyle w:val="ListParagraph"/>
        <w:tabs>
          <w:tab w:val="left" w:pos="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bookmarkEnd w:id="2"/>
    <w:p w:rsidR="00A11E05" w:rsidRPr="00EC5A7E" w:rsidRDefault="00A11E05" w:rsidP="00A11E05">
      <w:pPr>
        <w:tabs>
          <w:tab w:val="left" w:pos="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5A7E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EC5A7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C5A7E">
        <w:rPr>
          <w:rFonts w:ascii="Times New Roman" w:hAnsi="Times New Roman" w:cs="Times New Roman"/>
          <w:sz w:val="24"/>
          <w:szCs w:val="24"/>
        </w:rPr>
        <w:t xml:space="preserve"> final visit occurred at the end of the study, subjects did not receive an injection at this point and only those who returned for assessment were included in the analysis</w:t>
      </w:r>
    </w:p>
    <w:p w:rsidR="00A11E05" w:rsidRPr="00EC5A7E" w:rsidRDefault="00A11E05" w:rsidP="00A11E05">
      <w:pPr>
        <w:tabs>
          <w:tab w:val="left" w:pos="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C5A7E">
        <w:rPr>
          <w:rFonts w:ascii="Times New Roman" w:hAnsi="Times New Roman" w:cs="Times New Roman"/>
          <w:sz w:val="24"/>
          <w:szCs w:val="24"/>
        </w:rPr>
        <w:t>Percentages are based on non-missing values</w:t>
      </w:r>
    </w:p>
    <w:p w:rsidR="00A11E05" w:rsidRPr="00EC5A7E" w:rsidRDefault="00A11E05" w:rsidP="00A11E05">
      <w:pPr>
        <w:tabs>
          <w:tab w:val="left" w:pos="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C5A7E">
        <w:rPr>
          <w:rFonts w:ascii="Times New Roman" w:hAnsi="Times New Roman" w:cs="Times New Roman"/>
          <w:sz w:val="24"/>
          <w:szCs w:val="24"/>
        </w:rPr>
        <w:t>N – total number of subjects assessed</w:t>
      </w:r>
    </w:p>
    <w:p w:rsidR="00A11E05" w:rsidRDefault="00A11E05" w:rsidP="00A11E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6" w:name="_Hlk52895572"/>
      <w:r w:rsidRPr="00EC5A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Supplemental Figure 4. </w:t>
      </w:r>
      <w:bookmarkStart w:id="7" w:name="_Hlk36202738"/>
      <w:r w:rsidRPr="00747A5B">
        <w:rPr>
          <w:rFonts w:ascii="Times New Roman" w:hAnsi="Times New Roman" w:cs="Times New Roman"/>
          <w:bCs/>
          <w:sz w:val="24"/>
          <w:szCs w:val="24"/>
        </w:rPr>
        <w:t>Proportion of subjects with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A7E">
        <w:rPr>
          <w:rFonts w:ascii="Times New Roman" w:hAnsi="Times New Roman" w:cs="Times New Roman"/>
          <w:sz w:val="24"/>
          <w:szCs w:val="24"/>
        </w:rPr>
        <w:t xml:space="preserve">EQ-5D ratings </w:t>
      </w:r>
      <w:r>
        <w:rPr>
          <w:rFonts w:ascii="Times New Roman" w:hAnsi="Times New Roman" w:cs="Times New Roman"/>
          <w:sz w:val="24"/>
          <w:szCs w:val="24"/>
        </w:rPr>
        <w:t xml:space="preserve">of no, some or extreme problems </w:t>
      </w:r>
      <w:r w:rsidRPr="00EC5A7E">
        <w:rPr>
          <w:rFonts w:ascii="Times New Roman" w:hAnsi="Times New Roman" w:cs="Times New Roman"/>
          <w:sz w:val="24"/>
          <w:szCs w:val="24"/>
        </w:rPr>
        <w:t xml:space="preserve">in all dimensions </w:t>
      </w:r>
      <w:bookmarkStart w:id="8" w:name="_Hlk36202760"/>
      <w:bookmarkEnd w:id="7"/>
      <w:r w:rsidRPr="00EC5A7E">
        <w:rPr>
          <w:rFonts w:ascii="Times New Roman" w:hAnsi="Times New Roman" w:cs="Times New Roman"/>
          <w:sz w:val="24"/>
          <w:szCs w:val="24"/>
        </w:rPr>
        <w:t xml:space="preserve">at Visit 2 (panels A–C) and the final </w:t>
      </w:r>
      <w:proofErr w:type="spellStart"/>
      <w:r w:rsidRPr="00EC5A7E">
        <w:rPr>
          <w:rFonts w:ascii="Times New Roman" w:hAnsi="Times New Roman" w:cs="Times New Roman"/>
          <w:sz w:val="24"/>
          <w:szCs w:val="24"/>
        </w:rPr>
        <w:t>visit</w:t>
      </w:r>
      <w:r w:rsidRPr="00EC5A7E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EC5A7E">
        <w:rPr>
          <w:rFonts w:ascii="Times New Roman" w:hAnsi="Times New Roman" w:cs="Times New Roman"/>
          <w:sz w:val="24"/>
          <w:szCs w:val="24"/>
        </w:rPr>
        <w:t xml:space="preserve"> (panels D–F) for all </w:t>
      </w:r>
      <w:proofErr w:type="spellStart"/>
      <w:r w:rsidRPr="00EC5A7E">
        <w:rPr>
          <w:rFonts w:ascii="Times New Roman" w:hAnsi="Times New Roman" w:cs="Times New Roman"/>
          <w:sz w:val="24"/>
          <w:szCs w:val="24"/>
        </w:rPr>
        <w:t>BoNT</w:t>
      </w:r>
      <w:proofErr w:type="spellEnd"/>
      <w:r w:rsidRPr="00EC5A7E">
        <w:rPr>
          <w:rFonts w:ascii="Times New Roman" w:hAnsi="Times New Roman" w:cs="Times New Roman"/>
          <w:sz w:val="24"/>
          <w:szCs w:val="24"/>
        </w:rPr>
        <w:t xml:space="preserve"> formulations</w:t>
      </w:r>
    </w:p>
    <w:p w:rsidR="00A11E05" w:rsidRDefault="00A11E05" w:rsidP="00A11E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11E05" w:rsidRPr="00EC5A7E" w:rsidRDefault="00A11E05" w:rsidP="00A11E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5A7E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EC5A7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C5A7E">
        <w:rPr>
          <w:rFonts w:ascii="Times New Roman" w:hAnsi="Times New Roman" w:cs="Times New Roman"/>
          <w:sz w:val="24"/>
          <w:szCs w:val="24"/>
        </w:rPr>
        <w:t xml:space="preserve"> final visit occurred at the end of the study, subjects did not receive an injection at this point and only those who returned for assessment were included in the analysis</w:t>
      </w:r>
    </w:p>
    <w:p w:rsidR="00A11E05" w:rsidRPr="00EC5A7E" w:rsidRDefault="00A11E05" w:rsidP="00A11E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5A7E">
        <w:rPr>
          <w:rFonts w:ascii="Times New Roman" w:hAnsi="Times New Roman" w:cs="Times New Roman"/>
          <w:sz w:val="24"/>
          <w:szCs w:val="24"/>
        </w:rPr>
        <w:t>Percentages are based on non-missing values</w:t>
      </w:r>
      <w:bookmarkStart w:id="9" w:name="_GoBack"/>
      <w:bookmarkEnd w:id="9"/>
    </w:p>
    <w:p w:rsidR="00A11E05" w:rsidRPr="00330CB8" w:rsidRDefault="00A11E05" w:rsidP="00A11E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5A7E">
        <w:rPr>
          <w:rFonts w:ascii="Times New Roman" w:hAnsi="Times New Roman" w:cs="Times New Roman"/>
          <w:sz w:val="24"/>
          <w:szCs w:val="24"/>
        </w:rPr>
        <w:t>BoNT</w:t>
      </w:r>
      <w:proofErr w:type="spellEnd"/>
      <w:r w:rsidRPr="00EC5A7E">
        <w:rPr>
          <w:rFonts w:ascii="Times New Roman" w:hAnsi="Times New Roman" w:cs="Times New Roman"/>
          <w:sz w:val="24"/>
          <w:szCs w:val="24"/>
        </w:rPr>
        <w:t xml:space="preserve"> – botulinum neurotoxin; EQ-5D – </w:t>
      </w:r>
      <w:proofErr w:type="spellStart"/>
      <w:r w:rsidRPr="00EC5A7E">
        <w:rPr>
          <w:rFonts w:ascii="Times New Roman" w:hAnsi="Times New Roman" w:cs="Times New Roman"/>
          <w:sz w:val="24"/>
          <w:szCs w:val="24"/>
        </w:rPr>
        <w:t>EuroQoL</w:t>
      </w:r>
      <w:proofErr w:type="spellEnd"/>
      <w:r w:rsidRPr="00EC5A7E">
        <w:rPr>
          <w:rFonts w:ascii="Times New Roman" w:hAnsi="Times New Roman" w:cs="Times New Roman"/>
          <w:sz w:val="24"/>
          <w:szCs w:val="24"/>
        </w:rPr>
        <w:t xml:space="preserve"> 5-dimensions</w:t>
      </w:r>
    </w:p>
    <w:p w:rsidR="00A11E05" w:rsidRPr="00EC5A7E" w:rsidRDefault="00A11E05" w:rsidP="00A11E0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bookmarkEnd w:id="6"/>
    <w:bookmarkEnd w:id="8"/>
    <w:p w:rsidR="00A11E05" w:rsidRDefault="00A11E05"/>
    <w:sectPr w:rsidR="00A11E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05"/>
    <w:rsid w:val="00A11E05"/>
    <w:rsid w:val="00CD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A0F30"/>
  <w15:chartTrackingRefBased/>
  <w15:docId w15:val="{09D9B2B1-EC8F-412D-81B1-7E0D46E8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FA0963FA69A646AA916D2E41284FC10000FF9D6B5F196930458C53FD932E44CAF2" ma:contentTypeVersion="0" ma:contentTypeDescription="Create a new document." ma:contentTypeScope="" ma:versionID="bdb1305ddbe003c390824bd53c1a14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B7F2C8-D682-4E88-9EAD-A889D71050F3}"/>
</file>

<file path=customXml/itemProps2.xml><?xml version="1.0" encoding="utf-8"?>
<ds:datastoreItem xmlns:ds="http://schemas.openxmlformats.org/officeDocument/2006/customXml" ds:itemID="{1ABB5E7F-F608-4400-B45F-847EB4E8B1A7}"/>
</file>

<file path=customXml/itemProps3.xml><?xml version="1.0" encoding="utf-8"?>
<ds:datastoreItem xmlns:ds="http://schemas.openxmlformats.org/officeDocument/2006/customXml" ds:itemID="{BAA483A0-989F-4E14-AD9C-8A5FBD779F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Silverthorne, Kate (MAN-CMC)</dc:creator>
  <cp:keywords/>
  <dc:description/>
  <cp:lastModifiedBy>Silverthorne, Kate (MAN-CMC)</cp:lastModifiedBy>
  <cp:revision>1</cp:revision>
  <dcterms:created xsi:type="dcterms:W3CDTF">2020-10-29T10:34:00Z</dcterms:created>
  <dcterms:modified xsi:type="dcterms:W3CDTF">2020-10-29T10:39:00Z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0x010100FA0963FA69A646AA916D2E41284FC10000FF9D6B5F196930458C53FD932E44CAF2</vt:lpwstr>
  </property>
</Properties>
</file>