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003" w:rsidRPr="00057CF6" w:rsidRDefault="00FE3038" w:rsidP="003F1003">
      <w:pPr>
        <w:spacing w:after="160" w:line="480" w:lineRule="auto"/>
        <w:jc w:val="left"/>
        <w:rPr>
          <w:rFonts w:eastAsia="Times New Roman" w:cs="Times New Roman"/>
          <w:szCs w:val="24"/>
        </w:rPr>
      </w:pPr>
      <w:bookmarkStart w:id="0" w:name="_GoBack"/>
      <w:bookmarkEnd w:id="0"/>
      <w:r w:rsidRPr="00057CF6">
        <w:rPr>
          <w:rFonts w:cs="Times New Roman"/>
          <w:szCs w:val="24"/>
          <w:lang w:val="en-US"/>
        </w:rPr>
        <w:t xml:space="preserve">Supplementary </w:t>
      </w:r>
      <w:r w:rsidR="003F1003" w:rsidRPr="00057CF6">
        <w:rPr>
          <w:rFonts w:cs="Times New Roman"/>
          <w:szCs w:val="24"/>
          <w:lang w:val="en-US"/>
        </w:rPr>
        <w:t xml:space="preserve">Table </w:t>
      </w:r>
      <w:r w:rsidRPr="00057CF6">
        <w:rPr>
          <w:rFonts w:cs="Times New Roman"/>
          <w:szCs w:val="24"/>
          <w:lang w:val="en-US"/>
        </w:rPr>
        <w:t>1</w:t>
      </w:r>
      <w:r w:rsidR="003F1003" w:rsidRPr="00057CF6">
        <w:rPr>
          <w:rFonts w:cs="Times New Roman"/>
          <w:szCs w:val="24"/>
          <w:lang w:val="en-US"/>
        </w:rPr>
        <w:t xml:space="preserve">. Initial characteristics of the investigated group, data from medical records. </w:t>
      </w:r>
      <w:r w:rsidR="003F1003" w:rsidRPr="00057CF6">
        <w:rPr>
          <w:rFonts w:cs="Times New Roman"/>
          <w:szCs w:val="24"/>
        </w:rPr>
        <w:t>(n – number of patients, %; median, interquartile range)</w:t>
      </w:r>
    </w:p>
    <w:tbl>
      <w:tblPr>
        <w:tblStyle w:val="Siatkatabelijasna1"/>
        <w:tblW w:w="9209" w:type="dxa"/>
        <w:tblLook w:val="01E0" w:firstRow="1" w:lastRow="1" w:firstColumn="1" w:lastColumn="1" w:noHBand="0" w:noVBand="0"/>
      </w:tblPr>
      <w:tblGrid>
        <w:gridCol w:w="4106"/>
        <w:gridCol w:w="1985"/>
        <w:gridCol w:w="2268"/>
        <w:gridCol w:w="850"/>
      </w:tblGrid>
      <w:tr w:rsidR="00057CF6" w:rsidRPr="00057CF6" w:rsidTr="002D0DE1">
        <w:trPr>
          <w:trHeight w:val="462"/>
        </w:trPr>
        <w:tc>
          <w:tcPr>
            <w:tcW w:w="4106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 xml:space="preserve">MTH </w:t>
            </w:r>
          </w:p>
        </w:tc>
        <w:tc>
          <w:tcPr>
            <w:tcW w:w="226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 xml:space="preserve">Control group </w:t>
            </w:r>
          </w:p>
        </w:tc>
        <w:tc>
          <w:tcPr>
            <w:tcW w:w="850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p</w:t>
            </w:r>
          </w:p>
        </w:tc>
      </w:tr>
      <w:tr w:rsidR="00057CF6" w:rsidRPr="00057CF6" w:rsidTr="002D0DE1">
        <w:trPr>
          <w:trHeight w:val="422"/>
        </w:trPr>
        <w:tc>
          <w:tcPr>
            <w:tcW w:w="4106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Age (years)</w:t>
            </w:r>
          </w:p>
        </w:tc>
        <w:tc>
          <w:tcPr>
            <w:tcW w:w="1985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58 (53-66)</w:t>
            </w:r>
          </w:p>
        </w:tc>
        <w:tc>
          <w:tcPr>
            <w:tcW w:w="226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59 (53-70)</w:t>
            </w:r>
          </w:p>
        </w:tc>
        <w:tc>
          <w:tcPr>
            <w:tcW w:w="850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0.315</w:t>
            </w:r>
          </w:p>
        </w:tc>
      </w:tr>
      <w:tr w:rsidR="00057CF6" w:rsidRPr="00057CF6" w:rsidTr="002D0DE1">
        <w:trPr>
          <w:trHeight w:val="462"/>
        </w:trPr>
        <w:tc>
          <w:tcPr>
            <w:tcW w:w="4106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Sex (male)</w:t>
            </w:r>
          </w:p>
        </w:tc>
        <w:tc>
          <w:tcPr>
            <w:tcW w:w="1985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21 (75.0)</w:t>
            </w:r>
          </w:p>
        </w:tc>
        <w:tc>
          <w:tcPr>
            <w:tcW w:w="226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25 (67.6)</w:t>
            </w:r>
          </w:p>
        </w:tc>
        <w:tc>
          <w:tcPr>
            <w:tcW w:w="850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0.515</w:t>
            </w:r>
          </w:p>
        </w:tc>
      </w:tr>
      <w:tr w:rsidR="00057CF6" w:rsidRPr="00057CF6" w:rsidTr="002D0DE1">
        <w:trPr>
          <w:trHeight w:val="462"/>
        </w:trPr>
        <w:tc>
          <w:tcPr>
            <w:tcW w:w="4106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Arterial hypertension</w:t>
            </w:r>
          </w:p>
        </w:tc>
        <w:tc>
          <w:tcPr>
            <w:tcW w:w="1985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21 (75)</w:t>
            </w:r>
          </w:p>
        </w:tc>
        <w:tc>
          <w:tcPr>
            <w:tcW w:w="226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26 (70.3)</w:t>
            </w:r>
          </w:p>
        </w:tc>
        <w:tc>
          <w:tcPr>
            <w:tcW w:w="850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0.673</w:t>
            </w:r>
          </w:p>
        </w:tc>
      </w:tr>
      <w:tr w:rsidR="00057CF6" w:rsidRPr="00057CF6" w:rsidTr="002D0DE1">
        <w:trPr>
          <w:trHeight w:val="462"/>
        </w:trPr>
        <w:tc>
          <w:tcPr>
            <w:tcW w:w="4106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Diabetes Mellitus</w:t>
            </w:r>
          </w:p>
        </w:tc>
        <w:tc>
          <w:tcPr>
            <w:tcW w:w="1985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7 (25)</w:t>
            </w:r>
          </w:p>
        </w:tc>
        <w:tc>
          <w:tcPr>
            <w:tcW w:w="226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9 (24.3)</w:t>
            </w:r>
          </w:p>
        </w:tc>
        <w:tc>
          <w:tcPr>
            <w:tcW w:w="850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0.950</w:t>
            </w:r>
          </w:p>
        </w:tc>
      </w:tr>
      <w:tr w:rsidR="00057CF6" w:rsidRPr="00057CF6" w:rsidTr="002D0DE1">
        <w:trPr>
          <w:trHeight w:val="462"/>
        </w:trPr>
        <w:tc>
          <w:tcPr>
            <w:tcW w:w="4106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057CF6">
              <w:rPr>
                <w:rFonts w:eastAsia="Times New Roman" w:cs="Times New Roman"/>
                <w:szCs w:val="24"/>
                <w:lang w:val="en-US"/>
              </w:rPr>
              <w:t>Myocardial infarction in the past</w:t>
            </w:r>
          </w:p>
        </w:tc>
        <w:tc>
          <w:tcPr>
            <w:tcW w:w="1985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5 (17.9)</w:t>
            </w:r>
          </w:p>
        </w:tc>
        <w:tc>
          <w:tcPr>
            <w:tcW w:w="226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12 (32.4)</w:t>
            </w:r>
          </w:p>
        </w:tc>
        <w:tc>
          <w:tcPr>
            <w:tcW w:w="850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0.185</w:t>
            </w:r>
          </w:p>
        </w:tc>
      </w:tr>
      <w:tr w:rsidR="00057CF6" w:rsidRPr="00057CF6" w:rsidTr="002D0DE1">
        <w:trPr>
          <w:trHeight w:val="462"/>
        </w:trPr>
        <w:tc>
          <w:tcPr>
            <w:tcW w:w="4106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Heart failure:</w:t>
            </w:r>
          </w:p>
        </w:tc>
        <w:tc>
          <w:tcPr>
            <w:tcW w:w="1985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10 (35.7)</w:t>
            </w:r>
          </w:p>
        </w:tc>
        <w:tc>
          <w:tcPr>
            <w:tcW w:w="226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12 (32.4)</w:t>
            </w:r>
          </w:p>
        </w:tc>
        <w:tc>
          <w:tcPr>
            <w:tcW w:w="850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0.782</w:t>
            </w:r>
          </w:p>
        </w:tc>
      </w:tr>
      <w:tr w:rsidR="00057CF6" w:rsidRPr="00057CF6" w:rsidTr="002D0DE1">
        <w:trPr>
          <w:trHeight w:val="462"/>
        </w:trPr>
        <w:tc>
          <w:tcPr>
            <w:tcW w:w="4106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NYHA</w:t>
            </w:r>
            <w:r w:rsidRPr="00057CF6">
              <w:rPr>
                <w:rFonts w:eastAsia="Times New Roman" w:cs="Times New Roman"/>
                <w:szCs w:val="24"/>
                <w:vertAlign w:val="superscript"/>
              </w:rPr>
              <w:t xml:space="preserve"> </w:t>
            </w:r>
            <w:r w:rsidRPr="00057CF6">
              <w:rPr>
                <w:rFonts w:eastAsia="Times New Roman" w:cs="Times New Roman"/>
                <w:szCs w:val="24"/>
              </w:rPr>
              <w:t>I</w:t>
            </w:r>
          </w:p>
        </w:tc>
        <w:tc>
          <w:tcPr>
            <w:tcW w:w="1985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1 (3.6)</w:t>
            </w:r>
          </w:p>
        </w:tc>
        <w:tc>
          <w:tcPr>
            <w:tcW w:w="226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0.253</w:t>
            </w:r>
          </w:p>
        </w:tc>
      </w:tr>
      <w:tr w:rsidR="00057CF6" w:rsidRPr="00057CF6" w:rsidTr="002D0DE1">
        <w:trPr>
          <w:trHeight w:val="462"/>
        </w:trPr>
        <w:tc>
          <w:tcPr>
            <w:tcW w:w="4106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NYHA II</w:t>
            </w:r>
          </w:p>
        </w:tc>
        <w:tc>
          <w:tcPr>
            <w:tcW w:w="1985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5 (17.9)</w:t>
            </w:r>
          </w:p>
        </w:tc>
        <w:tc>
          <w:tcPr>
            <w:tcW w:w="226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7 (18.9)</w:t>
            </w:r>
          </w:p>
        </w:tc>
        <w:tc>
          <w:tcPr>
            <w:tcW w:w="850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0.913</w:t>
            </w:r>
          </w:p>
        </w:tc>
      </w:tr>
      <w:tr w:rsidR="00057CF6" w:rsidRPr="00057CF6" w:rsidTr="002D0DE1">
        <w:trPr>
          <w:trHeight w:val="462"/>
        </w:trPr>
        <w:tc>
          <w:tcPr>
            <w:tcW w:w="4106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NYHA III</w:t>
            </w:r>
          </w:p>
        </w:tc>
        <w:tc>
          <w:tcPr>
            <w:tcW w:w="1985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2 (7.4)</w:t>
            </w:r>
          </w:p>
        </w:tc>
        <w:tc>
          <w:tcPr>
            <w:tcW w:w="226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7 (18.9)</w:t>
            </w:r>
          </w:p>
        </w:tc>
        <w:tc>
          <w:tcPr>
            <w:tcW w:w="850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0.191</w:t>
            </w:r>
          </w:p>
        </w:tc>
      </w:tr>
      <w:tr w:rsidR="00057CF6" w:rsidRPr="00057CF6" w:rsidTr="002D0DE1">
        <w:trPr>
          <w:trHeight w:val="462"/>
        </w:trPr>
        <w:tc>
          <w:tcPr>
            <w:tcW w:w="4106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NYHA IV</w:t>
            </w:r>
          </w:p>
        </w:tc>
        <w:tc>
          <w:tcPr>
            <w:tcW w:w="1985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226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057CF6" w:rsidRPr="00057CF6" w:rsidTr="002D0DE1">
        <w:trPr>
          <w:trHeight w:val="462"/>
        </w:trPr>
        <w:tc>
          <w:tcPr>
            <w:tcW w:w="4106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057CF6">
              <w:rPr>
                <w:rFonts w:eastAsia="Times New Roman" w:cs="Times New Roman"/>
                <w:szCs w:val="24"/>
                <w:lang w:val="en-US"/>
              </w:rPr>
              <w:t>History of coronary artery disease</w:t>
            </w:r>
          </w:p>
        </w:tc>
        <w:tc>
          <w:tcPr>
            <w:tcW w:w="1985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6 (21.4)</w:t>
            </w:r>
          </w:p>
        </w:tc>
        <w:tc>
          <w:tcPr>
            <w:tcW w:w="226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11 (29.7)</w:t>
            </w:r>
          </w:p>
        </w:tc>
        <w:tc>
          <w:tcPr>
            <w:tcW w:w="850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0.451</w:t>
            </w:r>
          </w:p>
        </w:tc>
      </w:tr>
      <w:tr w:rsidR="00057CF6" w:rsidRPr="00057CF6" w:rsidTr="002D0DE1">
        <w:trPr>
          <w:trHeight w:val="462"/>
        </w:trPr>
        <w:tc>
          <w:tcPr>
            <w:tcW w:w="4106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  <w:vertAlign w:val="superscript"/>
              </w:rPr>
            </w:pPr>
            <w:r w:rsidRPr="00057CF6">
              <w:rPr>
                <w:rFonts w:eastAsia="Times New Roman" w:cs="Times New Roman"/>
                <w:szCs w:val="24"/>
                <w:lang w:val="en-US"/>
              </w:rPr>
              <w:t>Coronary Artery Bypass Graft</w:t>
            </w:r>
          </w:p>
        </w:tc>
        <w:tc>
          <w:tcPr>
            <w:tcW w:w="1985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1 (3.6)</w:t>
            </w:r>
          </w:p>
        </w:tc>
        <w:tc>
          <w:tcPr>
            <w:tcW w:w="226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0.247</w:t>
            </w:r>
          </w:p>
        </w:tc>
      </w:tr>
      <w:tr w:rsidR="00057CF6" w:rsidRPr="00057CF6" w:rsidTr="002D0DE1">
        <w:trPr>
          <w:trHeight w:val="462"/>
        </w:trPr>
        <w:tc>
          <w:tcPr>
            <w:tcW w:w="4106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Atrial fibrillation</w:t>
            </w:r>
          </w:p>
        </w:tc>
        <w:tc>
          <w:tcPr>
            <w:tcW w:w="1985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7 (25.0)</w:t>
            </w:r>
          </w:p>
        </w:tc>
        <w:tc>
          <w:tcPr>
            <w:tcW w:w="226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5 (13.5)</w:t>
            </w:r>
          </w:p>
        </w:tc>
        <w:tc>
          <w:tcPr>
            <w:tcW w:w="850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0.237</w:t>
            </w:r>
          </w:p>
        </w:tc>
      </w:tr>
      <w:tr w:rsidR="00057CF6" w:rsidRPr="00057CF6" w:rsidTr="002D0DE1">
        <w:trPr>
          <w:trHeight w:val="462"/>
        </w:trPr>
        <w:tc>
          <w:tcPr>
            <w:tcW w:w="4106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Chronic kidney disease</w:t>
            </w:r>
          </w:p>
        </w:tc>
        <w:tc>
          <w:tcPr>
            <w:tcW w:w="1985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3 (10.7)</w:t>
            </w:r>
          </w:p>
        </w:tc>
        <w:tc>
          <w:tcPr>
            <w:tcW w:w="226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9 (24.3)</w:t>
            </w:r>
          </w:p>
        </w:tc>
        <w:tc>
          <w:tcPr>
            <w:tcW w:w="850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0.161</w:t>
            </w:r>
          </w:p>
        </w:tc>
      </w:tr>
      <w:tr w:rsidR="00057CF6" w:rsidRPr="00057CF6" w:rsidTr="002D0DE1">
        <w:trPr>
          <w:trHeight w:val="462"/>
        </w:trPr>
        <w:tc>
          <w:tcPr>
            <w:tcW w:w="4106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Stroke in the past</w:t>
            </w:r>
          </w:p>
        </w:tc>
        <w:tc>
          <w:tcPr>
            <w:tcW w:w="1985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1 (3.6)</w:t>
            </w:r>
          </w:p>
        </w:tc>
        <w:tc>
          <w:tcPr>
            <w:tcW w:w="226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3 (8.1)</w:t>
            </w:r>
          </w:p>
        </w:tc>
        <w:tc>
          <w:tcPr>
            <w:tcW w:w="850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0.451</w:t>
            </w:r>
          </w:p>
        </w:tc>
      </w:tr>
      <w:tr w:rsidR="00057CF6" w:rsidRPr="00057CF6" w:rsidTr="002D0DE1">
        <w:trPr>
          <w:trHeight w:val="462"/>
        </w:trPr>
        <w:tc>
          <w:tcPr>
            <w:tcW w:w="4106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Hyperthyroidism</w:t>
            </w:r>
          </w:p>
        </w:tc>
        <w:tc>
          <w:tcPr>
            <w:tcW w:w="1985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226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1 (2.7)</w:t>
            </w:r>
          </w:p>
        </w:tc>
        <w:tc>
          <w:tcPr>
            <w:tcW w:w="850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0.381</w:t>
            </w:r>
          </w:p>
        </w:tc>
      </w:tr>
      <w:tr w:rsidR="00057CF6" w:rsidRPr="00057CF6" w:rsidTr="002D0DE1">
        <w:trPr>
          <w:trHeight w:val="462"/>
        </w:trPr>
        <w:tc>
          <w:tcPr>
            <w:tcW w:w="4106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Hyporthyroidism</w:t>
            </w:r>
          </w:p>
        </w:tc>
        <w:tc>
          <w:tcPr>
            <w:tcW w:w="1985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226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3 (8.1)</w:t>
            </w:r>
          </w:p>
        </w:tc>
        <w:tc>
          <w:tcPr>
            <w:tcW w:w="850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0.123</w:t>
            </w:r>
          </w:p>
        </w:tc>
      </w:tr>
      <w:tr w:rsidR="00057CF6" w:rsidRPr="00057CF6" w:rsidTr="002D0DE1">
        <w:trPr>
          <w:trHeight w:val="462"/>
        </w:trPr>
        <w:tc>
          <w:tcPr>
            <w:tcW w:w="4106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Alcohol abuse</w:t>
            </w:r>
          </w:p>
        </w:tc>
        <w:tc>
          <w:tcPr>
            <w:tcW w:w="1985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2 (7.1)</w:t>
            </w:r>
          </w:p>
        </w:tc>
        <w:tc>
          <w:tcPr>
            <w:tcW w:w="226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4 (10.8)</w:t>
            </w:r>
          </w:p>
        </w:tc>
        <w:tc>
          <w:tcPr>
            <w:tcW w:w="850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0.613</w:t>
            </w:r>
          </w:p>
        </w:tc>
      </w:tr>
      <w:tr w:rsidR="00057CF6" w:rsidRPr="00057CF6" w:rsidTr="002D0DE1">
        <w:trPr>
          <w:trHeight w:val="462"/>
        </w:trPr>
        <w:tc>
          <w:tcPr>
            <w:tcW w:w="4106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Smoking</w:t>
            </w:r>
          </w:p>
        </w:tc>
        <w:tc>
          <w:tcPr>
            <w:tcW w:w="1985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11 (39.3)</w:t>
            </w:r>
          </w:p>
        </w:tc>
        <w:tc>
          <w:tcPr>
            <w:tcW w:w="226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11 (29.7)</w:t>
            </w:r>
          </w:p>
        </w:tc>
        <w:tc>
          <w:tcPr>
            <w:tcW w:w="850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0.420</w:t>
            </w:r>
          </w:p>
        </w:tc>
      </w:tr>
      <w:tr w:rsidR="00057CF6" w:rsidRPr="00057CF6" w:rsidTr="002D0DE1">
        <w:trPr>
          <w:trHeight w:val="462"/>
        </w:trPr>
        <w:tc>
          <w:tcPr>
            <w:tcW w:w="4106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Hyperlipidaemia</w:t>
            </w:r>
          </w:p>
        </w:tc>
        <w:tc>
          <w:tcPr>
            <w:tcW w:w="1985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14 (50.0)</w:t>
            </w:r>
          </w:p>
        </w:tc>
        <w:tc>
          <w:tcPr>
            <w:tcW w:w="226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22 (59.5)</w:t>
            </w:r>
          </w:p>
        </w:tc>
        <w:tc>
          <w:tcPr>
            <w:tcW w:w="850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0.447</w:t>
            </w:r>
          </w:p>
        </w:tc>
      </w:tr>
      <w:tr w:rsidR="00057CF6" w:rsidRPr="00057CF6" w:rsidTr="002D0DE1">
        <w:trPr>
          <w:trHeight w:val="462"/>
        </w:trPr>
        <w:tc>
          <w:tcPr>
            <w:tcW w:w="4106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Chronic obstructive pulmonary disease</w:t>
            </w:r>
          </w:p>
        </w:tc>
        <w:tc>
          <w:tcPr>
            <w:tcW w:w="1985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1 (3.6)</w:t>
            </w:r>
          </w:p>
        </w:tc>
        <w:tc>
          <w:tcPr>
            <w:tcW w:w="226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4 (10.8)</w:t>
            </w:r>
          </w:p>
        </w:tc>
        <w:tc>
          <w:tcPr>
            <w:tcW w:w="850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0.278</w:t>
            </w:r>
          </w:p>
        </w:tc>
      </w:tr>
      <w:tr w:rsidR="00057CF6" w:rsidRPr="00057CF6" w:rsidTr="002D0DE1">
        <w:trPr>
          <w:trHeight w:val="462"/>
        </w:trPr>
        <w:tc>
          <w:tcPr>
            <w:tcW w:w="4106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057CF6">
              <w:rPr>
                <w:rFonts w:eastAsia="Times New Roman" w:cs="Times New Roman"/>
                <w:szCs w:val="24"/>
                <w:lang w:val="en-US"/>
              </w:rPr>
              <w:lastRenderedPageBreak/>
              <w:t>Lactic acid concentration on admission</w:t>
            </w:r>
            <w:r w:rsidRPr="00057CF6">
              <w:rPr>
                <w:rFonts w:eastAsia="Times New Roman" w:cs="Times New Roman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985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5.1 (3.5-8.23)</w:t>
            </w:r>
          </w:p>
        </w:tc>
        <w:tc>
          <w:tcPr>
            <w:tcW w:w="226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5 (2.5-9.35)</w:t>
            </w:r>
          </w:p>
        </w:tc>
        <w:tc>
          <w:tcPr>
            <w:tcW w:w="850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0.917</w:t>
            </w:r>
          </w:p>
        </w:tc>
      </w:tr>
      <w:tr w:rsidR="00057CF6" w:rsidRPr="00057CF6" w:rsidTr="002D0DE1">
        <w:trPr>
          <w:trHeight w:val="462"/>
        </w:trPr>
        <w:tc>
          <w:tcPr>
            <w:tcW w:w="4106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b/>
                <w:szCs w:val="24"/>
                <w:lang w:val="en-US"/>
              </w:rPr>
            </w:pPr>
            <w:r w:rsidRPr="00057CF6">
              <w:rPr>
                <w:rFonts w:cs="Times New Roman"/>
                <w:szCs w:val="24"/>
                <w:lang w:val="en-US"/>
              </w:rPr>
              <w:t xml:space="preserve">Lactic acid concentration in the </w:t>
            </w:r>
            <w:r w:rsidRPr="00057CF6">
              <w:rPr>
                <w:rFonts w:cs="Times New Roman"/>
                <w:szCs w:val="24"/>
                <w:lang w:val="en-US"/>
              </w:rPr>
              <w:br/>
              <w:t>most abnormal arterial blood gas analysis</w:t>
            </w:r>
            <w:r w:rsidRPr="00057CF6">
              <w:rPr>
                <w:rFonts w:cs="Times New Roman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985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2.45 (1.18-4.03)</w:t>
            </w:r>
          </w:p>
        </w:tc>
        <w:tc>
          <w:tcPr>
            <w:tcW w:w="226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1.5 (1.08-2.5)</w:t>
            </w:r>
          </w:p>
        </w:tc>
        <w:tc>
          <w:tcPr>
            <w:tcW w:w="850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0.358</w:t>
            </w:r>
          </w:p>
        </w:tc>
      </w:tr>
      <w:tr w:rsidR="00057CF6" w:rsidRPr="00057CF6" w:rsidTr="002D0DE1">
        <w:trPr>
          <w:trHeight w:val="462"/>
        </w:trPr>
        <w:tc>
          <w:tcPr>
            <w:tcW w:w="4106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b/>
                <w:szCs w:val="24"/>
                <w:lang w:val="en-US"/>
              </w:rPr>
            </w:pPr>
            <w:r w:rsidRPr="00057CF6">
              <w:rPr>
                <w:rFonts w:cs="Times New Roman"/>
                <w:szCs w:val="24"/>
                <w:lang w:val="en-US"/>
              </w:rPr>
              <w:t>Blood pH in the most abnormal arterial blood gas analysis</w:t>
            </w:r>
          </w:p>
        </w:tc>
        <w:tc>
          <w:tcPr>
            <w:tcW w:w="1985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7.30 (7.24-7.36)</w:t>
            </w:r>
          </w:p>
        </w:tc>
        <w:tc>
          <w:tcPr>
            <w:tcW w:w="226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7.39 (7.31-7.41)</w:t>
            </w:r>
          </w:p>
        </w:tc>
        <w:tc>
          <w:tcPr>
            <w:tcW w:w="850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0.018</w:t>
            </w:r>
          </w:p>
        </w:tc>
      </w:tr>
      <w:tr w:rsidR="00057CF6" w:rsidRPr="00057CF6" w:rsidTr="002D0DE1">
        <w:trPr>
          <w:trHeight w:val="462"/>
        </w:trPr>
        <w:tc>
          <w:tcPr>
            <w:tcW w:w="4106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b/>
                <w:szCs w:val="24"/>
                <w:lang w:val="en-US"/>
              </w:rPr>
            </w:pPr>
            <w:r w:rsidRPr="00057CF6">
              <w:rPr>
                <w:rFonts w:cs="Times New Roman"/>
                <w:szCs w:val="24"/>
                <w:lang w:val="en-US"/>
              </w:rPr>
              <w:t>D-dimer concentration on admission</w:t>
            </w:r>
            <w:r w:rsidRPr="00057CF6">
              <w:rPr>
                <w:rFonts w:cs="Times New Roman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985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4889 (2224-10000)</w:t>
            </w:r>
          </w:p>
        </w:tc>
        <w:tc>
          <w:tcPr>
            <w:tcW w:w="226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3147 (2593-5679.5)</w:t>
            </w:r>
          </w:p>
        </w:tc>
        <w:tc>
          <w:tcPr>
            <w:tcW w:w="850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0.420</w:t>
            </w:r>
          </w:p>
        </w:tc>
      </w:tr>
      <w:tr w:rsidR="00057CF6" w:rsidRPr="00057CF6" w:rsidTr="002D0DE1">
        <w:trPr>
          <w:trHeight w:val="462"/>
        </w:trPr>
        <w:tc>
          <w:tcPr>
            <w:tcW w:w="4106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b/>
                <w:szCs w:val="24"/>
                <w:lang w:val="en-US"/>
              </w:rPr>
            </w:pPr>
            <w:r w:rsidRPr="00057CF6">
              <w:rPr>
                <w:rFonts w:cs="Times New Roman"/>
                <w:szCs w:val="24"/>
                <w:lang w:val="en-US"/>
              </w:rPr>
              <w:t>D-dimer at the discharge</w:t>
            </w:r>
            <w:r w:rsidRPr="00057CF6">
              <w:rPr>
                <w:rFonts w:cs="Times New Roman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985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1931 (503-2975)</w:t>
            </w:r>
          </w:p>
        </w:tc>
        <w:tc>
          <w:tcPr>
            <w:tcW w:w="226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1219 (1127.5-1527)</w:t>
            </w:r>
          </w:p>
        </w:tc>
        <w:tc>
          <w:tcPr>
            <w:tcW w:w="850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0.830</w:t>
            </w:r>
          </w:p>
        </w:tc>
      </w:tr>
      <w:tr w:rsidR="00057CF6" w:rsidRPr="00057CF6" w:rsidTr="002D0DE1">
        <w:trPr>
          <w:trHeight w:val="462"/>
        </w:trPr>
        <w:tc>
          <w:tcPr>
            <w:tcW w:w="4106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b/>
                <w:szCs w:val="24"/>
              </w:rPr>
            </w:pPr>
            <w:r w:rsidRPr="00057CF6">
              <w:rPr>
                <w:rFonts w:cs="Times New Roman"/>
                <w:szCs w:val="24"/>
              </w:rPr>
              <w:t>Initial diastole blood pressure</w:t>
            </w:r>
            <w:r w:rsidRPr="00057CF6">
              <w:rPr>
                <w:rFonts w:cs="Times New Roman"/>
                <w:szCs w:val="24"/>
                <w:vertAlign w:val="superscript"/>
              </w:rPr>
              <w:t>c</w:t>
            </w:r>
          </w:p>
        </w:tc>
        <w:tc>
          <w:tcPr>
            <w:tcW w:w="1985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70 (60-80)</w:t>
            </w:r>
          </w:p>
        </w:tc>
        <w:tc>
          <w:tcPr>
            <w:tcW w:w="226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60 (50-75)</w:t>
            </w:r>
          </w:p>
        </w:tc>
        <w:tc>
          <w:tcPr>
            <w:tcW w:w="850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0.132</w:t>
            </w:r>
          </w:p>
        </w:tc>
      </w:tr>
      <w:tr w:rsidR="00057CF6" w:rsidRPr="00057CF6" w:rsidTr="002D0DE1">
        <w:trPr>
          <w:trHeight w:val="462"/>
        </w:trPr>
        <w:tc>
          <w:tcPr>
            <w:tcW w:w="4106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b/>
                <w:szCs w:val="24"/>
                <w:lang w:val="en-US"/>
              </w:rPr>
            </w:pPr>
            <w:r w:rsidRPr="00057CF6">
              <w:rPr>
                <w:rFonts w:cs="Times New Roman"/>
                <w:szCs w:val="24"/>
                <w:lang w:val="en-US"/>
              </w:rPr>
              <w:t>Creatinine level at the discharge</w:t>
            </w:r>
            <w:r w:rsidRPr="00057CF6">
              <w:rPr>
                <w:rFonts w:cs="Times New Roman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1985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0.93 (0.81-1.4)</w:t>
            </w:r>
          </w:p>
        </w:tc>
        <w:tc>
          <w:tcPr>
            <w:tcW w:w="226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1.12 (0.92-1.61)</w:t>
            </w:r>
          </w:p>
        </w:tc>
        <w:tc>
          <w:tcPr>
            <w:tcW w:w="850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0.134</w:t>
            </w:r>
          </w:p>
        </w:tc>
      </w:tr>
      <w:tr w:rsidR="003F1003" w:rsidRPr="00057CF6" w:rsidTr="002D0DE1">
        <w:trPr>
          <w:trHeight w:val="288"/>
        </w:trPr>
        <w:tc>
          <w:tcPr>
            <w:tcW w:w="9209" w:type="dxa"/>
            <w:gridSpan w:val="4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057CF6">
              <w:rPr>
                <w:rFonts w:eastAsia="Times New Roman" w:cs="Times New Roman"/>
                <w:szCs w:val="24"/>
                <w:lang w:val="en-US"/>
              </w:rPr>
              <w:t>NYHA - New York Heart Association</w:t>
            </w:r>
          </w:p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057CF6">
              <w:rPr>
                <w:rFonts w:eastAsia="Times New Roman" w:cs="Times New Roman"/>
                <w:szCs w:val="24"/>
                <w:vertAlign w:val="superscript"/>
                <w:lang w:val="en-US"/>
              </w:rPr>
              <w:t xml:space="preserve">a - </w:t>
            </w:r>
            <w:r w:rsidRPr="00057CF6">
              <w:rPr>
                <w:rFonts w:eastAsia="Times New Roman" w:cs="Times New Roman"/>
                <w:szCs w:val="24"/>
                <w:lang w:val="en-US"/>
              </w:rPr>
              <w:t xml:space="preserve">mmol/l; </w:t>
            </w:r>
            <w:r w:rsidRPr="00057CF6">
              <w:rPr>
                <w:rFonts w:eastAsia="Times New Roman" w:cs="Times New Roman"/>
                <w:szCs w:val="24"/>
                <w:vertAlign w:val="superscript"/>
                <w:lang w:val="en-US"/>
              </w:rPr>
              <w:t>b</w:t>
            </w:r>
            <w:r w:rsidRPr="00057CF6">
              <w:rPr>
                <w:rFonts w:eastAsia="Times New Roman" w:cs="Times New Roman"/>
                <w:szCs w:val="24"/>
                <w:lang w:val="de-DE"/>
              </w:rPr>
              <w:t xml:space="preserve"> - ng/ml; </w:t>
            </w:r>
            <w:r w:rsidRPr="00057CF6">
              <w:rPr>
                <w:rFonts w:eastAsia="Times New Roman" w:cs="Times New Roman"/>
                <w:szCs w:val="24"/>
                <w:vertAlign w:val="superscript"/>
                <w:lang w:val="de-DE"/>
              </w:rPr>
              <w:t>c</w:t>
            </w:r>
            <w:r w:rsidRPr="00057CF6">
              <w:rPr>
                <w:rFonts w:eastAsia="Times New Roman" w:cs="Times New Roman"/>
                <w:szCs w:val="24"/>
                <w:lang w:val="de-DE"/>
              </w:rPr>
              <w:t xml:space="preserve"> – mmHg; </w:t>
            </w:r>
            <w:r w:rsidRPr="00057CF6">
              <w:rPr>
                <w:rFonts w:eastAsia="Times New Roman" w:cs="Times New Roman"/>
                <w:szCs w:val="24"/>
                <w:vertAlign w:val="superscript"/>
                <w:lang w:val="de-DE"/>
              </w:rPr>
              <w:t>d</w:t>
            </w:r>
            <w:r w:rsidRPr="00057CF6">
              <w:rPr>
                <w:rFonts w:eastAsia="Times New Roman" w:cs="Times New Roman"/>
                <w:szCs w:val="24"/>
                <w:lang w:val="de-DE"/>
              </w:rPr>
              <w:t xml:space="preserve"> - </w:t>
            </w:r>
            <w:r w:rsidRPr="00057CF6">
              <w:rPr>
                <w:rFonts w:eastAsia="Times New Roman" w:cs="Times New Roman"/>
                <w:szCs w:val="24"/>
                <w:lang w:val="en-US"/>
              </w:rPr>
              <w:t>mg/dl</w:t>
            </w:r>
          </w:p>
        </w:tc>
      </w:tr>
    </w:tbl>
    <w:p w:rsidR="003F1003" w:rsidRPr="00057CF6" w:rsidRDefault="003F1003" w:rsidP="003F1003">
      <w:pPr>
        <w:spacing w:after="160" w:line="259" w:lineRule="auto"/>
        <w:jc w:val="left"/>
        <w:rPr>
          <w:rFonts w:eastAsia="Times New Roman" w:cs="Times New Roman"/>
          <w:szCs w:val="24"/>
        </w:rPr>
      </w:pPr>
    </w:p>
    <w:p w:rsidR="003F1003" w:rsidRPr="00057CF6" w:rsidRDefault="003F1003" w:rsidP="003F1003">
      <w:pPr>
        <w:spacing w:after="160" w:line="259" w:lineRule="auto"/>
        <w:jc w:val="left"/>
        <w:rPr>
          <w:rFonts w:eastAsia="Times New Roman" w:cs="Times New Roman"/>
          <w:szCs w:val="24"/>
        </w:rPr>
      </w:pPr>
    </w:p>
    <w:p w:rsidR="003F1003" w:rsidRPr="00057CF6" w:rsidRDefault="003F1003" w:rsidP="003F1003">
      <w:pPr>
        <w:spacing w:after="160" w:line="259" w:lineRule="auto"/>
        <w:jc w:val="left"/>
        <w:rPr>
          <w:rFonts w:eastAsia="Times New Roman" w:cs="Times New Roman"/>
          <w:szCs w:val="24"/>
        </w:rPr>
      </w:pPr>
    </w:p>
    <w:p w:rsidR="003F1003" w:rsidRPr="00057CF6" w:rsidRDefault="003F1003" w:rsidP="003F1003">
      <w:pPr>
        <w:spacing w:after="160" w:line="259" w:lineRule="auto"/>
        <w:jc w:val="left"/>
        <w:rPr>
          <w:rFonts w:eastAsia="Times New Roman" w:cs="Times New Roman"/>
          <w:szCs w:val="24"/>
        </w:rPr>
      </w:pPr>
    </w:p>
    <w:p w:rsidR="003F1003" w:rsidRPr="00057CF6" w:rsidRDefault="003F1003" w:rsidP="003F1003">
      <w:pPr>
        <w:spacing w:after="160" w:line="259" w:lineRule="auto"/>
        <w:jc w:val="left"/>
        <w:rPr>
          <w:rFonts w:eastAsia="Times New Roman" w:cs="Times New Roman"/>
          <w:szCs w:val="24"/>
        </w:rPr>
      </w:pPr>
    </w:p>
    <w:p w:rsidR="00FE3038" w:rsidRPr="00057CF6" w:rsidRDefault="00FE3038" w:rsidP="003F1003">
      <w:pPr>
        <w:spacing w:after="160" w:line="259" w:lineRule="auto"/>
        <w:jc w:val="left"/>
        <w:rPr>
          <w:rFonts w:eastAsia="Times New Roman" w:cs="Times New Roman"/>
          <w:szCs w:val="24"/>
        </w:rPr>
      </w:pPr>
    </w:p>
    <w:p w:rsidR="00FE3038" w:rsidRPr="00057CF6" w:rsidRDefault="00FE3038" w:rsidP="003F1003">
      <w:pPr>
        <w:spacing w:after="160" w:line="259" w:lineRule="auto"/>
        <w:jc w:val="left"/>
        <w:rPr>
          <w:rFonts w:eastAsia="Times New Roman" w:cs="Times New Roman"/>
          <w:szCs w:val="24"/>
        </w:rPr>
      </w:pPr>
    </w:p>
    <w:p w:rsidR="00FE3038" w:rsidRPr="00057CF6" w:rsidRDefault="00FE3038" w:rsidP="003F1003">
      <w:pPr>
        <w:spacing w:after="160" w:line="259" w:lineRule="auto"/>
        <w:jc w:val="left"/>
        <w:rPr>
          <w:rFonts w:eastAsia="Times New Roman" w:cs="Times New Roman"/>
          <w:szCs w:val="24"/>
        </w:rPr>
      </w:pPr>
    </w:p>
    <w:p w:rsidR="00FE3038" w:rsidRPr="00057CF6" w:rsidRDefault="00FE3038" w:rsidP="003F1003">
      <w:pPr>
        <w:spacing w:after="160" w:line="259" w:lineRule="auto"/>
        <w:jc w:val="left"/>
        <w:rPr>
          <w:rFonts w:eastAsia="Times New Roman" w:cs="Times New Roman"/>
          <w:szCs w:val="24"/>
        </w:rPr>
      </w:pPr>
    </w:p>
    <w:p w:rsidR="00FE3038" w:rsidRPr="00057CF6" w:rsidRDefault="00FE3038" w:rsidP="003F1003">
      <w:pPr>
        <w:spacing w:after="160" w:line="259" w:lineRule="auto"/>
        <w:jc w:val="left"/>
        <w:rPr>
          <w:rFonts w:eastAsia="Times New Roman" w:cs="Times New Roman"/>
          <w:szCs w:val="24"/>
        </w:rPr>
      </w:pPr>
    </w:p>
    <w:p w:rsidR="00FE3038" w:rsidRPr="00057CF6" w:rsidRDefault="00FE3038" w:rsidP="003F1003">
      <w:pPr>
        <w:spacing w:after="160" w:line="259" w:lineRule="auto"/>
        <w:jc w:val="left"/>
        <w:rPr>
          <w:rFonts w:eastAsia="Times New Roman" w:cs="Times New Roman"/>
          <w:szCs w:val="24"/>
        </w:rPr>
      </w:pPr>
    </w:p>
    <w:p w:rsidR="00FE3038" w:rsidRPr="00057CF6" w:rsidRDefault="00FE3038" w:rsidP="003F1003">
      <w:pPr>
        <w:spacing w:after="160" w:line="259" w:lineRule="auto"/>
        <w:jc w:val="left"/>
        <w:rPr>
          <w:rFonts w:eastAsia="Times New Roman" w:cs="Times New Roman"/>
          <w:szCs w:val="24"/>
        </w:rPr>
      </w:pPr>
    </w:p>
    <w:p w:rsidR="003F1003" w:rsidRPr="00057CF6" w:rsidRDefault="003F1003" w:rsidP="003F1003">
      <w:pPr>
        <w:spacing w:after="160" w:line="259" w:lineRule="auto"/>
        <w:jc w:val="left"/>
        <w:rPr>
          <w:rFonts w:eastAsia="Times New Roman" w:cs="Times New Roman"/>
          <w:szCs w:val="24"/>
        </w:rPr>
      </w:pPr>
    </w:p>
    <w:p w:rsidR="003F1003" w:rsidRPr="00057CF6" w:rsidRDefault="003F1003" w:rsidP="003F1003">
      <w:pPr>
        <w:spacing w:after="160" w:line="259" w:lineRule="auto"/>
        <w:jc w:val="left"/>
        <w:rPr>
          <w:rFonts w:eastAsia="Times New Roman" w:cs="Times New Roman"/>
          <w:szCs w:val="24"/>
        </w:rPr>
      </w:pPr>
    </w:p>
    <w:p w:rsidR="003F1003" w:rsidRPr="00057CF6" w:rsidRDefault="003F1003" w:rsidP="003F1003">
      <w:pPr>
        <w:spacing w:after="160" w:line="259" w:lineRule="auto"/>
        <w:jc w:val="left"/>
        <w:rPr>
          <w:rFonts w:eastAsia="Times New Roman" w:cs="Times New Roman"/>
          <w:szCs w:val="24"/>
        </w:rPr>
      </w:pPr>
    </w:p>
    <w:p w:rsidR="003F1003" w:rsidRPr="00057CF6" w:rsidRDefault="00FE3038" w:rsidP="003F1003">
      <w:pPr>
        <w:spacing w:line="480" w:lineRule="auto"/>
        <w:jc w:val="left"/>
        <w:rPr>
          <w:rFonts w:eastAsia="Times New Roman" w:cs="Times New Roman"/>
          <w:szCs w:val="24"/>
        </w:rPr>
      </w:pPr>
      <w:r w:rsidRPr="00057CF6">
        <w:rPr>
          <w:rFonts w:cs="Times New Roman"/>
          <w:szCs w:val="24"/>
          <w:lang w:val="en-US"/>
        </w:rPr>
        <w:lastRenderedPageBreak/>
        <w:t xml:space="preserve">Supplementary </w:t>
      </w:r>
      <w:r w:rsidR="003F1003" w:rsidRPr="00057CF6">
        <w:rPr>
          <w:rFonts w:eastAsia="Times New Roman" w:cs="Times New Roman"/>
          <w:szCs w:val="24"/>
        </w:rPr>
        <w:t xml:space="preserve">Table </w:t>
      </w:r>
      <w:r w:rsidRPr="00057CF6">
        <w:rPr>
          <w:rFonts w:eastAsia="Times New Roman" w:cs="Times New Roman"/>
          <w:szCs w:val="24"/>
        </w:rPr>
        <w:t>2</w:t>
      </w:r>
      <w:r w:rsidR="003F1003" w:rsidRPr="00057CF6">
        <w:rPr>
          <w:rFonts w:eastAsia="Times New Roman" w:cs="Times New Roman"/>
          <w:szCs w:val="24"/>
        </w:rPr>
        <w:t xml:space="preserve">. </w:t>
      </w:r>
      <w:r w:rsidR="003F1003" w:rsidRPr="00057CF6">
        <w:rPr>
          <w:rFonts w:cs="Times New Roman"/>
          <w:szCs w:val="24"/>
        </w:rPr>
        <w:t>Analysis of in-hospital causes of death in both groups (n – number of patients, %)</w:t>
      </w:r>
    </w:p>
    <w:tbl>
      <w:tblPr>
        <w:tblStyle w:val="Siatkatabelijasna1"/>
        <w:tblpPr w:leftFromText="142" w:rightFromText="142" w:vertAnchor="text" w:horzAnchor="margin" w:tblpY="1"/>
        <w:tblW w:w="9067" w:type="dxa"/>
        <w:tblLook w:val="01E0" w:firstRow="1" w:lastRow="1" w:firstColumn="1" w:lastColumn="1" w:noHBand="0" w:noVBand="0"/>
      </w:tblPr>
      <w:tblGrid>
        <w:gridCol w:w="3604"/>
        <w:gridCol w:w="1737"/>
        <w:gridCol w:w="2754"/>
        <w:gridCol w:w="972"/>
      </w:tblGrid>
      <w:tr w:rsidR="00057CF6" w:rsidRPr="00057CF6" w:rsidTr="002D0DE1">
        <w:trPr>
          <w:trHeight w:val="459"/>
        </w:trPr>
        <w:tc>
          <w:tcPr>
            <w:tcW w:w="0" w:type="auto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 xml:space="preserve">MTH group </w:t>
            </w:r>
          </w:p>
        </w:tc>
        <w:tc>
          <w:tcPr>
            <w:tcW w:w="2754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 xml:space="preserve">Control group </w:t>
            </w:r>
          </w:p>
        </w:tc>
        <w:tc>
          <w:tcPr>
            <w:tcW w:w="972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p</w:t>
            </w:r>
          </w:p>
        </w:tc>
      </w:tr>
      <w:tr w:rsidR="00057CF6" w:rsidRPr="00057CF6" w:rsidTr="002D0DE1">
        <w:trPr>
          <w:trHeight w:val="588"/>
        </w:trPr>
        <w:tc>
          <w:tcPr>
            <w:tcW w:w="0" w:type="auto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Number of deaths</w:t>
            </w:r>
          </w:p>
        </w:tc>
        <w:tc>
          <w:tcPr>
            <w:tcW w:w="0" w:type="auto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10 (35.7)</w:t>
            </w:r>
          </w:p>
        </w:tc>
        <w:tc>
          <w:tcPr>
            <w:tcW w:w="2754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15 (40.4)</w:t>
            </w:r>
          </w:p>
        </w:tc>
        <w:tc>
          <w:tcPr>
            <w:tcW w:w="972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0.692</w:t>
            </w:r>
          </w:p>
        </w:tc>
      </w:tr>
      <w:tr w:rsidR="00057CF6" w:rsidRPr="00057CF6" w:rsidTr="002D0DE1">
        <w:trPr>
          <w:trHeight w:val="459"/>
        </w:trPr>
        <w:tc>
          <w:tcPr>
            <w:tcW w:w="0" w:type="auto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Cardiogenic shock</w:t>
            </w:r>
          </w:p>
        </w:tc>
        <w:tc>
          <w:tcPr>
            <w:tcW w:w="0" w:type="auto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5 (17.9)</w:t>
            </w:r>
          </w:p>
        </w:tc>
        <w:tc>
          <w:tcPr>
            <w:tcW w:w="2754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7 (18.9)</w:t>
            </w:r>
          </w:p>
        </w:tc>
        <w:tc>
          <w:tcPr>
            <w:tcW w:w="972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0.913</w:t>
            </w:r>
          </w:p>
        </w:tc>
      </w:tr>
      <w:tr w:rsidR="00057CF6" w:rsidRPr="00057CF6" w:rsidTr="002D0DE1">
        <w:trPr>
          <w:trHeight w:val="459"/>
        </w:trPr>
        <w:tc>
          <w:tcPr>
            <w:tcW w:w="0" w:type="auto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Pneumonia</w:t>
            </w:r>
          </w:p>
        </w:tc>
        <w:tc>
          <w:tcPr>
            <w:tcW w:w="0" w:type="auto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1 (3.6)</w:t>
            </w:r>
          </w:p>
        </w:tc>
        <w:tc>
          <w:tcPr>
            <w:tcW w:w="2754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4 (10.8)</w:t>
            </w:r>
          </w:p>
        </w:tc>
        <w:tc>
          <w:tcPr>
            <w:tcW w:w="972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0.278</w:t>
            </w:r>
          </w:p>
        </w:tc>
      </w:tr>
      <w:tr w:rsidR="00057CF6" w:rsidRPr="00057CF6" w:rsidTr="002D0DE1">
        <w:trPr>
          <w:trHeight w:val="459"/>
        </w:trPr>
        <w:tc>
          <w:tcPr>
            <w:tcW w:w="0" w:type="auto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b/>
                <w:szCs w:val="24"/>
              </w:rPr>
              <w:t>Asystole</w:t>
            </w:r>
          </w:p>
        </w:tc>
        <w:tc>
          <w:tcPr>
            <w:tcW w:w="0" w:type="auto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b/>
                <w:szCs w:val="24"/>
              </w:rPr>
              <w:t>3 (10.7)</w:t>
            </w:r>
          </w:p>
        </w:tc>
        <w:tc>
          <w:tcPr>
            <w:tcW w:w="2754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b/>
                <w:szCs w:val="24"/>
              </w:rPr>
              <w:t>10 (27.0)</w:t>
            </w:r>
          </w:p>
        </w:tc>
        <w:tc>
          <w:tcPr>
            <w:tcW w:w="972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057CF6">
              <w:rPr>
                <w:rFonts w:eastAsia="Times New Roman" w:cs="Times New Roman"/>
                <w:b/>
                <w:szCs w:val="24"/>
              </w:rPr>
              <w:t>0.04</w:t>
            </w:r>
          </w:p>
        </w:tc>
      </w:tr>
      <w:tr w:rsidR="00057CF6" w:rsidRPr="00057CF6" w:rsidTr="002D0DE1">
        <w:trPr>
          <w:trHeight w:val="459"/>
        </w:trPr>
        <w:tc>
          <w:tcPr>
            <w:tcW w:w="0" w:type="auto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PEA</w:t>
            </w:r>
          </w:p>
        </w:tc>
        <w:tc>
          <w:tcPr>
            <w:tcW w:w="0" w:type="auto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4 (14.8)</w:t>
            </w:r>
          </w:p>
        </w:tc>
        <w:tc>
          <w:tcPr>
            <w:tcW w:w="2754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2 (5.4)</w:t>
            </w:r>
          </w:p>
        </w:tc>
        <w:tc>
          <w:tcPr>
            <w:tcW w:w="972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0.202</w:t>
            </w:r>
          </w:p>
        </w:tc>
      </w:tr>
      <w:tr w:rsidR="00057CF6" w:rsidRPr="00057CF6" w:rsidTr="002D0DE1">
        <w:trPr>
          <w:trHeight w:val="459"/>
        </w:trPr>
        <w:tc>
          <w:tcPr>
            <w:tcW w:w="0" w:type="auto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Multiple organ dysfunction</w:t>
            </w:r>
          </w:p>
        </w:tc>
        <w:tc>
          <w:tcPr>
            <w:tcW w:w="0" w:type="auto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6 (21.4)</w:t>
            </w:r>
          </w:p>
        </w:tc>
        <w:tc>
          <w:tcPr>
            <w:tcW w:w="2754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6 (16.2)</w:t>
            </w:r>
          </w:p>
        </w:tc>
        <w:tc>
          <w:tcPr>
            <w:tcW w:w="972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eastAsia="Times New Roman" w:cs="Times New Roman"/>
                <w:szCs w:val="24"/>
              </w:rPr>
            </w:pPr>
            <w:r w:rsidRPr="00057CF6">
              <w:rPr>
                <w:rFonts w:eastAsia="Times New Roman" w:cs="Times New Roman"/>
                <w:szCs w:val="24"/>
              </w:rPr>
              <w:t>0.5921</w:t>
            </w:r>
          </w:p>
        </w:tc>
      </w:tr>
    </w:tbl>
    <w:p w:rsidR="00FE3038" w:rsidRPr="00057CF6" w:rsidRDefault="00FE3038"/>
    <w:p w:rsidR="00184617" w:rsidRPr="00057CF6" w:rsidRDefault="00FE3038" w:rsidP="00FE3038">
      <w:pPr>
        <w:spacing w:after="160" w:line="259" w:lineRule="auto"/>
        <w:jc w:val="left"/>
      </w:pPr>
      <w:r w:rsidRPr="00057CF6">
        <w:br w:type="page"/>
      </w:r>
    </w:p>
    <w:p w:rsidR="003F1003" w:rsidRPr="00057CF6" w:rsidRDefault="00FE3038">
      <w:r w:rsidRPr="00057CF6">
        <w:rPr>
          <w:rFonts w:cs="Times New Roman"/>
          <w:szCs w:val="24"/>
          <w:lang w:val="en-US"/>
        </w:rPr>
        <w:lastRenderedPageBreak/>
        <w:t xml:space="preserve">Supplementary </w:t>
      </w:r>
      <w:r w:rsidR="003F1003" w:rsidRPr="00057CF6">
        <w:rPr>
          <w:rFonts w:cs="Times New Roman"/>
          <w:szCs w:val="24"/>
        </w:rPr>
        <w:t xml:space="preserve">Table </w:t>
      </w:r>
      <w:r w:rsidRPr="00057CF6">
        <w:rPr>
          <w:rFonts w:cs="Times New Roman"/>
          <w:szCs w:val="24"/>
        </w:rPr>
        <w:t>3</w:t>
      </w:r>
      <w:r w:rsidR="003F1003" w:rsidRPr="00057CF6">
        <w:rPr>
          <w:rFonts w:cs="Times New Roman"/>
          <w:szCs w:val="24"/>
        </w:rPr>
        <w:t>. Complication comparison in examined groups (n – number of patients, %)</w:t>
      </w:r>
    </w:p>
    <w:tbl>
      <w:tblPr>
        <w:tblStyle w:val="Siatkatabelijasna1"/>
        <w:tblpPr w:leftFromText="142" w:rightFromText="142" w:vertAnchor="text" w:horzAnchor="margin" w:tblpY="1"/>
        <w:tblW w:w="9441" w:type="dxa"/>
        <w:tblLook w:val="04A0" w:firstRow="1" w:lastRow="0" w:firstColumn="1" w:lastColumn="0" w:noHBand="0" w:noVBand="1"/>
      </w:tblPr>
      <w:tblGrid>
        <w:gridCol w:w="3852"/>
        <w:gridCol w:w="1812"/>
        <w:gridCol w:w="2548"/>
        <w:gridCol w:w="1229"/>
      </w:tblGrid>
      <w:tr w:rsidR="00057CF6" w:rsidRPr="00057CF6" w:rsidTr="002D0DE1">
        <w:trPr>
          <w:trHeight w:val="421"/>
        </w:trPr>
        <w:tc>
          <w:tcPr>
            <w:tcW w:w="3852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812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 xml:space="preserve">MTH </w:t>
            </w:r>
          </w:p>
        </w:tc>
        <w:tc>
          <w:tcPr>
            <w:tcW w:w="254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 xml:space="preserve">Control group </w:t>
            </w:r>
          </w:p>
        </w:tc>
        <w:tc>
          <w:tcPr>
            <w:tcW w:w="1229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p</w:t>
            </w:r>
          </w:p>
        </w:tc>
      </w:tr>
      <w:tr w:rsidR="00057CF6" w:rsidRPr="00057CF6" w:rsidTr="002D0DE1">
        <w:trPr>
          <w:trHeight w:val="451"/>
        </w:trPr>
        <w:tc>
          <w:tcPr>
            <w:tcW w:w="3852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VF/VT</w:t>
            </w:r>
          </w:p>
        </w:tc>
        <w:tc>
          <w:tcPr>
            <w:tcW w:w="1812" w:type="dxa"/>
          </w:tcPr>
          <w:p w:rsidR="003F1003" w:rsidRPr="00057CF6" w:rsidRDefault="003F1003" w:rsidP="002D0DE1">
            <w:pPr>
              <w:spacing w:before="240"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1 (3.6)</w:t>
            </w:r>
          </w:p>
        </w:tc>
        <w:tc>
          <w:tcPr>
            <w:tcW w:w="254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6 (16.2)</w:t>
            </w:r>
          </w:p>
        </w:tc>
        <w:tc>
          <w:tcPr>
            <w:tcW w:w="1229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0.1</w:t>
            </w:r>
          </w:p>
        </w:tc>
      </w:tr>
      <w:tr w:rsidR="00057CF6" w:rsidRPr="00057CF6" w:rsidTr="002D0DE1">
        <w:trPr>
          <w:trHeight w:val="421"/>
        </w:trPr>
        <w:tc>
          <w:tcPr>
            <w:tcW w:w="3852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b/>
                <w:szCs w:val="24"/>
              </w:rPr>
            </w:pPr>
            <w:r w:rsidRPr="00057CF6">
              <w:rPr>
                <w:rFonts w:cs="Times New Roman"/>
                <w:b/>
                <w:szCs w:val="24"/>
              </w:rPr>
              <w:t>Asystole</w:t>
            </w:r>
          </w:p>
        </w:tc>
        <w:tc>
          <w:tcPr>
            <w:tcW w:w="1812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b/>
                <w:szCs w:val="24"/>
              </w:rPr>
            </w:pPr>
            <w:r w:rsidRPr="00057CF6">
              <w:rPr>
                <w:rFonts w:cs="Times New Roman"/>
                <w:b/>
                <w:szCs w:val="24"/>
              </w:rPr>
              <w:t>2 (7.1)</w:t>
            </w:r>
          </w:p>
        </w:tc>
        <w:tc>
          <w:tcPr>
            <w:tcW w:w="254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b/>
                <w:szCs w:val="24"/>
              </w:rPr>
            </w:pPr>
            <w:r w:rsidRPr="00057CF6">
              <w:rPr>
                <w:rFonts w:cs="Times New Roman"/>
                <w:b/>
                <w:szCs w:val="24"/>
              </w:rPr>
              <w:t>10 (27)</w:t>
            </w:r>
          </w:p>
        </w:tc>
        <w:tc>
          <w:tcPr>
            <w:tcW w:w="1229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b/>
                <w:szCs w:val="24"/>
                <w:u w:val="single"/>
              </w:rPr>
            </w:pPr>
            <w:r w:rsidRPr="00057CF6">
              <w:rPr>
                <w:rFonts w:cs="Times New Roman"/>
                <w:b/>
                <w:szCs w:val="24"/>
                <w:u w:val="single"/>
              </w:rPr>
              <w:t>0.04</w:t>
            </w:r>
          </w:p>
        </w:tc>
      </w:tr>
      <w:tr w:rsidR="00057CF6" w:rsidRPr="00057CF6" w:rsidTr="002D0DE1">
        <w:trPr>
          <w:trHeight w:val="421"/>
        </w:trPr>
        <w:tc>
          <w:tcPr>
            <w:tcW w:w="3852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  <w:highlight w:val="yellow"/>
              </w:rPr>
            </w:pPr>
            <w:r w:rsidRPr="00057CF6">
              <w:rPr>
                <w:rFonts w:cs="Times New Roman"/>
                <w:szCs w:val="24"/>
              </w:rPr>
              <w:t>PEA</w:t>
            </w:r>
          </w:p>
        </w:tc>
        <w:tc>
          <w:tcPr>
            <w:tcW w:w="1812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2 (7.1)</w:t>
            </w:r>
          </w:p>
        </w:tc>
        <w:tc>
          <w:tcPr>
            <w:tcW w:w="254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2 (5.4)</w:t>
            </w:r>
          </w:p>
        </w:tc>
        <w:tc>
          <w:tcPr>
            <w:tcW w:w="1229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0.77</w:t>
            </w:r>
          </w:p>
        </w:tc>
      </w:tr>
      <w:tr w:rsidR="00057CF6" w:rsidRPr="00057CF6" w:rsidTr="002D0DE1">
        <w:trPr>
          <w:trHeight w:val="421"/>
        </w:trPr>
        <w:tc>
          <w:tcPr>
            <w:tcW w:w="3852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Paroxysmal atrial fibrillation</w:t>
            </w:r>
          </w:p>
        </w:tc>
        <w:tc>
          <w:tcPr>
            <w:tcW w:w="1812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5 (17.9)</w:t>
            </w:r>
          </w:p>
        </w:tc>
        <w:tc>
          <w:tcPr>
            <w:tcW w:w="254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4 (10.8)</w:t>
            </w:r>
          </w:p>
        </w:tc>
        <w:tc>
          <w:tcPr>
            <w:tcW w:w="1229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0.41</w:t>
            </w:r>
          </w:p>
        </w:tc>
      </w:tr>
      <w:tr w:rsidR="00057CF6" w:rsidRPr="00057CF6" w:rsidTr="002D0DE1">
        <w:trPr>
          <w:trHeight w:val="421"/>
        </w:trPr>
        <w:tc>
          <w:tcPr>
            <w:tcW w:w="3852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Bleeding</w:t>
            </w:r>
          </w:p>
        </w:tc>
        <w:tc>
          <w:tcPr>
            <w:tcW w:w="1812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5 (17.9)</w:t>
            </w:r>
          </w:p>
        </w:tc>
        <w:tc>
          <w:tcPr>
            <w:tcW w:w="254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3 (8.1)</w:t>
            </w:r>
          </w:p>
        </w:tc>
        <w:tc>
          <w:tcPr>
            <w:tcW w:w="1229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0.23</w:t>
            </w:r>
          </w:p>
        </w:tc>
      </w:tr>
      <w:tr w:rsidR="00057CF6" w:rsidRPr="00057CF6" w:rsidTr="002D0DE1">
        <w:trPr>
          <w:trHeight w:val="421"/>
        </w:trPr>
        <w:tc>
          <w:tcPr>
            <w:tcW w:w="3852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Pneumonia</w:t>
            </w:r>
          </w:p>
        </w:tc>
        <w:tc>
          <w:tcPr>
            <w:tcW w:w="1812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11 (39.3)</w:t>
            </w:r>
          </w:p>
        </w:tc>
        <w:tc>
          <w:tcPr>
            <w:tcW w:w="254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11 (29.7)</w:t>
            </w:r>
          </w:p>
        </w:tc>
        <w:tc>
          <w:tcPr>
            <w:tcW w:w="1229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0.42</w:t>
            </w:r>
          </w:p>
        </w:tc>
      </w:tr>
      <w:tr w:rsidR="00057CF6" w:rsidRPr="00057CF6" w:rsidTr="002D0DE1">
        <w:trPr>
          <w:trHeight w:val="421"/>
        </w:trPr>
        <w:tc>
          <w:tcPr>
            <w:tcW w:w="3852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Sepsis</w:t>
            </w:r>
          </w:p>
        </w:tc>
        <w:tc>
          <w:tcPr>
            <w:tcW w:w="1812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2 (7.1)</w:t>
            </w:r>
          </w:p>
        </w:tc>
        <w:tc>
          <w:tcPr>
            <w:tcW w:w="254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2 (5.4)</w:t>
            </w:r>
          </w:p>
        </w:tc>
        <w:tc>
          <w:tcPr>
            <w:tcW w:w="1229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0.77</w:t>
            </w:r>
          </w:p>
        </w:tc>
      </w:tr>
      <w:tr w:rsidR="00057CF6" w:rsidRPr="00057CF6" w:rsidTr="002D0DE1">
        <w:trPr>
          <w:trHeight w:val="421"/>
        </w:trPr>
        <w:tc>
          <w:tcPr>
            <w:tcW w:w="3852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Style w:val="span9"/>
                <w:rFonts w:cs="Times New Roman"/>
                <w:szCs w:val="24"/>
              </w:rPr>
              <w:t>AKI</w:t>
            </w:r>
          </w:p>
        </w:tc>
        <w:tc>
          <w:tcPr>
            <w:tcW w:w="1812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4 (14.3)</w:t>
            </w:r>
          </w:p>
        </w:tc>
        <w:tc>
          <w:tcPr>
            <w:tcW w:w="2548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1 (2.7)</w:t>
            </w:r>
          </w:p>
        </w:tc>
        <w:tc>
          <w:tcPr>
            <w:tcW w:w="1229" w:type="dxa"/>
          </w:tcPr>
          <w:p w:rsidR="003F1003" w:rsidRPr="00057CF6" w:rsidRDefault="003F1003" w:rsidP="002D0DE1">
            <w:pPr>
              <w:spacing w:line="480" w:lineRule="auto"/>
              <w:jc w:val="left"/>
              <w:rPr>
                <w:rFonts w:cs="Times New Roman"/>
                <w:szCs w:val="24"/>
              </w:rPr>
            </w:pPr>
            <w:r w:rsidRPr="00057CF6">
              <w:rPr>
                <w:rFonts w:cs="Times New Roman"/>
                <w:szCs w:val="24"/>
              </w:rPr>
              <w:t>0.08</w:t>
            </w:r>
          </w:p>
        </w:tc>
      </w:tr>
    </w:tbl>
    <w:p w:rsidR="003F1003" w:rsidRPr="00057CF6" w:rsidRDefault="003F1003"/>
    <w:p w:rsidR="009868BC" w:rsidRPr="00057CF6" w:rsidRDefault="009868BC"/>
    <w:p w:rsidR="009868BC" w:rsidRPr="00057CF6" w:rsidRDefault="009868BC"/>
    <w:p w:rsidR="009868BC" w:rsidRPr="00057CF6" w:rsidRDefault="00FE3038" w:rsidP="00FE3038">
      <w:pPr>
        <w:spacing w:after="160" w:line="259" w:lineRule="auto"/>
        <w:jc w:val="left"/>
      </w:pPr>
      <w:r w:rsidRPr="00057CF6">
        <w:br w:type="page"/>
      </w:r>
    </w:p>
    <w:p w:rsidR="009868BC" w:rsidRPr="00057CF6" w:rsidRDefault="00FE3038" w:rsidP="009868BC">
      <w:pPr>
        <w:spacing w:line="480" w:lineRule="auto"/>
        <w:jc w:val="left"/>
        <w:rPr>
          <w:rFonts w:eastAsia="Times New Roman" w:cs="Times New Roman"/>
          <w:szCs w:val="24"/>
        </w:rPr>
      </w:pPr>
      <w:r w:rsidRPr="00057CF6">
        <w:rPr>
          <w:rFonts w:eastAsia="Times New Roman" w:cs="Times New Roman"/>
          <w:szCs w:val="24"/>
        </w:rPr>
        <w:lastRenderedPageBreak/>
        <w:t xml:space="preserve">Supplementary </w:t>
      </w:r>
      <w:r w:rsidR="009868BC" w:rsidRPr="00057CF6">
        <w:rPr>
          <w:rFonts w:eastAsia="Times New Roman" w:cs="Times New Roman"/>
          <w:szCs w:val="24"/>
        </w:rPr>
        <w:t xml:space="preserve">Figure 1. Percentage distribution comparison of neurological outcomes in GCS and CPC in both groups after treatment. </w:t>
      </w:r>
    </w:p>
    <w:p w:rsidR="009868BC" w:rsidRPr="00057CF6" w:rsidRDefault="009868BC" w:rsidP="009868BC">
      <w:pPr>
        <w:spacing w:after="160" w:line="259" w:lineRule="auto"/>
        <w:jc w:val="left"/>
        <w:rPr>
          <w:rFonts w:eastAsia="Times New Roman" w:cs="Times New Roman"/>
          <w:szCs w:val="24"/>
        </w:rPr>
      </w:pPr>
      <w:r w:rsidRPr="00057CF6">
        <w:rPr>
          <w:rFonts w:eastAsia="Times New Roman" w:cs="Times New Roman"/>
          <w:noProof/>
          <w:szCs w:val="24"/>
        </w:rPr>
        <w:drawing>
          <wp:inline distT="0" distB="0" distL="0" distR="0" wp14:anchorId="6BC9C835" wp14:editId="37127F3B">
            <wp:extent cx="4029075" cy="1362075"/>
            <wp:effectExtent l="0" t="0" r="9525" b="9525"/>
            <wp:docPr id="1" name="Obraz 1" descr="C:\Users\Kasia\Desktop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FIGURE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BC" w:rsidRPr="009868BC" w:rsidRDefault="009868BC" w:rsidP="009868BC">
      <w:pPr>
        <w:spacing w:after="160" w:line="259" w:lineRule="auto"/>
        <w:jc w:val="left"/>
        <w:rPr>
          <w:rFonts w:eastAsia="Times New Roman" w:cs="Times New Roman"/>
          <w:szCs w:val="24"/>
        </w:rPr>
      </w:pPr>
    </w:p>
    <w:sectPr w:rsidR="009868BC" w:rsidRPr="0098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998" w:rsidRDefault="006C0998" w:rsidP="008F429B">
      <w:pPr>
        <w:spacing w:line="240" w:lineRule="auto"/>
      </w:pPr>
      <w:r>
        <w:separator/>
      </w:r>
    </w:p>
  </w:endnote>
  <w:endnote w:type="continuationSeparator" w:id="0">
    <w:p w:rsidR="006C0998" w:rsidRDefault="006C0998" w:rsidP="008F4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998" w:rsidRDefault="006C0998" w:rsidP="008F429B">
      <w:pPr>
        <w:spacing w:line="240" w:lineRule="auto"/>
      </w:pPr>
      <w:r>
        <w:separator/>
      </w:r>
    </w:p>
  </w:footnote>
  <w:footnote w:type="continuationSeparator" w:id="0">
    <w:p w:rsidR="006C0998" w:rsidRDefault="006C0998" w:rsidP="008F42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E13FF"/>
    <w:multiLevelType w:val="hybridMultilevel"/>
    <w:tmpl w:val="31F867CA"/>
    <w:lvl w:ilvl="0" w:tplc="218A33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C7007E"/>
    <w:multiLevelType w:val="hybridMultilevel"/>
    <w:tmpl w:val="FC1C4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03"/>
    <w:rsid w:val="00057CF6"/>
    <w:rsid w:val="00137547"/>
    <w:rsid w:val="00184617"/>
    <w:rsid w:val="003F1003"/>
    <w:rsid w:val="00433ABB"/>
    <w:rsid w:val="006C0998"/>
    <w:rsid w:val="007E2CC7"/>
    <w:rsid w:val="0082274A"/>
    <w:rsid w:val="008F429B"/>
    <w:rsid w:val="009868BC"/>
    <w:rsid w:val="00AF15DF"/>
    <w:rsid w:val="00B75352"/>
    <w:rsid w:val="00CC012E"/>
    <w:rsid w:val="00E34FBA"/>
    <w:rsid w:val="00E95477"/>
    <w:rsid w:val="00FA62C7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003"/>
    <w:pPr>
      <w:spacing w:after="0" w:line="36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iatkatabelijasna1">
    <w:name w:val="Siatka tabeli — jasna1"/>
    <w:basedOn w:val="Standardowy"/>
    <w:uiPriority w:val="40"/>
    <w:rsid w:val="003F1003"/>
    <w:pPr>
      <w:spacing w:after="200" w:line="276" w:lineRule="auto"/>
    </w:pPr>
    <w:rPr>
      <w:rFonts w:eastAsiaTheme="minorEastAsia"/>
      <w:lang w:val="pl-PL"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qFormat/>
    <w:rsid w:val="003F1003"/>
    <w:pPr>
      <w:ind w:left="720"/>
      <w:contextualSpacing/>
    </w:pPr>
  </w:style>
  <w:style w:type="character" w:customStyle="1" w:styleId="span9">
    <w:name w:val="span9"/>
    <w:basedOn w:val="Domylnaczcionkaakapitu"/>
    <w:rsid w:val="003F1003"/>
  </w:style>
  <w:style w:type="paragraph" w:styleId="Nagwek">
    <w:name w:val="header"/>
    <w:basedOn w:val="Normalny"/>
    <w:link w:val="NagwekZnak"/>
    <w:uiPriority w:val="99"/>
    <w:unhideWhenUsed/>
    <w:rsid w:val="008F42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29B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2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29B"/>
    <w:rPr>
      <w:rFonts w:ascii="Times New Roman" w:eastAsiaTheme="minorEastAsia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2018-02-15T22:14:00Z</dcterms:created>
  <dcterms:modified xsi:type="dcterms:W3CDTF">2018-02-15T22:15:00Z</dcterms:modified>
</cp:coreProperties>
</file>