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line="360" w:lineRule="auto"/>
        <w:jc w:val="both"/>
        <w:rPr>
          <w:rFonts w:ascii="Arial" w:hAnsi="Arial"/>
          <w:color w:val="000000"/>
          <w:sz w:val="22"/>
          <w:szCs w:val="22"/>
          <w:u w:color="000000"/>
        </w:rPr>
      </w:pPr>
    </w:p>
    <w:p>
      <w:pPr>
        <w:pStyle w:val="Normal.0"/>
        <w:suppressAutoHyphens w:val="1"/>
        <w:spacing w:line="360" w:lineRule="auto"/>
        <w:jc w:val="both"/>
        <w:rPr>
          <w:rFonts w:ascii="Arial" w:hAnsi="Arial"/>
          <w:color w:val="000000"/>
          <w:sz w:val="22"/>
          <w:szCs w:val="22"/>
          <w:u w:color="000000"/>
        </w:rPr>
      </w:pPr>
    </w:p>
    <w:tbl>
      <w:tblPr>
        <w:tblW w:w="963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04"/>
        <w:gridCol w:w="1205"/>
        <w:gridCol w:w="1204"/>
        <w:gridCol w:w="1204"/>
        <w:gridCol w:w="1204"/>
        <w:gridCol w:w="1203"/>
        <w:gridCol w:w="1204"/>
        <w:gridCol w:w="1203"/>
      </w:tblGrid>
      <w:tr>
        <w:tblPrEx>
          <w:shd w:val="clear" w:color="auto" w:fill="00a2ff"/>
        </w:tblPrEx>
        <w:trPr>
          <w:trHeight w:val="1892" w:hRule="atLeast"/>
          <w:tblHeader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Sentinel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®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 Cerebral Protection System (Claret Medical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, Inc.)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fr-FR"/>
              </w:rPr>
              <w:t>Point-Guard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™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 xml:space="preserve"> Dynamic Cerebral Embolic Protection (Transverse Medical, Inc.) 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TriGuard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i w:val="1"/>
                <w:iCs w:val="1"/>
                <w:sz w:val="14"/>
                <w:szCs w:val="14"/>
                <w:rtl w:val="0"/>
                <w:lang w:val="de-DE"/>
              </w:rPr>
              <w:t>3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™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 Embolic Deflection Device (Keystone Heart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, Inc.)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  <w:rPr>
                <w:rFonts w:ascii="Arial" w:cs="Arial" w:hAnsi="Arial" w:eastAsia="Arial"/>
                <w:b w:val="1"/>
                <w:bCs w:val="1"/>
                <w:sz w:val="14"/>
                <w:szCs w:val="14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Emblok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™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Embolic Protection System 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(ICS, LLC.)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pt-PT"/>
              </w:rPr>
              <w:t>ProtEmbo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®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 xml:space="preserve"> Cerebral Protection System (Protembis GmbH)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Emboline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>r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™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 Embolic Protection Catheter (Emboline, Inc.)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it-IT"/>
              </w:rPr>
              <w:t>Embrella</w:t>
            </w:r>
            <w:r>
              <w:rPr>
                <w:rFonts w:ascii="Arial" w:hAnsi="Arial" w:hint="default"/>
                <w:b w:val="1"/>
                <w:bCs w:val="1"/>
                <w:sz w:val="14"/>
                <w:szCs w:val="14"/>
                <w:vertAlign w:val="superscript"/>
                <w:rtl w:val="0"/>
                <w:lang w:val="de-DE"/>
              </w:rPr>
              <w:t>™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en-US"/>
              </w:rPr>
              <w:t xml:space="preserve"> Embolic Deflector System</w:t>
            </w:r>
            <w:r>
              <w:rPr>
                <w:rFonts w:ascii="Arial" w:hAnsi="Arial"/>
                <w:b w:val="1"/>
                <w:bCs w:val="1"/>
                <w:sz w:val="14"/>
                <w:szCs w:val="14"/>
                <w:rtl w:val="0"/>
                <w:lang w:val="de-DE"/>
              </w:rPr>
              <w:t xml:space="preserve"> (Edwards Lifesciences)</w:t>
            </w:r>
          </w:p>
        </w:tc>
      </w:tr>
      <w:tr>
        <w:tblPrEx>
          <w:shd w:val="clear" w:color="auto" w:fill="cadfff"/>
        </w:tblPrEx>
        <w:trPr>
          <w:trHeight w:val="783" w:hRule="atLeast"/>
        </w:trPr>
        <w:tc>
          <w:tcPr>
            <w:tcW w:type="dxa" w:w="120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Os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ona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ęś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ciowa*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Pe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na**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Pe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na**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Pe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na**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Pe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na**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Pe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na**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ęś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ciowa*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Dost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de-DE"/>
              </w:rPr>
              <w:t>ę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p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Promieniowy prawy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Udowy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Udowy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Udowy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Promieniowy lewy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Udowy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Promieniowy prawy</w:t>
            </w:r>
          </w:p>
        </w:tc>
      </w:tr>
      <w:tr>
        <w:tblPrEx>
          <w:shd w:val="clear" w:color="auto" w:fill="cadfff"/>
        </w:tblPrEx>
        <w:trPr>
          <w:trHeight w:val="450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Dost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de-DE"/>
              </w:rPr>
              <w:t>ę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p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6 F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10 F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8 F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11 F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6 F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9 F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6 F</w:t>
            </w:r>
          </w:p>
        </w:tc>
      </w:tr>
      <w:tr>
        <w:tblPrEx>
          <w:shd w:val="clear" w:color="auto" w:fill="cadfff"/>
        </w:tblPrEx>
        <w:trPr>
          <w:trHeight w:val="489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Wielko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ść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por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de-DE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w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140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105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115 - 145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125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60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u w:color="ed220b"/>
                <w:rtl w:val="0"/>
                <w:lang w:val="de-DE"/>
              </w:rPr>
              <w:t xml:space="preserve">150 </w:t>
            </w:r>
            <w:r>
              <w:rPr>
                <w:rFonts w:ascii="Arial" w:hAnsi="Arial" w:hint="default"/>
                <w:sz w:val="16"/>
                <w:szCs w:val="16"/>
                <w:u w:color="ed220b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u w:color="ed220b"/>
                <w:rtl w:val="0"/>
                <w:lang w:val="de-DE"/>
              </w:rPr>
              <w:t>m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100 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μ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m</w:t>
            </w:r>
          </w:p>
        </w:tc>
      </w:tr>
      <w:tr>
        <w:tblPrEx>
          <w:shd w:val="clear" w:color="auto" w:fill="cadfff"/>
        </w:tblPrEx>
        <w:trPr>
          <w:trHeight w:val="1784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Aktualne badania kliniczne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PROTECT TAVI Trial (w toku)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CENTER Trial 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(w toku)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REFLECT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/TRIFLECT Trial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(wstrzymane)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shd w:val="clear" w:color="auto" w:fill="ffffff"/>
                <w:rtl w:val="0"/>
                <w:lang w:val="de-DE"/>
              </w:rPr>
              <w:t>European Study Evaluating the EMBLOK EPS During TAVR (w toku)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PROTEM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BO</w:t>
            </w:r>
            <w:r>
              <w:rPr>
                <w:rFonts w:ascii="Arial" w:hAnsi="Arial"/>
                <w:sz w:val="16"/>
                <w:szCs w:val="16"/>
                <w:rtl w:val="0"/>
                <w:lang w:val="pt-PT"/>
              </w:rPr>
              <w:t xml:space="preserve"> SF Trial 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(w toku)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SafePass Trial </w:t>
            </w:r>
          </w:p>
          <w:p>
            <w:pPr>
              <w:pStyle w:val="Default"/>
              <w:bidi w:val="0"/>
              <w:spacing w:line="36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(planowane)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-</w:t>
            </w:r>
          </w:p>
        </w:tc>
      </w:tr>
      <w:tr>
        <w:tblPrEx>
          <w:shd w:val="clear" w:color="auto" w:fill="cadfff"/>
        </w:tblPrEx>
        <w:trPr>
          <w:trHeight w:val="715" w:hRule="atLeast"/>
        </w:trPr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360" w:lineRule="auto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Status rejestracyjny 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Posiada znak CE/FDA-dopuszczony</w:t>
            </w:r>
          </w:p>
        </w:tc>
        <w:tc>
          <w:tcPr>
            <w:tcW w:type="dxa" w:w="120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Wy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łą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cznie do bada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 xml:space="preserve">ń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klinicznych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Wy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łą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cznie do bada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 xml:space="preserve">ń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klinicznych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Wy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łą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cznie do bada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 xml:space="preserve">ń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klinicznych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Wy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łą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cznie do bada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 xml:space="preserve">ń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klinicznych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Wy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>łą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cznie do bada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de-DE"/>
              </w:rPr>
              <w:t xml:space="preserve">ń </w:t>
            </w: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>klinicznych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6e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spacing w:line="360" w:lineRule="auto"/>
              <w:jc w:val="both"/>
            </w:pPr>
            <w:r>
              <w:rPr>
                <w:rFonts w:ascii="Arial" w:hAnsi="Arial"/>
                <w:sz w:val="16"/>
                <w:szCs w:val="16"/>
                <w:rtl w:val="0"/>
                <w:lang w:val="de-DE"/>
              </w:rPr>
              <w:t xml:space="preserve">Wycofany </w:t>
            </w:r>
          </w:p>
        </w:tc>
      </w:tr>
    </w:tbl>
    <w:p>
      <w:pPr>
        <w:pStyle w:val="Normal.0"/>
        <w:widowControl w:val="0"/>
        <w:suppressAutoHyphens w:val="1"/>
        <w:ind w:left="108" w:hanging="108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.0"/>
        <w:suppressAutoHyphens w:val="1"/>
        <w:spacing w:line="360" w:lineRule="auto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2"/>
          <w:szCs w:val="22"/>
          <w:u w:color="000000"/>
          <w:lang w:val="de-DE"/>
        </w:rPr>
      </w:pPr>
    </w:p>
    <w:p>
      <w:pPr>
        <w:pStyle w:val="Normal.0"/>
        <w:spacing w:line="360" w:lineRule="auto"/>
        <w:jc w:val="both"/>
        <w:rPr>
          <w:rFonts w:ascii="Arial" w:cs="Arial" w:hAnsi="Arial" w:eastAsia="Arial"/>
          <w:color w:val="000000"/>
          <w:sz w:val="22"/>
          <w:szCs w:val="22"/>
          <w:u w:color="000000"/>
          <w:lang w:val="de-D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Tabela 1: Aktualne systemy protekcji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de-DE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zgowej podczas TAVI.</w:t>
      </w:r>
    </w:p>
    <w:p>
      <w:pPr>
        <w:pStyle w:val="Normal.0"/>
        <w:spacing w:line="360" w:lineRule="auto"/>
        <w:ind w:left="180" w:firstLine="0"/>
        <w:jc w:val="both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* Ochrona dwunaczyniowa (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pie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 xml:space="preserve">ń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ramienno-g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ł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owowy, lewa 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ę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tnica szyjna wsp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lna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)</w:t>
      </w:r>
    </w:p>
    <w:p>
      <w:pPr>
        <w:pStyle w:val="Normal.0"/>
        <w:spacing w:line="360" w:lineRule="auto"/>
        <w:ind w:left="180" w:firstLine="0"/>
        <w:jc w:val="both"/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** Ochrona tr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de-DE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jnaczyniowa (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pie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 xml:space="preserve">ń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ramienno-g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ł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owowy, lewa 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ę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tnica szyjna wsp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ó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lna oraz lewa 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it-IT"/>
        </w:rPr>
        <w:t>ę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it-IT"/>
        </w:rPr>
        <w:t>tnica podobojczykowa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)</w:t>
      </w:r>
      <w:r>
        <w:rPr>
          <w:rFonts w:ascii="Arial" w:cs="Arial" w:hAnsi="Arial" w:eastAsia="Arial"/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