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3" w:rsidRDefault="00DD572F" w:rsidP="005756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sz w:val="24"/>
          <w:szCs w:val="24"/>
        </w:rPr>
        <w:t>Profilaktyka i leczenie żylnych powikłań zakrzepowo-zatorowych u pacjentów z chorobą nowotworową</w:t>
      </w:r>
    </w:p>
    <w:p w:rsidR="008D6D04" w:rsidRPr="008D6D04" w:rsidRDefault="00575623" w:rsidP="0057562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6D04">
        <w:rPr>
          <w:rFonts w:ascii="Times New Roman" w:hAnsi="Times New Roman" w:cs="Times New Roman"/>
          <w:sz w:val="24"/>
          <w:szCs w:val="24"/>
          <w:lang w:val="en-US"/>
        </w:rPr>
        <w:t xml:space="preserve">Prevention and treatment of </w:t>
      </w:r>
      <w:r w:rsidR="008D6D04" w:rsidRPr="008D6D04">
        <w:rPr>
          <w:rFonts w:ascii="Times New Roman" w:hAnsi="Times New Roman" w:cs="Times New Roman"/>
          <w:sz w:val="24"/>
          <w:szCs w:val="24"/>
          <w:lang w:val="en-US"/>
        </w:rPr>
        <w:t>cancer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-associated </w:t>
      </w:r>
      <w:r w:rsidRPr="008D6D04">
        <w:rPr>
          <w:rFonts w:ascii="Times New Roman" w:hAnsi="Times New Roman" w:cs="Times New Roman"/>
          <w:sz w:val="24"/>
          <w:szCs w:val="24"/>
          <w:lang w:val="en-US"/>
        </w:rPr>
        <w:t>venous thromboembolism</w:t>
      </w:r>
    </w:p>
    <w:p w:rsidR="002669C1" w:rsidRPr="002669C1" w:rsidRDefault="002669C1" w:rsidP="008D6D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sz w:val="24"/>
          <w:szCs w:val="24"/>
        </w:rPr>
        <w:t>Krystyna Zawilska</w:t>
      </w:r>
    </w:p>
    <w:p w:rsidR="00DD572F" w:rsidRDefault="00DD572F" w:rsidP="008D6D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Uniwersytet Medyczny im. K. Marcinkowskiego; Centrum Diagnostyczno-Lecznicze INTERLAB w Poznaniu.</w:t>
      </w:r>
    </w:p>
    <w:p w:rsidR="008D6D04" w:rsidRDefault="00DD572F" w:rsidP="008D6D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 61 8333949, fax 618331785 i 618527611</w:t>
      </w:r>
    </w:p>
    <w:p w:rsidR="00DD572F" w:rsidRDefault="00DD572F" w:rsidP="008D6D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97F21">
        <w:rPr>
          <w:rFonts w:ascii="Times New Roman" w:hAnsi="Times New Roman" w:cs="Times New Roman"/>
          <w:bCs/>
          <w:sz w:val="24"/>
          <w:szCs w:val="24"/>
        </w:rPr>
        <w:t>adres do korespondencji: ul. 28 Czerwca 1956 nr 161; 61-505 Poznań</w:t>
      </w:r>
    </w:p>
    <w:p w:rsidR="00DD572F" w:rsidRDefault="00DD572F" w:rsidP="008D6D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4C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e.mail: </w:t>
      </w:r>
      <w:hyperlink r:id="rId9" w:history="1">
        <w:r w:rsidRPr="00DE39EC">
          <w:rPr>
            <w:rStyle w:val="Hipercze"/>
            <w:rFonts w:ascii="Times New Roman" w:hAnsi="Times New Roman" w:cs="Times New Roman"/>
            <w:bCs/>
            <w:sz w:val="24"/>
            <w:szCs w:val="24"/>
            <w:lang w:val="en-US"/>
          </w:rPr>
          <w:t>k.zawilska@interia.pl</w:t>
        </w:r>
      </w:hyperlink>
    </w:p>
    <w:p w:rsidR="00F42DC7" w:rsidRDefault="00F42DC7" w:rsidP="00312D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219E2" w:rsidRPr="004F7D1E" w:rsidRDefault="00E219E2" w:rsidP="00312D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D1E">
        <w:rPr>
          <w:rFonts w:ascii="Times New Roman" w:hAnsi="Times New Roman" w:cs="Times New Roman"/>
          <w:color w:val="000000"/>
          <w:sz w:val="24"/>
          <w:szCs w:val="24"/>
        </w:rPr>
        <w:t>Streszczenie</w:t>
      </w:r>
    </w:p>
    <w:p w:rsidR="00E219E2" w:rsidRPr="00A73C50" w:rsidRDefault="00C127CB" w:rsidP="00921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F7D1E">
        <w:rPr>
          <w:rFonts w:ascii="Times New Roman" w:hAnsi="Times New Roman" w:cs="Times New Roman"/>
          <w:color w:val="000000"/>
          <w:sz w:val="24"/>
          <w:szCs w:val="24"/>
        </w:rPr>
        <w:t>achorowalność na żylną chorobę zakrzepowo-zatorową (VTE</w:t>
      </w:r>
      <w:r w:rsidR="00FC4D5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C4D56" w:rsidRPr="00FC4D56">
        <w:rPr>
          <w:rFonts w:ascii="Times New Roman" w:hAnsi="Times New Roman" w:cs="Times New Roman"/>
          <w:i/>
          <w:color w:val="000000"/>
          <w:sz w:val="24"/>
          <w:szCs w:val="24"/>
        </w:rPr>
        <w:t>venous thromboembolism</w:t>
      </w:r>
      <w:r w:rsidR="004F7D1E">
        <w:rPr>
          <w:rFonts w:ascii="Times New Roman" w:hAnsi="Times New Roman" w:cs="Times New Roman"/>
          <w:color w:val="000000"/>
          <w:sz w:val="24"/>
          <w:szCs w:val="24"/>
        </w:rPr>
        <w:t>) jest wśród pacjentów z aktywną chorobą nowotworową 4-8.krotnie większa, niż w ogólnej populacji. Profilaktyka przeciwzakrzepowa zmniejsza ilość objawowych incydentów VTE, zwiększa jednak ryzyko powikłań krwotocznych. Niezbędne są dalsze badania, które umożliwią określenie indywidualnego ryzyka zakrzepowego u poszczególnych chorych n</w:t>
      </w:r>
      <w:r w:rsidR="00261D6D">
        <w:rPr>
          <w:rFonts w:ascii="Times New Roman" w:hAnsi="Times New Roman" w:cs="Times New Roman"/>
          <w:color w:val="000000"/>
          <w:sz w:val="24"/>
          <w:szCs w:val="24"/>
        </w:rPr>
        <w:t xml:space="preserve">a różne nowotwory, w zależności </w:t>
      </w:r>
      <w:r w:rsidR="004F7D1E">
        <w:rPr>
          <w:rFonts w:ascii="Times New Roman" w:hAnsi="Times New Roman" w:cs="Times New Roman"/>
          <w:color w:val="000000"/>
          <w:sz w:val="24"/>
          <w:szCs w:val="24"/>
        </w:rPr>
        <w:t>od typu nowotworu, stopnia zaawansowania i rodzaju leczenia.</w:t>
      </w:r>
      <w:r w:rsidR="00703EA3">
        <w:rPr>
          <w:rFonts w:ascii="Times New Roman" w:hAnsi="Times New Roman" w:cs="Times New Roman"/>
          <w:color w:val="000000"/>
          <w:sz w:val="24"/>
          <w:szCs w:val="24"/>
        </w:rPr>
        <w:t xml:space="preserve"> Zgodnie z aktualnymi wytycznymi profilaktyka przeciwzakrzepowa powinna być stosowana u wszystkich hospitalizowanych z powodu nowotworu pacjentów, o ile nie zagrażają im ciężkie powikłania krwotoczne. Pacjenci leczeni ambulatoryjnie nie wymagają rutynowo profilaktyki przeciwzakrzepowej. Jest ona natomiast wskazana u wybranych pacjentów ze znacznie zwiększonym zagrożeniem zakrzepowym. </w:t>
      </w:r>
      <w:r w:rsidR="00703EA3" w:rsidRPr="00A73C50">
        <w:rPr>
          <w:rFonts w:ascii="Times New Roman" w:hAnsi="Times New Roman" w:cs="Times New Roman"/>
          <w:color w:val="000000"/>
          <w:sz w:val="24"/>
          <w:szCs w:val="24"/>
        </w:rPr>
        <w:t xml:space="preserve">W chorobie nowotworowej </w:t>
      </w:r>
      <w:r w:rsidR="00A73C50" w:rsidRPr="00A73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EA3" w:rsidRPr="00A73C50">
        <w:rPr>
          <w:rFonts w:ascii="Times New Roman" w:hAnsi="Times New Roman" w:cs="Times New Roman"/>
          <w:color w:val="000000"/>
          <w:sz w:val="24"/>
          <w:szCs w:val="24"/>
        </w:rPr>
        <w:t xml:space="preserve">ryzyko nawrotu VTE </w:t>
      </w:r>
      <w:r w:rsidR="00A73C50" w:rsidRPr="00A73C50">
        <w:rPr>
          <w:rFonts w:ascii="Times New Roman" w:hAnsi="Times New Roman" w:cs="Times New Roman"/>
          <w:color w:val="000000"/>
          <w:sz w:val="24"/>
          <w:szCs w:val="24"/>
        </w:rPr>
        <w:t>jest 2.-3.krotnie zwiększone w porównaniu z osobami bez nowotworu.</w:t>
      </w:r>
    </w:p>
    <w:p w:rsidR="00BB3422" w:rsidRDefault="00810053" w:rsidP="00921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A73C50">
        <w:rPr>
          <w:rFonts w:ascii="Times New Roman" w:hAnsi="Times New Roman" w:cs="Times New Roman"/>
          <w:color w:val="000000"/>
          <w:sz w:val="24"/>
          <w:szCs w:val="24"/>
        </w:rPr>
        <w:t>leczeni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73C50">
        <w:rPr>
          <w:rFonts w:ascii="Times New Roman" w:hAnsi="Times New Roman" w:cs="Times New Roman"/>
          <w:color w:val="000000"/>
          <w:sz w:val="24"/>
          <w:szCs w:val="24"/>
        </w:rPr>
        <w:t xml:space="preserve"> VTE u ch</w:t>
      </w:r>
      <w:r>
        <w:rPr>
          <w:rFonts w:ascii="Times New Roman" w:hAnsi="Times New Roman" w:cs="Times New Roman"/>
          <w:color w:val="000000"/>
          <w:sz w:val="24"/>
          <w:szCs w:val="24"/>
        </w:rPr>
        <w:t>orych na nowotwory przedłużone stosowanie heparyn drobnocząsteczkowych jest preferowane w porównaniu z antagonistami witaminy K.</w:t>
      </w:r>
      <w:r w:rsidR="00A73C50">
        <w:rPr>
          <w:rFonts w:ascii="Times New Roman" w:hAnsi="Times New Roman" w:cs="Times New Roman"/>
          <w:color w:val="000000"/>
          <w:sz w:val="24"/>
          <w:szCs w:val="24"/>
        </w:rPr>
        <w:t xml:space="preserve"> Omówiono także rolę, jaką mogą aktualnie odegrać nowe doustne leki przeciwkrzepliwe w leczeniu zakrzepicy związanej z nowotworami. Częstość występowania zakrzepicy żył powierzchownych i ewentualna rola tej choroby</w:t>
      </w:r>
      <w:r w:rsidR="00D252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3C50">
        <w:rPr>
          <w:rFonts w:ascii="Times New Roman" w:hAnsi="Times New Roman" w:cs="Times New Roman"/>
          <w:color w:val="000000"/>
          <w:sz w:val="24"/>
          <w:szCs w:val="24"/>
        </w:rPr>
        <w:t xml:space="preserve"> jako znacznika ukrytej choroby nowotworowej</w:t>
      </w:r>
      <w:r w:rsidR="00D252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3C50">
        <w:rPr>
          <w:rFonts w:ascii="Times New Roman" w:hAnsi="Times New Roman" w:cs="Times New Roman"/>
          <w:color w:val="000000"/>
          <w:sz w:val="24"/>
          <w:szCs w:val="24"/>
        </w:rPr>
        <w:t xml:space="preserve"> wymaga dalszych badań. </w:t>
      </w:r>
      <w:r w:rsidR="00BB3422">
        <w:rPr>
          <w:rFonts w:ascii="Times New Roman" w:hAnsi="Times New Roman" w:cs="Times New Roman"/>
          <w:color w:val="000000"/>
          <w:sz w:val="24"/>
          <w:szCs w:val="24"/>
        </w:rPr>
        <w:t xml:space="preserve">W grupie pacjentów z samoistną VTE prawdopodobieństwo wykrycia utajonej choroby nowotworowej jest większe, niż w przypadkach VTE związanej ze znanym czynnikiem ryzyka. </w:t>
      </w:r>
      <w:r w:rsidR="00A73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422">
        <w:rPr>
          <w:rFonts w:ascii="Times New Roman" w:hAnsi="Times New Roman" w:cs="Times New Roman"/>
          <w:bCs/>
          <w:sz w:val="24"/>
          <w:szCs w:val="24"/>
        </w:rPr>
        <w:t>N</w:t>
      </w:r>
      <w:r w:rsidR="00BB3422" w:rsidRPr="00B82397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D36A57">
        <w:rPr>
          <w:rFonts w:ascii="Times New Roman" w:hAnsi="Times New Roman" w:cs="Times New Roman"/>
          <w:bCs/>
          <w:sz w:val="24"/>
          <w:szCs w:val="24"/>
        </w:rPr>
        <w:t xml:space="preserve">ustalono, czy </w:t>
      </w:r>
      <w:r w:rsidR="00E534AB">
        <w:rPr>
          <w:rFonts w:ascii="Times New Roman" w:hAnsi="Times New Roman" w:cs="Times New Roman"/>
          <w:bCs/>
          <w:sz w:val="24"/>
          <w:szCs w:val="24"/>
        </w:rPr>
        <w:t>istnieją istotne różnice</w:t>
      </w:r>
      <w:r w:rsidR="00A87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4AB">
        <w:rPr>
          <w:rFonts w:ascii="Times New Roman" w:hAnsi="Times New Roman" w:cs="Times New Roman"/>
          <w:bCs/>
          <w:sz w:val="24"/>
          <w:szCs w:val="24"/>
        </w:rPr>
        <w:t>w rokowaniu</w:t>
      </w:r>
      <w:r w:rsidR="00BB3422" w:rsidRPr="00B82397">
        <w:rPr>
          <w:rFonts w:ascii="Times New Roman" w:hAnsi="Times New Roman" w:cs="Times New Roman"/>
          <w:bCs/>
          <w:sz w:val="24"/>
          <w:szCs w:val="24"/>
        </w:rPr>
        <w:t xml:space="preserve"> pomiędzy grupą pacjentów poddanych podstawowej </w:t>
      </w:r>
      <w:r w:rsidR="00BB3422">
        <w:rPr>
          <w:rFonts w:ascii="Times New Roman" w:hAnsi="Times New Roman" w:cs="Times New Roman"/>
          <w:bCs/>
          <w:sz w:val="24"/>
          <w:szCs w:val="24"/>
        </w:rPr>
        <w:t xml:space="preserve">diagnostyce w kierunku ukrytej choroby nowotworowej, a grupą intensywnie diagnozowaną. </w:t>
      </w:r>
      <w:r w:rsidR="00A8743C">
        <w:rPr>
          <w:rFonts w:ascii="Times New Roman" w:hAnsi="Times New Roman" w:cs="Times New Roman"/>
          <w:bCs/>
          <w:sz w:val="24"/>
          <w:szCs w:val="24"/>
        </w:rPr>
        <w:t xml:space="preserve">Wyjaśnienia </w:t>
      </w:r>
      <w:r w:rsidR="00A8743C">
        <w:rPr>
          <w:rFonts w:ascii="Times New Roman" w:hAnsi="Times New Roman" w:cs="Times New Roman"/>
          <w:bCs/>
          <w:sz w:val="24"/>
          <w:szCs w:val="24"/>
        </w:rPr>
        <w:lastRenderedPageBreak/>
        <w:t>wy</w:t>
      </w:r>
      <w:r w:rsidR="00D36A57">
        <w:rPr>
          <w:rFonts w:ascii="Times New Roman" w:hAnsi="Times New Roman" w:cs="Times New Roman"/>
          <w:bCs/>
          <w:sz w:val="24"/>
          <w:szCs w:val="24"/>
        </w:rPr>
        <w:t>maga problem,</w:t>
      </w:r>
      <w:r w:rsidR="00A8743C">
        <w:rPr>
          <w:rFonts w:ascii="Times New Roman" w:hAnsi="Times New Roman" w:cs="Times New Roman"/>
          <w:bCs/>
          <w:sz w:val="24"/>
          <w:szCs w:val="24"/>
        </w:rPr>
        <w:t xml:space="preserve"> czy intensywne diagnozowanie zmniejsza u tych chorych śm</w:t>
      </w:r>
      <w:r w:rsidR="00D36A57">
        <w:rPr>
          <w:rFonts w:ascii="Times New Roman" w:hAnsi="Times New Roman" w:cs="Times New Roman"/>
          <w:bCs/>
          <w:sz w:val="24"/>
          <w:szCs w:val="24"/>
        </w:rPr>
        <w:t>iertelność z powodu nowotworu</w:t>
      </w:r>
      <w:r w:rsidR="00A8743C">
        <w:rPr>
          <w:rFonts w:ascii="Times New Roman" w:hAnsi="Times New Roman" w:cs="Times New Roman"/>
          <w:bCs/>
          <w:sz w:val="24"/>
          <w:szCs w:val="24"/>
        </w:rPr>
        <w:t xml:space="preserve"> i czy</w:t>
      </w:r>
      <w:r w:rsidR="00D36A57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E534AB">
        <w:rPr>
          <w:rFonts w:ascii="Times New Roman" w:hAnsi="Times New Roman" w:cs="Times New Roman"/>
          <w:bCs/>
          <w:sz w:val="24"/>
          <w:szCs w:val="24"/>
        </w:rPr>
        <w:t xml:space="preserve">ono </w:t>
      </w:r>
      <w:r w:rsidR="00D36A57">
        <w:rPr>
          <w:rFonts w:ascii="Times New Roman" w:hAnsi="Times New Roman" w:cs="Times New Roman"/>
          <w:bCs/>
          <w:sz w:val="24"/>
          <w:szCs w:val="24"/>
        </w:rPr>
        <w:t>uzasadnione</w:t>
      </w:r>
      <w:r w:rsidR="00A8743C">
        <w:rPr>
          <w:rFonts w:ascii="Times New Roman" w:hAnsi="Times New Roman" w:cs="Times New Roman"/>
          <w:bCs/>
          <w:sz w:val="24"/>
          <w:szCs w:val="24"/>
        </w:rPr>
        <w:t xml:space="preserve"> kosztowo.</w:t>
      </w:r>
    </w:p>
    <w:p w:rsidR="00D25210" w:rsidRDefault="00D25210" w:rsidP="00BB3422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20F2" w:rsidRPr="00B82397" w:rsidRDefault="005220F2" w:rsidP="009213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Słowa kluczowe: choroba nowotworowa, żylna choroba zakrzepowo-zatorowa, profilaktyka przeciwzakrzepowa, heparyna drobnocząsteczkowa, nowe doustne leki przeciwkrzepliwe, </w:t>
      </w:r>
    </w:p>
    <w:p w:rsidR="00E219E2" w:rsidRPr="00A73C50" w:rsidRDefault="005220F2" w:rsidP="00921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ukryta choroba nowotworowa, zakrzepica żył powierzchownych</w:t>
      </w:r>
    </w:p>
    <w:p w:rsidR="00D25210" w:rsidRPr="00624304" w:rsidRDefault="00D25210" w:rsidP="00921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0D9" w:rsidRPr="00A73C50" w:rsidRDefault="00A260D9" w:rsidP="00921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73C50">
        <w:rPr>
          <w:rFonts w:ascii="Times New Roman" w:hAnsi="Times New Roman" w:cs="Times New Roman"/>
          <w:color w:val="000000"/>
          <w:sz w:val="24"/>
          <w:szCs w:val="24"/>
          <w:lang w:val="en-US"/>
        </w:rPr>
        <w:t>Abstract</w:t>
      </w:r>
    </w:p>
    <w:p w:rsidR="00BD6EBE" w:rsidRPr="00197D40" w:rsidRDefault="00A260D9" w:rsidP="0019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7D40">
        <w:rPr>
          <w:rFonts w:ascii="Times New Roman" w:hAnsi="Times New Roman" w:cs="Times New Roman"/>
          <w:sz w:val="24"/>
          <w:szCs w:val="24"/>
          <w:lang w:val="en-US"/>
        </w:rPr>
        <w:t xml:space="preserve">Large studies suggest that patients with active cancer experience a 4- to 8-fold increase in </w:t>
      </w:r>
      <w:r w:rsidR="00197D40" w:rsidRPr="00197D40">
        <w:rPr>
          <w:rFonts w:ascii="Times New Roman" w:hAnsi="Times New Roman" w:cs="Times New Roman"/>
          <w:sz w:val="24"/>
          <w:szCs w:val="24"/>
          <w:lang w:val="en-US"/>
        </w:rPr>
        <w:t>venous thromboembolism (</w:t>
      </w:r>
      <w:r w:rsidRPr="00197D40">
        <w:rPr>
          <w:rFonts w:ascii="Times New Roman" w:hAnsi="Times New Roman" w:cs="Times New Roman"/>
          <w:sz w:val="24"/>
          <w:szCs w:val="24"/>
          <w:lang w:val="en-US"/>
        </w:rPr>
        <w:t>VTE</w:t>
      </w:r>
      <w:r w:rsidR="00197D40" w:rsidRPr="00197D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97D40">
        <w:rPr>
          <w:rFonts w:ascii="Times New Roman" w:hAnsi="Times New Roman" w:cs="Times New Roman"/>
          <w:sz w:val="24"/>
          <w:szCs w:val="24"/>
          <w:lang w:val="en-US"/>
        </w:rPr>
        <w:t xml:space="preserve"> compared with the general population. 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Thromboprophylaxis was reported to significantly reduce the incidence of symptomatic veno</w:t>
      </w:r>
      <w:r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us thrombosis,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owever, this treatment was also associated with an increase in bleeding events. </w:t>
      </w:r>
      <w:r w:rsidR="00197D40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Therefore future studies need to be targeted at development and validation of prediction models to categorize cancer patients into high or low </w:t>
      </w:r>
      <w:r w:rsidR="004F7D1E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 of venous thrombosis, depending on tumor site, histology, stage, and type of treatment.</w:t>
      </w:r>
      <w:r w:rsidR="00197D40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accordance with current guidelines t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hromboprophylaxis 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be routinely administered to 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hospitalized 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cancer 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patients</w:t>
      </w:r>
      <w:r w:rsidR="00F42D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who do not present an increased risk of bleeding. It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targeted only to </w:t>
      </w:r>
      <w:r w:rsidR="00300E2F" w:rsidRPr="00197D40">
        <w:rPr>
          <w:rFonts w:ascii="Times New Roman" w:hAnsi="Times New Roman" w:cs="Times New Roman"/>
          <w:sz w:val="24"/>
          <w:szCs w:val="24"/>
          <w:lang w:val="en-US"/>
        </w:rPr>
        <w:t>ambulatory cancer patients receiving chemotherapy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a high risk of </w:t>
      </w:r>
      <w:r w:rsidR="00197D40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VTE</w:t>
      </w:r>
      <w:r w:rsidR="006A4EF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, which outweighs the risk of bleeding events.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The overall risk of recurrent venous thrombosis in patients who suffered once from </w:t>
      </w:r>
      <w:r w:rsidR="00F42DC7">
        <w:rPr>
          <w:rFonts w:ascii="Times New Roman" w:hAnsi="Times New Roman" w:cs="Times New Roman"/>
          <w:color w:val="000000"/>
          <w:sz w:val="24"/>
          <w:szCs w:val="24"/>
          <w:lang w:val="en-US"/>
        </w:rPr>
        <w:t>VTE</w:t>
      </w:r>
      <w:r w:rsidR="00A73C5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approximately two- to threefold increased compared with non</w:t>
      </w:r>
      <w:r w:rsidR="00CB6E5A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BD6EBE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cancer patients.</w:t>
      </w:r>
    </w:p>
    <w:p w:rsidR="00300E2F" w:rsidRPr="0019152B" w:rsidRDefault="00362D35" w:rsidP="00362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treatment of VTE l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>ow molecular weight heparin</w:t>
      </w:r>
      <w:r w:rsidR="00036620">
        <w:rPr>
          <w:rFonts w:ascii="Times New Roman" w:hAnsi="Times New Roman" w:cs="Times New Roman"/>
          <w:color w:val="000000"/>
          <w:sz w:val="24"/>
          <w:szCs w:val="24"/>
          <w:lang w:val="en-US"/>
        </w:rPr>
        <w:t>s have</w:t>
      </w:r>
      <w:r w:rsidR="00300E2F"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supplanted vitamin K antagonists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the preferred </w:t>
      </w:r>
      <w:r w:rsid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long-term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treatment for VTE in cancer patients. </w:t>
      </w:r>
      <w:r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approach to the use of new oral anticoagulants in cancer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-associated thrombosis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will be reviewed as well.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incidence of </w:t>
      </w:r>
      <w:r w:rsidR="00036620">
        <w:rPr>
          <w:rFonts w:ascii="Times New Roman" w:hAnsi="Times New Roman" w:cs="Times New Roman"/>
          <w:color w:val="000000"/>
          <w:sz w:val="24"/>
          <w:szCs w:val="24"/>
          <w:lang w:val="en-US"/>
        </w:rPr>
        <w:t>superficial vein thrombosis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cancer patients has not been studied. </w:t>
      </w:r>
      <w:r w:rsidR="000366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Whether superficial vein thrombosis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be seen as a marker of occult cancer is also controversial.</w:t>
      </w:r>
      <w:r w:rsidR="00197D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Patients with an idiopathic </w:t>
      </w:r>
      <w:r w:rsidR="00F42DC7">
        <w:rPr>
          <w:rFonts w:ascii="Times New Roman" w:hAnsi="Times New Roman" w:cs="Times New Roman"/>
          <w:color w:val="000000"/>
          <w:sz w:val="24"/>
          <w:szCs w:val="24"/>
          <w:lang w:val="en-US"/>
        </w:rPr>
        <w:t>VTE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 a higher risk</w:t>
      </w:r>
      <w:r w:rsidR="0019152B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>of detection of an occult cancer than patients with a venous thrombotic</w:t>
      </w:r>
      <w:r w:rsidR="0019152B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event secondary to a provoking risk factor. The effect of extensive screening</w:t>
      </w:r>
      <w:r w:rsidR="0019152B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idiopathic </w:t>
      </w:r>
      <w:r w:rsidR="00F42DC7">
        <w:rPr>
          <w:rFonts w:ascii="Times New Roman" w:hAnsi="Times New Roman" w:cs="Times New Roman"/>
          <w:color w:val="000000"/>
          <w:sz w:val="24"/>
          <w:szCs w:val="24"/>
          <w:lang w:val="en-US"/>
        </w:rPr>
        <w:t>VTE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patients on prognosis remains</w:t>
      </w:r>
      <w:r w:rsidR="0019152B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>elusive. Further studies are needed to investigate whether</w:t>
      </w:r>
      <w:r w:rsidR="0019152B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00E2F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>screening procedures affect cancer-related</w:t>
      </w:r>
      <w:r w:rsidR="0019152B" w:rsidRPr="0019152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8743C">
        <w:rPr>
          <w:rFonts w:ascii="Times New Roman" w:hAnsi="Times New Roman" w:cs="Times New Roman"/>
          <w:color w:val="000000"/>
          <w:sz w:val="24"/>
          <w:szCs w:val="24"/>
          <w:lang w:val="en-US"/>
        </w:rPr>
        <w:t>mortality and are cost-effective.</w:t>
      </w:r>
    </w:p>
    <w:p w:rsidR="00300E2F" w:rsidRDefault="00300E2F" w:rsidP="003E42D0">
      <w:pPr>
        <w:autoSpaceDE w:val="0"/>
        <w:autoSpaceDN w:val="0"/>
        <w:adjustRightInd w:val="0"/>
        <w:spacing w:after="0" w:line="240" w:lineRule="auto"/>
        <w:rPr>
          <w:rFonts w:ascii="AdvTT7b515deb" w:hAnsi="AdvTT7b515deb" w:cs="AdvTT7b515deb"/>
          <w:color w:val="1A1A1A"/>
          <w:sz w:val="19"/>
          <w:szCs w:val="19"/>
          <w:lang w:val="en-US"/>
        </w:rPr>
      </w:pPr>
    </w:p>
    <w:p w:rsidR="00300E2F" w:rsidRDefault="00300E2F" w:rsidP="003E42D0">
      <w:pPr>
        <w:autoSpaceDE w:val="0"/>
        <w:autoSpaceDN w:val="0"/>
        <w:adjustRightInd w:val="0"/>
        <w:spacing w:after="0" w:line="240" w:lineRule="auto"/>
        <w:rPr>
          <w:rFonts w:ascii="AdvTT7b515deb" w:hAnsi="AdvTT7b515deb" w:cs="AdvTT7b515deb"/>
          <w:color w:val="1A1A1A"/>
          <w:sz w:val="19"/>
          <w:szCs w:val="19"/>
          <w:lang w:val="en-US"/>
        </w:rPr>
      </w:pPr>
    </w:p>
    <w:p w:rsidR="005220F2" w:rsidRPr="003B1E91" w:rsidRDefault="005220F2" w:rsidP="003B1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E91">
        <w:rPr>
          <w:rFonts w:ascii="Times New Roman" w:hAnsi="Times New Roman" w:cs="Times New Roman"/>
          <w:sz w:val="24"/>
          <w:szCs w:val="24"/>
          <w:lang w:val="en-US"/>
        </w:rPr>
        <w:t xml:space="preserve">Key words: venous thromboembolism, </w:t>
      </w:r>
      <w:r w:rsidR="003B1E91">
        <w:rPr>
          <w:rFonts w:ascii="Times New Roman" w:hAnsi="Times New Roman" w:cs="Times New Roman"/>
          <w:sz w:val="24"/>
          <w:szCs w:val="24"/>
          <w:lang w:val="en-US"/>
        </w:rPr>
        <w:t xml:space="preserve">neoplastic disease, </w:t>
      </w:r>
      <w:r w:rsidR="003B1E91" w:rsidRPr="003B1E9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1E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1E91" w:rsidRPr="003B1E91">
        <w:rPr>
          <w:rFonts w:ascii="Times New Roman" w:hAnsi="Times New Roman" w:cs="Times New Roman"/>
          <w:sz w:val="24"/>
          <w:szCs w:val="24"/>
          <w:lang w:val="en-US"/>
        </w:rPr>
        <w:t xml:space="preserve">romboprophylaxis, </w:t>
      </w:r>
      <w:r w:rsidR="003B1E91">
        <w:rPr>
          <w:rFonts w:ascii="Times New Roman" w:hAnsi="Times New Roman" w:cs="Times New Roman"/>
          <w:sz w:val="24"/>
          <w:szCs w:val="24"/>
          <w:lang w:val="en-US"/>
        </w:rPr>
        <w:t>low-molecular–weight heparin, new oral anticoagulants, occult cancer, superficial vein thrombosis</w:t>
      </w:r>
    </w:p>
    <w:p w:rsidR="00BD742A" w:rsidRDefault="00312DA7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6F">
        <w:rPr>
          <w:rFonts w:ascii="Times New Roman" w:hAnsi="Times New Roman" w:cs="Times New Roman"/>
          <w:bCs/>
          <w:sz w:val="24"/>
          <w:szCs w:val="24"/>
        </w:rPr>
        <w:lastRenderedPageBreak/>
        <w:t>Ż</w:t>
      </w:r>
      <w:r w:rsidR="00203501" w:rsidRPr="0058346F">
        <w:rPr>
          <w:rFonts w:ascii="Times New Roman" w:hAnsi="Times New Roman" w:cs="Times New Roman"/>
          <w:bCs/>
          <w:sz w:val="24"/>
          <w:szCs w:val="24"/>
        </w:rPr>
        <w:t>yln</w:t>
      </w:r>
      <w:r w:rsidRPr="0058346F">
        <w:rPr>
          <w:rFonts w:ascii="Times New Roman" w:hAnsi="Times New Roman" w:cs="Times New Roman"/>
          <w:bCs/>
          <w:sz w:val="24"/>
          <w:szCs w:val="24"/>
        </w:rPr>
        <w:t>e powikłania</w:t>
      </w:r>
      <w:r w:rsidR="00203501" w:rsidRPr="0058346F">
        <w:rPr>
          <w:rFonts w:ascii="Times New Roman" w:hAnsi="Times New Roman" w:cs="Times New Roman"/>
          <w:bCs/>
          <w:sz w:val="24"/>
          <w:szCs w:val="24"/>
        </w:rPr>
        <w:t xml:space="preserve"> zakrzepow</w:t>
      </w:r>
      <w:r w:rsidRPr="0058346F">
        <w:rPr>
          <w:rFonts w:ascii="Times New Roman" w:hAnsi="Times New Roman" w:cs="Times New Roman"/>
          <w:bCs/>
          <w:sz w:val="24"/>
          <w:szCs w:val="24"/>
        </w:rPr>
        <w:t>e - zakrzepica</w:t>
      </w:r>
      <w:r w:rsidR="00203501" w:rsidRPr="0058346F">
        <w:rPr>
          <w:rFonts w:ascii="Times New Roman" w:hAnsi="Times New Roman" w:cs="Times New Roman"/>
          <w:bCs/>
          <w:sz w:val="24"/>
          <w:szCs w:val="24"/>
        </w:rPr>
        <w:t xml:space="preserve"> żył głębokich</w:t>
      </w:r>
      <w:r w:rsidRPr="0058346F">
        <w:rPr>
          <w:rFonts w:ascii="Times New Roman" w:hAnsi="Times New Roman" w:cs="Times New Roman"/>
          <w:bCs/>
          <w:sz w:val="24"/>
          <w:szCs w:val="24"/>
        </w:rPr>
        <w:t xml:space="preserve"> (DVT – </w:t>
      </w:r>
      <w:r w:rsidRPr="00FC4D56">
        <w:rPr>
          <w:rFonts w:ascii="Times New Roman" w:hAnsi="Times New Roman" w:cs="Times New Roman"/>
          <w:bCs/>
          <w:i/>
          <w:sz w:val="24"/>
          <w:szCs w:val="24"/>
        </w:rPr>
        <w:t>deep vein thrombosis</w:t>
      </w:r>
      <w:r w:rsidRPr="0058346F">
        <w:rPr>
          <w:rFonts w:ascii="Times New Roman" w:hAnsi="Times New Roman" w:cs="Times New Roman"/>
          <w:bCs/>
          <w:sz w:val="24"/>
          <w:szCs w:val="24"/>
        </w:rPr>
        <w:t xml:space="preserve">) i  zatorowość płucna (PE – </w:t>
      </w:r>
      <w:r w:rsidRPr="00FC4D56">
        <w:rPr>
          <w:rFonts w:ascii="Times New Roman" w:hAnsi="Times New Roman" w:cs="Times New Roman"/>
          <w:bCs/>
          <w:i/>
          <w:sz w:val="24"/>
          <w:szCs w:val="24"/>
        </w:rPr>
        <w:t>pulmonary embolism</w:t>
      </w:r>
      <w:r w:rsidRPr="0058346F">
        <w:rPr>
          <w:rFonts w:ascii="Times New Roman" w:hAnsi="Times New Roman" w:cs="Times New Roman"/>
          <w:bCs/>
          <w:sz w:val="24"/>
          <w:szCs w:val="24"/>
        </w:rPr>
        <w:t>)</w:t>
      </w:r>
      <w:r w:rsidR="0060002F" w:rsidRPr="005834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346F" w:rsidRPr="0058346F">
        <w:rPr>
          <w:rFonts w:ascii="Times New Roman" w:hAnsi="Times New Roman" w:cs="Times New Roman"/>
          <w:bCs/>
          <w:sz w:val="24"/>
          <w:szCs w:val="24"/>
        </w:rPr>
        <w:t>z</w:t>
      </w:r>
      <w:r w:rsidR="0058346F">
        <w:rPr>
          <w:rFonts w:ascii="Times New Roman" w:hAnsi="Times New Roman" w:cs="Times New Roman"/>
          <w:bCs/>
          <w:sz w:val="24"/>
          <w:szCs w:val="24"/>
        </w:rPr>
        <w:t>akrzepica żył trzewnych, żył koń</w:t>
      </w:r>
      <w:r w:rsidR="0058346F" w:rsidRPr="0058346F">
        <w:rPr>
          <w:rFonts w:ascii="Times New Roman" w:hAnsi="Times New Roman" w:cs="Times New Roman"/>
          <w:bCs/>
          <w:sz w:val="24"/>
          <w:szCs w:val="24"/>
        </w:rPr>
        <w:t xml:space="preserve">czyn górnych </w:t>
      </w:r>
      <w:r w:rsidR="002F3E21">
        <w:rPr>
          <w:rFonts w:ascii="Times New Roman" w:hAnsi="Times New Roman" w:cs="Times New Roman"/>
          <w:bCs/>
          <w:sz w:val="24"/>
          <w:szCs w:val="24"/>
        </w:rPr>
        <w:t>i innych</w:t>
      </w:r>
      <w:r w:rsidR="005834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8346F">
        <w:rPr>
          <w:rFonts w:ascii="Times New Roman" w:hAnsi="Times New Roman" w:cs="Times New Roman"/>
          <w:bCs/>
          <w:sz w:val="24"/>
          <w:szCs w:val="24"/>
        </w:rPr>
        <w:t>wspólnie określane</w:t>
      </w:r>
      <w:r w:rsidR="006A4EFF" w:rsidRPr="00583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501" w:rsidRPr="0058346F">
        <w:rPr>
          <w:rFonts w:ascii="Times New Roman" w:hAnsi="Times New Roman" w:cs="Times New Roman"/>
          <w:bCs/>
          <w:sz w:val="24"/>
          <w:szCs w:val="24"/>
        </w:rPr>
        <w:t>jako żylna choroba zakrzepowo-zatorowa (</w:t>
      </w:r>
      <w:r w:rsidR="0058346F">
        <w:rPr>
          <w:rFonts w:ascii="Times New Roman" w:hAnsi="Times New Roman" w:cs="Times New Roman"/>
          <w:bCs/>
          <w:sz w:val="24"/>
          <w:szCs w:val="24"/>
        </w:rPr>
        <w:t xml:space="preserve">VTE- </w:t>
      </w:r>
      <w:r w:rsidR="0058346F" w:rsidRPr="00FC4D56">
        <w:rPr>
          <w:rFonts w:ascii="Times New Roman" w:hAnsi="Times New Roman" w:cs="Times New Roman"/>
          <w:bCs/>
          <w:i/>
          <w:sz w:val="24"/>
          <w:szCs w:val="24"/>
        </w:rPr>
        <w:t>venous thromboembolism</w:t>
      </w:r>
      <w:r w:rsidR="00203501" w:rsidRPr="0058346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03501">
        <w:rPr>
          <w:rFonts w:ascii="Times New Roman" w:hAnsi="Times New Roman" w:cs="Times New Roman"/>
          <w:bCs/>
          <w:sz w:val="24"/>
          <w:szCs w:val="24"/>
        </w:rPr>
        <w:t>występuje u 4 -20% chorych na nowotwory złośliwe i jest d</w:t>
      </w:r>
      <w:r w:rsidR="006A4EFF">
        <w:rPr>
          <w:rFonts w:ascii="Times New Roman" w:hAnsi="Times New Roman" w:cs="Times New Roman"/>
          <w:bCs/>
          <w:sz w:val="24"/>
          <w:szCs w:val="24"/>
        </w:rPr>
        <w:t xml:space="preserve">rugą co do częstości przyczyną </w:t>
      </w:r>
      <w:r w:rsidR="00203501">
        <w:rPr>
          <w:rFonts w:ascii="Times New Roman" w:hAnsi="Times New Roman" w:cs="Times New Roman"/>
          <w:bCs/>
          <w:sz w:val="24"/>
          <w:szCs w:val="24"/>
        </w:rPr>
        <w:t xml:space="preserve">zgonu w tej grupie chorych (po samym nowotworze),  znacznie pogarszając rokowanie </w:t>
      </w:r>
      <w:r w:rsidR="00203501" w:rsidRPr="00A309E1">
        <w:rPr>
          <w:rFonts w:ascii="Times New Roman" w:hAnsi="Times New Roman" w:cs="Times New Roman"/>
          <w:bCs/>
          <w:sz w:val="24"/>
          <w:szCs w:val="24"/>
        </w:rPr>
        <w:t>(</w:t>
      </w:r>
      <w:r w:rsidR="00C10DC0">
        <w:rPr>
          <w:rFonts w:ascii="Times New Roman" w:hAnsi="Times New Roman" w:cs="Times New Roman"/>
          <w:bCs/>
          <w:sz w:val="24"/>
          <w:szCs w:val="24"/>
        </w:rPr>
        <w:t>1-3</w:t>
      </w:r>
      <w:r w:rsidR="00203501" w:rsidRPr="00A309E1">
        <w:rPr>
          <w:rFonts w:ascii="Times New Roman" w:hAnsi="Times New Roman" w:cs="Times New Roman"/>
          <w:sz w:val="24"/>
          <w:szCs w:val="24"/>
        </w:rPr>
        <w:t xml:space="preserve">). </w:t>
      </w:r>
      <w:r w:rsidR="00203501" w:rsidRPr="00200195">
        <w:rPr>
          <w:rFonts w:ascii="Times New Roman" w:hAnsi="Times New Roman" w:cs="Times New Roman"/>
          <w:sz w:val="24"/>
          <w:szCs w:val="24"/>
        </w:rPr>
        <w:t>W analizie obejmującej ponad 66 000 hospitalizowa</w:t>
      </w:r>
      <w:r w:rsidR="00203501">
        <w:rPr>
          <w:rFonts w:ascii="Times New Roman" w:hAnsi="Times New Roman" w:cs="Times New Roman"/>
          <w:sz w:val="24"/>
          <w:szCs w:val="24"/>
        </w:rPr>
        <w:t xml:space="preserve">nych pacjentów z nowotworami </w:t>
      </w:r>
      <w:r w:rsidR="00203501" w:rsidRPr="00200195">
        <w:rPr>
          <w:rFonts w:ascii="Times New Roman" w:hAnsi="Times New Roman" w:cs="Times New Roman"/>
          <w:sz w:val="24"/>
          <w:szCs w:val="24"/>
        </w:rPr>
        <w:t xml:space="preserve"> roczna zachorowalność </w:t>
      </w:r>
      <w:r w:rsidR="00203501">
        <w:rPr>
          <w:rFonts w:ascii="Times New Roman" w:hAnsi="Times New Roman" w:cs="Times New Roman"/>
          <w:sz w:val="24"/>
          <w:szCs w:val="24"/>
        </w:rPr>
        <w:t xml:space="preserve">na </w:t>
      </w:r>
      <w:r w:rsidR="0058346F">
        <w:rPr>
          <w:rFonts w:ascii="Times New Roman" w:hAnsi="Times New Roman" w:cs="Times New Roman"/>
          <w:sz w:val="24"/>
          <w:szCs w:val="24"/>
        </w:rPr>
        <w:t>VTE</w:t>
      </w:r>
      <w:r w:rsidR="00203501">
        <w:rPr>
          <w:rFonts w:ascii="Times New Roman" w:hAnsi="Times New Roman" w:cs="Times New Roman"/>
          <w:sz w:val="24"/>
          <w:szCs w:val="24"/>
        </w:rPr>
        <w:t xml:space="preserve"> </w:t>
      </w:r>
      <w:r w:rsidR="00203501" w:rsidRPr="00200195">
        <w:rPr>
          <w:rFonts w:ascii="Times New Roman" w:hAnsi="Times New Roman" w:cs="Times New Roman"/>
          <w:sz w:val="24"/>
          <w:szCs w:val="24"/>
        </w:rPr>
        <w:t xml:space="preserve">wynosiła 12,3/1000, podczas gdy w populacji ogólnej nie przekracza 2/1000. </w:t>
      </w:r>
      <w:r w:rsidR="00203501">
        <w:rPr>
          <w:rFonts w:ascii="Times New Roman" w:hAnsi="Times New Roman" w:cs="Times New Roman"/>
          <w:sz w:val="24"/>
          <w:szCs w:val="24"/>
        </w:rPr>
        <w:t>Największe zagrożenie zakrzepowe wiąże się z rakiem trzustki (17-57%), guzami mózgu (20-30%), rakiem jelita grubego (5-12%) i rakiem żołądka (10-15%) (</w:t>
      </w:r>
      <w:r w:rsidR="00C10DC0">
        <w:rPr>
          <w:rFonts w:ascii="Times New Roman" w:hAnsi="Times New Roman" w:cs="Times New Roman"/>
          <w:sz w:val="24"/>
          <w:szCs w:val="24"/>
        </w:rPr>
        <w:t>4</w:t>
      </w:r>
      <w:r w:rsidR="00203501">
        <w:rPr>
          <w:rFonts w:ascii="Times New Roman" w:hAnsi="Times New Roman" w:cs="Times New Roman"/>
          <w:sz w:val="24"/>
          <w:szCs w:val="24"/>
        </w:rPr>
        <w:t xml:space="preserve">).  </w:t>
      </w:r>
      <w:r w:rsidR="00BD742A">
        <w:rPr>
          <w:rFonts w:ascii="Times New Roman" w:hAnsi="Times New Roman" w:cs="Times New Roman"/>
          <w:sz w:val="24"/>
          <w:szCs w:val="24"/>
        </w:rPr>
        <w:t xml:space="preserve">Przeprowadzone niedawno w Wielkiej Brytanii badanie populacyjne wykazało, że w okresie obserwacji VTE wystąpiła </w:t>
      </w:r>
      <w:r w:rsidR="00052EF4">
        <w:rPr>
          <w:rFonts w:ascii="Times New Roman" w:hAnsi="Times New Roman" w:cs="Times New Roman"/>
          <w:sz w:val="24"/>
          <w:szCs w:val="24"/>
        </w:rPr>
        <w:t xml:space="preserve">u 6353/577 tyś. osób z grupy kontrolnej oraz </w:t>
      </w:r>
      <w:r w:rsidR="00BD742A">
        <w:rPr>
          <w:rFonts w:ascii="Times New Roman" w:hAnsi="Times New Roman" w:cs="Times New Roman"/>
          <w:sz w:val="24"/>
          <w:szCs w:val="24"/>
        </w:rPr>
        <w:t>u 3352/83 tyś. pacjentów z chorobą nowotw</w:t>
      </w:r>
      <w:r w:rsidR="00A00E4D">
        <w:rPr>
          <w:rFonts w:ascii="Times New Roman" w:hAnsi="Times New Roman" w:cs="Times New Roman"/>
          <w:sz w:val="24"/>
          <w:szCs w:val="24"/>
        </w:rPr>
        <w:t>orową, co stanowi 13,9 zachorowań/</w:t>
      </w:r>
      <w:r w:rsidR="00BD742A">
        <w:rPr>
          <w:rFonts w:ascii="Times New Roman" w:hAnsi="Times New Roman" w:cs="Times New Roman"/>
          <w:sz w:val="24"/>
          <w:szCs w:val="24"/>
        </w:rPr>
        <w:t>1000 pacjento-lat (95% CI 13,4 -14,4)</w:t>
      </w:r>
      <w:r w:rsidR="00A00E4D">
        <w:rPr>
          <w:rFonts w:ascii="Times New Roman" w:hAnsi="Times New Roman" w:cs="Times New Roman"/>
          <w:sz w:val="24"/>
          <w:szCs w:val="24"/>
        </w:rPr>
        <w:t xml:space="preserve"> i</w:t>
      </w:r>
      <w:r w:rsidR="00261D6D">
        <w:rPr>
          <w:rFonts w:ascii="Times New Roman" w:hAnsi="Times New Roman" w:cs="Times New Roman"/>
          <w:sz w:val="24"/>
          <w:szCs w:val="24"/>
        </w:rPr>
        <w:t xml:space="preserve"> przekłada się na 4,7. </w:t>
      </w:r>
      <w:r w:rsidR="00BD742A">
        <w:rPr>
          <w:rFonts w:ascii="Times New Roman" w:hAnsi="Times New Roman" w:cs="Times New Roman"/>
          <w:sz w:val="24"/>
          <w:szCs w:val="24"/>
        </w:rPr>
        <w:t>krotne zwiększenie ryzyka względnego</w:t>
      </w:r>
      <w:r w:rsidR="00052EF4">
        <w:rPr>
          <w:rFonts w:ascii="Times New Roman" w:hAnsi="Times New Roman" w:cs="Times New Roman"/>
          <w:sz w:val="24"/>
          <w:szCs w:val="24"/>
        </w:rPr>
        <w:t xml:space="preserve"> w porównaniu z populacją</w:t>
      </w:r>
      <w:r w:rsidR="00BD742A">
        <w:rPr>
          <w:rFonts w:ascii="Times New Roman" w:hAnsi="Times New Roman" w:cs="Times New Roman"/>
          <w:sz w:val="24"/>
          <w:szCs w:val="24"/>
        </w:rPr>
        <w:t xml:space="preserve"> ogólną.</w:t>
      </w:r>
      <w:r w:rsidR="00052EF4">
        <w:rPr>
          <w:rFonts w:ascii="Times New Roman" w:hAnsi="Times New Roman" w:cs="Times New Roman"/>
          <w:sz w:val="24"/>
          <w:szCs w:val="24"/>
        </w:rPr>
        <w:t xml:space="preserve"> Największe zagrożenie zakrzepowe wiązało się </w:t>
      </w:r>
      <w:r w:rsidR="00A00E4D">
        <w:rPr>
          <w:rFonts w:ascii="Times New Roman" w:hAnsi="Times New Roman" w:cs="Times New Roman"/>
          <w:sz w:val="24"/>
          <w:szCs w:val="24"/>
        </w:rPr>
        <w:t xml:space="preserve">w tym badaniu także </w:t>
      </w:r>
      <w:r w:rsidR="00052EF4">
        <w:rPr>
          <w:rFonts w:ascii="Times New Roman" w:hAnsi="Times New Roman" w:cs="Times New Roman"/>
          <w:sz w:val="24"/>
          <w:szCs w:val="24"/>
        </w:rPr>
        <w:t>z rakiem trzustki – 98 (95% CI 80-119), najmniejsze z rakiem tarczycy – 3,1 (95%CI 1,5-6,5). Zależało ono również od wieku pacjentów- dla pacjentów w wieku &gt;80 lat wynosiło 16</w:t>
      </w:r>
      <w:r w:rsidR="00A6609B">
        <w:rPr>
          <w:rFonts w:ascii="Times New Roman" w:hAnsi="Times New Roman" w:cs="Times New Roman"/>
          <w:sz w:val="24"/>
          <w:szCs w:val="24"/>
        </w:rPr>
        <w:t>,9,</w:t>
      </w:r>
      <w:r w:rsidR="00052EF4">
        <w:rPr>
          <w:rFonts w:ascii="Times New Roman" w:hAnsi="Times New Roman" w:cs="Times New Roman"/>
          <w:sz w:val="24"/>
          <w:szCs w:val="24"/>
        </w:rPr>
        <w:t xml:space="preserve"> a dla pacjentów &lt;30.letnich – 4,</w:t>
      </w:r>
      <w:r w:rsidR="00E219E2">
        <w:rPr>
          <w:rFonts w:ascii="Times New Roman" w:hAnsi="Times New Roman" w:cs="Times New Roman"/>
          <w:sz w:val="24"/>
          <w:szCs w:val="24"/>
        </w:rPr>
        <w:t>9, zależało</w:t>
      </w:r>
      <w:r w:rsidR="00052EF4">
        <w:rPr>
          <w:rFonts w:ascii="Times New Roman" w:hAnsi="Times New Roman" w:cs="Times New Roman"/>
          <w:sz w:val="24"/>
          <w:szCs w:val="24"/>
        </w:rPr>
        <w:t xml:space="preserve"> także od czasu, który upłynął od ustalenia rozpoznania nowotworu- wahało się od 75</w:t>
      </w:r>
      <w:r w:rsidR="00A00E4D">
        <w:rPr>
          <w:rFonts w:ascii="Times New Roman" w:hAnsi="Times New Roman" w:cs="Times New Roman"/>
          <w:sz w:val="24"/>
          <w:szCs w:val="24"/>
        </w:rPr>
        <w:t>,0</w:t>
      </w:r>
      <w:r w:rsidR="00052EF4">
        <w:rPr>
          <w:rFonts w:ascii="Times New Roman" w:hAnsi="Times New Roman" w:cs="Times New Roman"/>
          <w:sz w:val="24"/>
          <w:szCs w:val="24"/>
        </w:rPr>
        <w:t xml:space="preserve"> w pierwszych 3 miesiącach do 8,4 w okresie &gt;</w:t>
      </w:r>
      <w:r w:rsidR="0060157B">
        <w:rPr>
          <w:rFonts w:ascii="Times New Roman" w:hAnsi="Times New Roman" w:cs="Times New Roman"/>
          <w:sz w:val="24"/>
          <w:szCs w:val="24"/>
        </w:rPr>
        <w:t>1 rok (</w:t>
      </w:r>
      <w:r w:rsidR="00C10DC0">
        <w:rPr>
          <w:rFonts w:ascii="Times New Roman" w:hAnsi="Times New Roman" w:cs="Times New Roman"/>
          <w:sz w:val="24"/>
          <w:szCs w:val="24"/>
        </w:rPr>
        <w:t>5</w:t>
      </w:r>
      <w:r w:rsidR="0060157B">
        <w:rPr>
          <w:rFonts w:ascii="Times New Roman" w:hAnsi="Times New Roman" w:cs="Times New Roman"/>
          <w:sz w:val="24"/>
          <w:szCs w:val="24"/>
        </w:rPr>
        <w:t>).</w:t>
      </w:r>
    </w:p>
    <w:p w:rsidR="00203501" w:rsidRPr="00615014" w:rsidRDefault="0058346F" w:rsidP="00A66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VTE</w:t>
      </w:r>
      <w:r w:rsidR="00203501">
        <w:rPr>
          <w:rFonts w:ascii="Times New Roman" w:hAnsi="Times New Roman" w:cs="Times New Roman"/>
          <w:sz w:val="24"/>
          <w:szCs w:val="24"/>
        </w:rPr>
        <w:t xml:space="preserve"> może też poprzedzać rozpoznanie nowotworu. </w:t>
      </w:r>
      <w:r w:rsidR="00203501" w:rsidRPr="00200195">
        <w:rPr>
          <w:rFonts w:ascii="Times New Roman" w:hAnsi="Times New Roman" w:cs="Times New Roman"/>
          <w:sz w:val="24"/>
          <w:szCs w:val="24"/>
        </w:rPr>
        <w:t xml:space="preserve">Chorobę nowotworową wykryto u 39% spośród 5 451 chorych na ultrasonograficznie potwierdzoną </w:t>
      </w:r>
      <w:r w:rsidR="00203501">
        <w:rPr>
          <w:rFonts w:ascii="Times New Roman" w:hAnsi="Times New Roman" w:cs="Times New Roman"/>
          <w:sz w:val="24"/>
          <w:szCs w:val="24"/>
        </w:rPr>
        <w:t>zakrzepicę żył głębokich kończyn dolnych</w:t>
      </w:r>
      <w:r w:rsidR="00203501" w:rsidRPr="00200195">
        <w:rPr>
          <w:rFonts w:ascii="Times New Roman" w:hAnsi="Times New Roman" w:cs="Times New Roman"/>
          <w:sz w:val="24"/>
          <w:szCs w:val="24"/>
        </w:rPr>
        <w:t>, przy czym najczęściej występującymi nowotworami w tej grupie był rak płuc (18,5%), jelita grubego (11,8%) i rak piersi (9,0%) (</w:t>
      </w:r>
      <w:r w:rsidR="00C10DC0">
        <w:rPr>
          <w:rFonts w:ascii="Times New Roman" w:hAnsi="Times New Roman" w:cs="Times New Roman"/>
          <w:sz w:val="24"/>
          <w:szCs w:val="24"/>
        </w:rPr>
        <w:t>6</w:t>
      </w:r>
      <w:r w:rsidR="00203501" w:rsidRPr="00200195">
        <w:rPr>
          <w:rFonts w:ascii="Times New Roman" w:hAnsi="Times New Roman" w:cs="Times New Roman"/>
          <w:sz w:val="24"/>
          <w:szCs w:val="24"/>
        </w:rPr>
        <w:t>). Zagrożenie zwiększa się w postaci uogólnionej nowotworów. W przebiegu chemioterapii zagrożenie zakrzepowe wzrasta 6-krotnie w porównaniu z chorymi bez nowotworu (</w:t>
      </w:r>
      <w:r w:rsidR="00C10DC0">
        <w:rPr>
          <w:rFonts w:ascii="Times New Roman" w:hAnsi="Times New Roman" w:cs="Times New Roman"/>
          <w:sz w:val="24"/>
          <w:szCs w:val="24"/>
        </w:rPr>
        <w:t>7</w:t>
      </w:r>
      <w:r w:rsidR="00203501" w:rsidRPr="00200195">
        <w:rPr>
          <w:rFonts w:ascii="Times New Roman" w:hAnsi="Times New Roman" w:cs="Times New Roman"/>
          <w:sz w:val="24"/>
          <w:szCs w:val="24"/>
        </w:rPr>
        <w:t>).</w:t>
      </w:r>
      <w:r w:rsidR="00203501">
        <w:rPr>
          <w:rFonts w:ascii="Times New Roman" w:hAnsi="Times New Roman" w:cs="Times New Roman"/>
          <w:sz w:val="24"/>
          <w:szCs w:val="24"/>
        </w:rPr>
        <w:t xml:space="preserve"> Konieczność wdrożenia przewlekłego leczenia przeciwkrzepliwego stwarza u tych chorych 12% ryzyko powikłań krwotocznych a odsetek nawrotów zakrzepicy sięga 21% /rok pomimo leczenia (</w:t>
      </w:r>
      <w:r w:rsidR="00C10DC0">
        <w:rPr>
          <w:rFonts w:ascii="Times New Roman" w:hAnsi="Times New Roman" w:cs="Times New Roman"/>
          <w:sz w:val="24"/>
          <w:szCs w:val="24"/>
        </w:rPr>
        <w:t>8</w:t>
      </w:r>
      <w:r w:rsidR="00203501">
        <w:rPr>
          <w:rFonts w:ascii="Times New Roman" w:hAnsi="Times New Roman" w:cs="Times New Roman"/>
          <w:sz w:val="24"/>
          <w:szCs w:val="24"/>
        </w:rPr>
        <w:t>), często też dochodzi do opóźnienia lub</w:t>
      </w:r>
      <w:r>
        <w:rPr>
          <w:rFonts w:ascii="Times New Roman" w:hAnsi="Times New Roman" w:cs="Times New Roman"/>
          <w:sz w:val="24"/>
          <w:szCs w:val="24"/>
        </w:rPr>
        <w:t xml:space="preserve"> przerwania chemioterapii oraz </w:t>
      </w:r>
      <w:r w:rsidR="00203501">
        <w:rPr>
          <w:rFonts w:ascii="Times New Roman" w:hAnsi="Times New Roman" w:cs="Times New Roman"/>
          <w:sz w:val="24"/>
          <w:szCs w:val="24"/>
        </w:rPr>
        <w:t>zwiększenia kosztów leczenia, a także do pogorszenia jakości życia pacjentów. Wykazano, że r</w:t>
      </w:r>
      <w:r w:rsidR="00203501" w:rsidRPr="00200195">
        <w:rPr>
          <w:rFonts w:ascii="Times New Roman" w:hAnsi="Times New Roman" w:cs="Times New Roman"/>
          <w:sz w:val="24"/>
          <w:szCs w:val="24"/>
        </w:rPr>
        <w:t>ozpoznanie nowotworu w tym samym czasie</w:t>
      </w:r>
      <w:r w:rsidR="00203501">
        <w:rPr>
          <w:rFonts w:ascii="Times New Roman" w:hAnsi="Times New Roman" w:cs="Times New Roman"/>
          <w:sz w:val="24"/>
          <w:szCs w:val="24"/>
        </w:rPr>
        <w:t xml:space="preserve"> </w:t>
      </w:r>
      <w:r w:rsidR="00203501" w:rsidRPr="00200195">
        <w:rPr>
          <w:rFonts w:ascii="Times New Roman" w:hAnsi="Times New Roman" w:cs="Times New Roman"/>
          <w:sz w:val="24"/>
          <w:szCs w:val="24"/>
        </w:rPr>
        <w:t xml:space="preserve">co epizodu </w:t>
      </w:r>
      <w:r>
        <w:rPr>
          <w:rFonts w:ascii="Times New Roman" w:hAnsi="Times New Roman" w:cs="Times New Roman"/>
          <w:sz w:val="24"/>
          <w:szCs w:val="24"/>
        </w:rPr>
        <w:t>VTE</w:t>
      </w:r>
      <w:r w:rsidR="00203501" w:rsidRPr="00200195">
        <w:rPr>
          <w:rFonts w:ascii="Times New Roman" w:hAnsi="Times New Roman" w:cs="Times New Roman"/>
          <w:sz w:val="24"/>
          <w:szCs w:val="24"/>
        </w:rPr>
        <w:t xml:space="preserve"> lub w ciągu roku od niego, wiąże się z trzykrotnym wzrostem rocznej śmiertelności</w:t>
      </w:r>
      <w:r w:rsidR="00203501">
        <w:rPr>
          <w:rFonts w:ascii="Times New Roman" w:hAnsi="Times New Roman" w:cs="Times New Roman"/>
          <w:sz w:val="24"/>
          <w:szCs w:val="24"/>
        </w:rPr>
        <w:t xml:space="preserve">. </w:t>
      </w:r>
      <w:r w:rsidR="00203501" w:rsidRPr="00615014">
        <w:rPr>
          <w:rFonts w:ascii="Times New Roman" w:hAnsi="Times New Roman" w:cs="Times New Roman"/>
          <w:bCs/>
          <w:sz w:val="24"/>
          <w:szCs w:val="24"/>
        </w:rPr>
        <w:t>Tylko 12% chorych, u k</w:t>
      </w:r>
      <w:r w:rsidR="00203501">
        <w:rPr>
          <w:rFonts w:ascii="Times New Roman" w:hAnsi="Times New Roman" w:cs="Times New Roman"/>
          <w:bCs/>
          <w:sz w:val="24"/>
          <w:szCs w:val="24"/>
        </w:rPr>
        <w:t xml:space="preserve">tórych wystąpiła </w:t>
      </w:r>
      <w:r>
        <w:rPr>
          <w:rFonts w:ascii="Times New Roman" w:hAnsi="Times New Roman" w:cs="Times New Roman"/>
          <w:bCs/>
          <w:sz w:val="24"/>
          <w:szCs w:val="24"/>
        </w:rPr>
        <w:t>VTE</w:t>
      </w:r>
      <w:r w:rsidR="00203501">
        <w:rPr>
          <w:rFonts w:ascii="Times New Roman" w:hAnsi="Times New Roman" w:cs="Times New Roman"/>
          <w:bCs/>
          <w:sz w:val="24"/>
          <w:szCs w:val="24"/>
        </w:rPr>
        <w:t xml:space="preserve"> przeżywa &gt;</w:t>
      </w:r>
      <w:r w:rsidR="00203501" w:rsidRPr="00615014">
        <w:rPr>
          <w:rFonts w:ascii="Times New Roman" w:hAnsi="Times New Roman" w:cs="Times New Roman"/>
          <w:bCs/>
          <w:sz w:val="24"/>
          <w:szCs w:val="24"/>
        </w:rPr>
        <w:t xml:space="preserve">1 rok, (36% pozostałych chorych) </w:t>
      </w:r>
      <w:r w:rsidR="00C10DC0">
        <w:rPr>
          <w:rFonts w:ascii="Times New Roman" w:hAnsi="Times New Roman" w:cs="Times New Roman"/>
          <w:sz w:val="24"/>
          <w:szCs w:val="24"/>
        </w:rPr>
        <w:t>(9</w:t>
      </w:r>
      <w:r w:rsidR="00203501" w:rsidRPr="00615014">
        <w:rPr>
          <w:rFonts w:ascii="Times New Roman" w:hAnsi="Times New Roman" w:cs="Times New Roman"/>
          <w:sz w:val="24"/>
          <w:szCs w:val="24"/>
        </w:rPr>
        <w:t>).</w:t>
      </w:r>
      <w:r w:rsidR="00203501" w:rsidRPr="00615014">
        <w:rPr>
          <w:rFonts w:ascii="Times New Roman" w:hAnsi="Times New Roman" w:cs="Times New Roman"/>
          <w:sz w:val="24"/>
          <w:szCs w:val="24"/>
        </w:rPr>
        <w:tab/>
      </w:r>
    </w:p>
    <w:p w:rsidR="00203501" w:rsidRDefault="00203501" w:rsidP="00203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ostatnich latach okazało się, że w chorobie nowotworowej stosunkowo często dochodzi do </w:t>
      </w:r>
      <w:r w:rsidR="0058346F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, przebiegającej skąpoobjawowo w obrazie klinicznym, wykrywanej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przypadkowo podczas wykonywania badań obrazowych, mających na celu określenie stopnia zaawansowania nowotworu albo ocenę skutków terapii przeciwnowotworowej. </w:t>
      </w:r>
      <w:r w:rsidRPr="00BF11F1">
        <w:rPr>
          <w:rFonts w:ascii="Times New Roman" w:hAnsi="Times New Roman" w:cs="Times New Roman"/>
          <w:sz w:val="24"/>
          <w:szCs w:val="24"/>
        </w:rPr>
        <w:t>Ten typ zakrzepic</w:t>
      </w:r>
      <w:r>
        <w:rPr>
          <w:rFonts w:ascii="Times New Roman" w:hAnsi="Times New Roman" w:cs="Times New Roman"/>
          <w:sz w:val="24"/>
          <w:szCs w:val="24"/>
        </w:rPr>
        <w:t>y określa się jako „incydentalną</w:t>
      </w:r>
      <w:r w:rsidRPr="00BF11F1">
        <w:rPr>
          <w:rFonts w:ascii="Times New Roman" w:hAnsi="Times New Roman" w:cs="Times New Roman"/>
          <w:sz w:val="24"/>
          <w:szCs w:val="24"/>
        </w:rPr>
        <w:t>” (</w:t>
      </w:r>
      <w:r w:rsidR="00C10DC0">
        <w:rPr>
          <w:rFonts w:ascii="Times New Roman" w:hAnsi="Times New Roman" w:cs="Times New Roman"/>
          <w:sz w:val="24"/>
          <w:szCs w:val="24"/>
        </w:rPr>
        <w:t>10</w:t>
      </w:r>
      <w:r w:rsidRPr="00BF11F1">
        <w:rPr>
          <w:rFonts w:ascii="Times New Roman" w:hAnsi="Times New Roman" w:cs="Times New Roman"/>
          <w:sz w:val="24"/>
          <w:szCs w:val="24"/>
        </w:rPr>
        <w:t xml:space="preserve">). Nie jest adekwatnym dawniej używane określenie </w:t>
      </w:r>
      <w:r w:rsidRPr="00BF1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„bezobjawowa </w:t>
      </w:r>
      <w:r w:rsidR="0058346F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”, gdyż u 75% pacjentów z chorobą nowotworową przypadkowo wykryta </w:t>
      </w:r>
      <w:r w:rsidR="00A00E4D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powodowała objawy kliniczne, najczęściej zmęczenie i duszność, znacznie większe niż w odpowiednio dobranej grupie kontrolnej </w:t>
      </w:r>
      <w:r w:rsidRPr="00E45CB7">
        <w:rPr>
          <w:rFonts w:ascii="Times New Roman" w:hAnsi="Times New Roman" w:cs="Times New Roman"/>
          <w:sz w:val="24"/>
          <w:szCs w:val="24"/>
        </w:rPr>
        <w:t>(</w:t>
      </w:r>
      <w:r w:rsidR="00C10DC0">
        <w:rPr>
          <w:rFonts w:ascii="Times New Roman" w:hAnsi="Times New Roman" w:cs="Times New Roman"/>
          <w:sz w:val="24"/>
          <w:szCs w:val="24"/>
        </w:rPr>
        <w:t>11</w:t>
      </w:r>
      <w:r w:rsidRPr="00E45CB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Wykazano, że u chorych na raka trzustki incydentalna </w:t>
      </w:r>
      <w:r w:rsidR="0058346F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 stanowiła 21,4%  przypadków </w:t>
      </w:r>
      <w:r w:rsidR="0058346F">
        <w:rPr>
          <w:rFonts w:ascii="Times New Roman" w:hAnsi="Times New Roman" w:cs="Times New Roman"/>
          <w:sz w:val="24"/>
          <w:szCs w:val="24"/>
        </w:rPr>
        <w:t>DVT</w:t>
      </w:r>
      <w:r>
        <w:rPr>
          <w:rFonts w:ascii="Times New Roman" w:hAnsi="Times New Roman" w:cs="Times New Roman"/>
          <w:sz w:val="24"/>
          <w:szCs w:val="24"/>
        </w:rPr>
        <w:t xml:space="preserve">, 33,3% </w:t>
      </w:r>
      <w:r w:rsidR="0058346F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i 100% zakrzepicy żył trzewnych </w:t>
      </w:r>
      <w:r w:rsidRPr="00770208">
        <w:rPr>
          <w:rFonts w:ascii="Times New Roman" w:hAnsi="Times New Roman" w:cs="Times New Roman"/>
          <w:sz w:val="24"/>
          <w:szCs w:val="24"/>
        </w:rPr>
        <w:t>(</w:t>
      </w:r>
      <w:r w:rsidR="00C10DC0">
        <w:rPr>
          <w:rFonts w:ascii="Times New Roman" w:hAnsi="Times New Roman" w:cs="Times New Roman"/>
          <w:sz w:val="24"/>
          <w:szCs w:val="24"/>
        </w:rPr>
        <w:t>12</w:t>
      </w:r>
      <w:r w:rsidRPr="0077020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Incydentalną </w:t>
      </w:r>
      <w:r w:rsidR="0058346F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 wykrywa się u 4-8% hospitalizowanych pacjentów z nowotworami i w 1,5 – 3,4% badań obrazowych pacjentów ambulatoryjnych, poddawanych diagnostyce z powodu choroby nowotworowej (</w:t>
      </w:r>
      <w:r w:rsidR="00C10DC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). Skutk</w:t>
      </w:r>
      <w:r w:rsidR="006A4EFF">
        <w:rPr>
          <w:rFonts w:ascii="Times New Roman" w:hAnsi="Times New Roman" w:cs="Times New Roman"/>
          <w:sz w:val="24"/>
          <w:szCs w:val="24"/>
        </w:rPr>
        <w:t xml:space="preserve">i zachorowania na incydentalną </w:t>
      </w:r>
      <w:r>
        <w:rPr>
          <w:rFonts w:ascii="Times New Roman" w:hAnsi="Times New Roman" w:cs="Times New Roman"/>
          <w:sz w:val="24"/>
          <w:szCs w:val="24"/>
        </w:rPr>
        <w:t xml:space="preserve">i objawową </w:t>
      </w:r>
      <w:r w:rsidR="0058346F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 u chorych na nowotwory są podobne, obie postaci zakrzepicy są niezależnymi czynnikami ryzyka nawrotów </w:t>
      </w:r>
      <w:r w:rsidR="002F3E21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 i skrócenia czasu życia pacjentów (</w:t>
      </w:r>
      <w:r w:rsidR="00C10DC0">
        <w:rPr>
          <w:rFonts w:ascii="Times New Roman" w:hAnsi="Times New Roman" w:cs="Times New Roman"/>
          <w:sz w:val="24"/>
          <w:szCs w:val="24"/>
        </w:rPr>
        <w:t>14</w:t>
      </w:r>
      <w:r w:rsidRPr="00E45CB7">
        <w:rPr>
          <w:rFonts w:ascii="Times New Roman" w:hAnsi="Times New Roman" w:cs="Times New Roman"/>
          <w:sz w:val="24"/>
          <w:szCs w:val="24"/>
        </w:rPr>
        <w:t>).</w:t>
      </w:r>
    </w:p>
    <w:p w:rsidR="00203501" w:rsidRDefault="00203501" w:rsidP="00203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501" w:rsidRDefault="00203501" w:rsidP="002035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Czynniki ryzyka </w:t>
      </w:r>
      <w:r w:rsidR="002F3E21">
        <w:rPr>
          <w:rFonts w:ascii="Times New Roman" w:hAnsi="Times New Roman" w:cs="Times New Roman"/>
          <w:bCs/>
          <w:sz w:val="24"/>
          <w:szCs w:val="24"/>
        </w:rPr>
        <w:t>VTE</w:t>
      </w:r>
      <w:r>
        <w:rPr>
          <w:rFonts w:ascii="Times New Roman" w:hAnsi="Times New Roman" w:cs="Times New Roman"/>
          <w:bCs/>
          <w:sz w:val="24"/>
          <w:szCs w:val="24"/>
        </w:rPr>
        <w:t xml:space="preserve"> w chorobie nowotworowej</w:t>
      </w:r>
    </w:p>
    <w:p w:rsidR="00A00E4D" w:rsidRDefault="00203501" w:rsidP="0020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Problemem niezwykle ważnym w praktyce klinicznej jest wybór pacjentów z chorobą nowotworową, u których istnieje zwiększone zagrożenie zakrzepowe i byłaby wskazana odpowiednia profilaktyka przeciwzakrzepowa. W tym celu wprowadzono skale ocen ryzyka zakrzepowego i poszukuje się biomarkerów zagrożenia zakrzepicą.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Uznane czynniki zagrożenia zakrzepowego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 przebyta </w:t>
      </w:r>
      <w:r w:rsidR="002F3E21">
        <w:rPr>
          <w:rFonts w:ascii="Times New Roman" w:hAnsi="Times New Roman" w:cs="Times New Roman"/>
          <w:bCs/>
          <w:sz w:val="24"/>
          <w:szCs w:val="24"/>
        </w:rPr>
        <w:t>VTE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unieruchomienie, leczenie hormonalne (tamoksyfen, toramifen), stosowanie inhibitorów angiogenezy – talidomidu, lenalidomidu, lub bewacyzumabu. </w:t>
      </w:r>
      <w:r w:rsidRPr="009C10B6">
        <w:rPr>
          <w:rFonts w:ascii="Times New Roman" w:hAnsi="Times New Roman" w:cs="Times New Roman"/>
          <w:sz w:val="24"/>
          <w:szCs w:val="24"/>
        </w:rPr>
        <w:t xml:space="preserve">Leczenie tamoksyfenem zwiększa w raku piersi zagrożenie zakrzepowe 2 – 5. krotnie, przy czym poważne powikłania tego rodzaju występują u około 1% leczonych. Ryzyko zakrzepicy żylnej okazało się szczególnie duże u kobiet po menopauzie, u których stosowano chemioterapię skojarzoną z tamoksyfenem. Zagrożenie zakrzepowe jest natomiast o połowę mniejsze, jeśli zamiast tamoksyfenu stosuje się inhibitor aromatazy – anastrozol, letrozol lub egzemestan </w:t>
      </w:r>
      <w:r w:rsidRPr="00C10DC0">
        <w:rPr>
          <w:rFonts w:ascii="Times New Roman" w:hAnsi="Times New Roman" w:cs="Times New Roman"/>
          <w:sz w:val="24"/>
          <w:szCs w:val="24"/>
        </w:rPr>
        <w:t>(</w:t>
      </w:r>
      <w:r w:rsidR="00C10DC0" w:rsidRPr="00C10DC0">
        <w:rPr>
          <w:rFonts w:ascii="Times New Roman" w:hAnsi="Times New Roman"/>
          <w:sz w:val="24"/>
          <w:szCs w:val="24"/>
        </w:rPr>
        <w:t>15</w:t>
      </w:r>
      <w:r w:rsidRPr="009C10B6">
        <w:rPr>
          <w:rFonts w:ascii="Times New Roman" w:hAnsi="Times New Roman" w:cs="Times New Roman"/>
          <w:sz w:val="24"/>
          <w:szCs w:val="24"/>
        </w:rPr>
        <w:t xml:space="preserve">).   </w:t>
      </w:r>
      <w:r w:rsidR="002F3E21">
        <w:rPr>
          <w:rFonts w:ascii="Times New Roman" w:hAnsi="Times New Roman" w:cs="Times New Roman"/>
          <w:sz w:val="24"/>
          <w:szCs w:val="24"/>
        </w:rPr>
        <w:t>VTE</w:t>
      </w:r>
      <w:r w:rsidRPr="009C10B6">
        <w:rPr>
          <w:rFonts w:ascii="Times New Roman" w:hAnsi="Times New Roman" w:cs="Times New Roman"/>
          <w:sz w:val="24"/>
          <w:szCs w:val="24"/>
        </w:rPr>
        <w:t xml:space="preserve"> wystąpiła u 7,3% kobiet z rakiem piersi leczonych bewacyzumabem, niezależnie od dawki (2,5 mg/kg/tydzień lub 5 mg/kg/tydzień) (</w:t>
      </w:r>
      <w:r w:rsidR="00C10DC0">
        <w:rPr>
          <w:rFonts w:ascii="Times New Roman" w:hAnsi="Times New Roman" w:cs="Times New Roman"/>
          <w:sz w:val="24"/>
          <w:szCs w:val="24"/>
        </w:rPr>
        <w:t>16</w:t>
      </w:r>
      <w:r w:rsidRPr="009C10B6">
        <w:rPr>
          <w:rFonts w:ascii="Times New Roman" w:hAnsi="Times New Roman" w:cs="Times New Roman"/>
          <w:sz w:val="24"/>
          <w:szCs w:val="24"/>
        </w:rPr>
        <w:t xml:space="preserve">).  Czynnikiem </w:t>
      </w:r>
      <w:r>
        <w:rPr>
          <w:rFonts w:ascii="Times New Roman" w:hAnsi="Times New Roman" w:cs="Times New Roman"/>
          <w:sz w:val="24"/>
          <w:szCs w:val="24"/>
        </w:rPr>
        <w:t>ryzyka zakrzepicy żylnej</w:t>
      </w:r>
      <w:r w:rsidRPr="009C10B6">
        <w:rPr>
          <w:rFonts w:ascii="Times New Roman" w:hAnsi="Times New Roman" w:cs="Times New Roman"/>
          <w:sz w:val="24"/>
          <w:szCs w:val="24"/>
        </w:rPr>
        <w:t xml:space="preserve"> u chorych na nowotwory jest stosowanie stymulatorów erytropoezy. Metaanaliza 35 badań obejmujących 6 769 chorych wykazała, że u leczonych erytropoetyną lub dar</w:t>
      </w:r>
      <w:r>
        <w:rPr>
          <w:rFonts w:ascii="Times New Roman" w:hAnsi="Times New Roman" w:cs="Times New Roman"/>
          <w:sz w:val="24"/>
          <w:szCs w:val="24"/>
        </w:rPr>
        <w:t xml:space="preserve">bepoetyną ryzyko wystąpienia </w:t>
      </w:r>
      <w:r w:rsidR="002F3E21">
        <w:rPr>
          <w:rFonts w:ascii="Times New Roman" w:hAnsi="Times New Roman" w:cs="Times New Roman"/>
          <w:sz w:val="24"/>
          <w:szCs w:val="24"/>
        </w:rPr>
        <w:t>VTE</w:t>
      </w:r>
      <w:r w:rsidRPr="009C10B6">
        <w:rPr>
          <w:rFonts w:ascii="Times New Roman" w:hAnsi="Times New Roman" w:cs="Times New Roman"/>
          <w:sz w:val="24"/>
          <w:szCs w:val="24"/>
        </w:rPr>
        <w:t xml:space="preserve"> zwiększyło się o 67% (</w:t>
      </w:r>
      <w:r w:rsidR="00C10DC0">
        <w:rPr>
          <w:rFonts w:ascii="Times New Roman" w:hAnsi="Times New Roman" w:cs="Times New Roman"/>
          <w:sz w:val="24"/>
          <w:szCs w:val="24"/>
        </w:rPr>
        <w:t>17</w:t>
      </w:r>
      <w:r w:rsidRPr="009C10B6">
        <w:rPr>
          <w:rFonts w:ascii="Times New Roman" w:hAnsi="Times New Roman" w:cs="Times New Roman"/>
          <w:sz w:val="24"/>
          <w:szCs w:val="24"/>
        </w:rPr>
        <w:t xml:space="preserve">). </w:t>
      </w:r>
      <w:r w:rsidR="004D20B3">
        <w:rPr>
          <w:rFonts w:ascii="Times New Roman" w:hAnsi="Times New Roman" w:cs="Times New Roman"/>
          <w:sz w:val="24"/>
          <w:szCs w:val="24"/>
        </w:rPr>
        <w:t xml:space="preserve">Zwiększoną częstość zakrzepicy żylnej </w:t>
      </w:r>
      <w:r w:rsidR="00A00E4D">
        <w:rPr>
          <w:rFonts w:ascii="Times New Roman" w:hAnsi="Times New Roman" w:cs="Times New Roman"/>
          <w:sz w:val="24"/>
          <w:szCs w:val="24"/>
        </w:rPr>
        <w:t xml:space="preserve">niedawno </w:t>
      </w:r>
      <w:r w:rsidR="004D20B3">
        <w:rPr>
          <w:rFonts w:ascii="Times New Roman" w:hAnsi="Times New Roman" w:cs="Times New Roman"/>
          <w:sz w:val="24"/>
          <w:szCs w:val="24"/>
        </w:rPr>
        <w:t>stwierdzono także u leczonych cisplatyną (</w:t>
      </w:r>
      <w:r w:rsidR="00C10DC0">
        <w:rPr>
          <w:rFonts w:ascii="Times New Roman" w:hAnsi="Times New Roman" w:cs="Times New Roman"/>
          <w:sz w:val="24"/>
          <w:szCs w:val="24"/>
        </w:rPr>
        <w:t>18</w:t>
      </w:r>
      <w:r w:rsidR="003913E9">
        <w:rPr>
          <w:rFonts w:ascii="Times New Roman" w:hAnsi="Times New Roman" w:cs="Times New Roman"/>
          <w:sz w:val="24"/>
          <w:szCs w:val="24"/>
        </w:rPr>
        <w:t xml:space="preserve">). </w:t>
      </w:r>
      <w:r w:rsidRPr="009C10B6">
        <w:rPr>
          <w:rFonts w:ascii="Times New Roman" w:hAnsi="Times New Roman" w:cs="Times New Roman"/>
          <w:sz w:val="24"/>
          <w:szCs w:val="24"/>
        </w:rPr>
        <w:t>Do wy</w:t>
      </w:r>
      <w:r>
        <w:rPr>
          <w:rFonts w:ascii="Times New Roman" w:hAnsi="Times New Roman" w:cs="Times New Roman"/>
          <w:sz w:val="24"/>
          <w:szCs w:val="24"/>
        </w:rPr>
        <w:t xml:space="preserve">stąpienia </w:t>
      </w:r>
      <w:r w:rsidR="002F3E21">
        <w:rPr>
          <w:rFonts w:ascii="Times New Roman" w:hAnsi="Times New Roman" w:cs="Times New Roman"/>
          <w:sz w:val="24"/>
          <w:szCs w:val="24"/>
        </w:rPr>
        <w:t>DVT</w:t>
      </w:r>
      <w:r w:rsidRPr="009C10B6">
        <w:rPr>
          <w:rFonts w:ascii="Times New Roman" w:hAnsi="Times New Roman" w:cs="Times New Roman"/>
          <w:sz w:val="24"/>
          <w:szCs w:val="24"/>
        </w:rPr>
        <w:t xml:space="preserve"> kończyn górnych </w:t>
      </w:r>
      <w:r w:rsidR="002F3E21">
        <w:rPr>
          <w:rFonts w:ascii="Times New Roman" w:hAnsi="Times New Roman" w:cs="Times New Roman"/>
          <w:sz w:val="24"/>
          <w:szCs w:val="24"/>
        </w:rPr>
        <w:t xml:space="preserve">i związanych z nią powikłań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3E21">
        <w:rPr>
          <w:rFonts w:ascii="Times New Roman" w:hAnsi="Times New Roman" w:cs="Times New Roman"/>
          <w:sz w:val="24"/>
          <w:szCs w:val="24"/>
        </w:rPr>
        <w:t>E</w:t>
      </w:r>
      <w:r w:rsidRPr="009C10B6">
        <w:rPr>
          <w:rFonts w:ascii="Times New Roman" w:hAnsi="Times New Roman" w:cs="Times New Roman"/>
          <w:sz w:val="24"/>
          <w:szCs w:val="24"/>
        </w:rPr>
        <w:t xml:space="preserve"> i sepsy u </w:t>
      </w:r>
      <w:r w:rsidRPr="009C10B6">
        <w:rPr>
          <w:rFonts w:ascii="Times New Roman" w:hAnsi="Times New Roman" w:cs="Times New Roman"/>
          <w:sz w:val="24"/>
          <w:szCs w:val="24"/>
        </w:rPr>
        <w:lastRenderedPageBreak/>
        <w:t>chorych na nowotwory predysponuje obecność centralnego cewnika. Ryzyko objawowej zakrzepicy jest jednak stosunkowo niewielkie – dotyczy 2 – 4% chorych (</w:t>
      </w:r>
      <w:r w:rsidR="000B4692">
        <w:rPr>
          <w:rFonts w:ascii="Times New Roman" w:hAnsi="Times New Roman" w:cs="Times New Roman"/>
          <w:sz w:val="24"/>
          <w:szCs w:val="24"/>
        </w:rPr>
        <w:t>19</w:t>
      </w:r>
      <w:r w:rsidRPr="009C10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501" w:rsidRDefault="00203501" w:rsidP="00A00E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 chorych poddawanych chemioterapii </w:t>
      </w:r>
      <w:r w:rsidRPr="00200195">
        <w:rPr>
          <w:rFonts w:ascii="Times New Roman" w:hAnsi="Times New Roman" w:cs="Times New Roman"/>
          <w:bCs/>
          <w:sz w:val="24"/>
          <w:szCs w:val="24"/>
        </w:rPr>
        <w:t>Khorana i wsp. (</w:t>
      </w:r>
      <w:r w:rsidR="000B4692">
        <w:rPr>
          <w:rFonts w:ascii="Times New Roman" w:hAnsi="Times New Roman" w:cs="Times New Roman"/>
          <w:bCs/>
          <w:sz w:val="24"/>
          <w:szCs w:val="24"/>
        </w:rPr>
        <w:t>20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) opracowali skalę oceny ryzyka VTE </w:t>
      </w:r>
      <w:r>
        <w:rPr>
          <w:rFonts w:ascii="Times New Roman" w:hAnsi="Times New Roman" w:cs="Times New Roman"/>
          <w:bCs/>
          <w:sz w:val="24"/>
          <w:szCs w:val="24"/>
        </w:rPr>
        <w:t xml:space="preserve">w chorobie nowotworowej </w:t>
      </w:r>
      <w:r w:rsidRPr="00200195">
        <w:rPr>
          <w:rFonts w:ascii="Times New Roman" w:hAnsi="Times New Roman" w:cs="Times New Roman"/>
          <w:bCs/>
          <w:sz w:val="24"/>
          <w:szCs w:val="24"/>
        </w:rPr>
        <w:t>(Tab.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00195">
        <w:rPr>
          <w:rFonts w:ascii="Times New Roman" w:hAnsi="Times New Roman" w:cs="Times New Roman"/>
          <w:bCs/>
          <w:sz w:val="24"/>
          <w:szCs w:val="24"/>
        </w:rPr>
        <w:t>).</w:t>
      </w:r>
    </w:p>
    <w:p w:rsidR="00203501" w:rsidRPr="00200195" w:rsidRDefault="00203501" w:rsidP="002035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Tab.1</w:t>
      </w:r>
    </w:p>
    <w:p w:rsidR="00203501" w:rsidRDefault="00203501" w:rsidP="00203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Przydatność skali Khorany</w:t>
      </w:r>
      <w:r w:rsidRPr="002001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00195">
        <w:rPr>
          <w:rFonts w:ascii="Times New Roman" w:eastAsia="Calibri" w:hAnsi="Times New Roman" w:cs="Times New Roman"/>
          <w:sz w:val="24"/>
          <w:szCs w:val="24"/>
        </w:rPr>
        <w:t xml:space="preserve">sprawdzono w badaniu prospektywnym w grupie  </w:t>
      </w:r>
      <w:r>
        <w:rPr>
          <w:rFonts w:ascii="Times New Roman" w:eastAsia="Calibri" w:hAnsi="Times New Roman" w:cs="Times New Roman"/>
          <w:sz w:val="24"/>
          <w:szCs w:val="24"/>
        </w:rPr>
        <w:t>819</w:t>
      </w:r>
      <w:r w:rsidRPr="00200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E4D">
        <w:rPr>
          <w:rFonts w:ascii="Times New Roman" w:eastAsia="Calibri" w:hAnsi="Times New Roman" w:cs="Times New Roman"/>
          <w:sz w:val="24"/>
          <w:szCs w:val="24"/>
        </w:rPr>
        <w:t xml:space="preserve">leczonych </w:t>
      </w:r>
      <w:r w:rsidRPr="00200195">
        <w:rPr>
          <w:rFonts w:ascii="Times New Roman" w:eastAsia="Calibri" w:hAnsi="Times New Roman" w:cs="Times New Roman"/>
          <w:sz w:val="24"/>
          <w:szCs w:val="24"/>
        </w:rPr>
        <w:t>p</w:t>
      </w:r>
      <w:r w:rsidR="00A00E4D">
        <w:rPr>
          <w:rFonts w:ascii="Times New Roman" w:eastAsia="Calibri" w:hAnsi="Times New Roman" w:cs="Times New Roman"/>
          <w:sz w:val="24"/>
          <w:szCs w:val="24"/>
        </w:rPr>
        <w:t>acjentów z chorobą nowotworową</w:t>
      </w:r>
      <w:r w:rsidRPr="00200195">
        <w:rPr>
          <w:rFonts w:ascii="Times New Roman" w:eastAsia="Calibri" w:hAnsi="Times New Roman" w:cs="Times New Roman"/>
          <w:sz w:val="24"/>
          <w:szCs w:val="24"/>
        </w:rPr>
        <w:t xml:space="preserve">, z czasem obserwacji 6 miesięcy. </w:t>
      </w:r>
      <w:r w:rsidR="002F3E21">
        <w:rPr>
          <w:rFonts w:ascii="Times New Roman" w:eastAsia="Calibri" w:hAnsi="Times New Roman" w:cs="Times New Roman"/>
          <w:sz w:val="24"/>
          <w:szCs w:val="24"/>
        </w:rPr>
        <w:t>VTE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wystąpiła u </w:t>
      </w:r>
      <w:r w:rsidR="002A4975">
        <w:rPr>
          <w:rFonts w:ascii="Times New Roman" w:eastAsia="Calibri" w:hAnsi="Times New Roman" w:cs="Times New Roman"/>
          <w:sz w:val="24"/>
          <w:szCs w:val="24"/>
        </w:rPr>
        <w:t>w 9</w:t>
      </w:r>
      <w:r w:rsidR="002A4975" w:rsidRPr="00200195">
        <w:rPr>
          <w:rFonts w:ascii="Times New Roman" w:eastAsia="Calibri" w:hAnsi="Times New Roman" w:cs="Times New Roman"/>
          <w:sz w:val="24"/>
          <w:szCs w:val="24"/>
        </w:rPr>
        <w:t>,</w:t>
      </w:r>
      <w:r w:rsidR="002A4975">
        <w:rPr>
          <w:rFonts w:ascii="Times New Roman" w:eastAsia="Calibri" w:hAnsi="Times New Roman" w:cs="Times New Roman"/>
          <w:sz w:val="24"/>
          <w:szCs w:val="24"/>
        </w:rPr>
        <w:t>4</w:t>
      </w:r>
      <w:r w:rsidR="002A4975" w:rsidRPr="00200195">
        <w:rPr>
          <w:rFonts w:ascii="Times New Roman" w:eastAsia="Calibri" w:hAnsi="Times New Roman" w:cs="Times New Roman"/>
          <w:sz w:val="24"/>
          <w:szCs w:val="24"/>
        </w:rPr>
        <w:t>% pacjentów z dużym ryzykiem zakrzepowym (≥3 punkty)</w:t>
      </w:r>
      <w:r w:rsidR="002A4975">
        <w:rPr>
          <w:rFonts w:ascii="Times New Roman" w:eastAsia="Calibri" w:hAnsi="Times New Roman" w:cs="Times New Roman"/>
          <w:sz w:val="24"/>
          <w:szCs w:val="24"/>
        </w:rPr>
        <w:t>,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200195">
        <w:rPr>
          <w:rFonts w:ascii="Times New Roman" w:eastAsia="Calibri" w:hAnsi="Times New Roman" w:cs="Times New Roman"/>
          <w:sz w:val="24"/>
          <w:szCs w:val="24"/>
        </w:rPr>
        <w:t>,8% w grupie średniego ryzyka (1-2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punkty) i </w:t>
      </w:r>
      <w:r w:rsidR="002A4975">
        <w:rPr>
          <w:rFonts w:ascii="Times New Roman" w:eastAsia="Calibri" w:hAnsi="Times New Roman" w:cs="Times New Roman"/>
          <w:sz w:val="24"/>
          <w:szCs w:val="24"/>
        </w:rPr>
        <w:t>u 1</w:t>
      </w:r>
      <w:r w:rsidR="002A4975" w:rsidRPr="00200195">
        <w:rPr>
          <w:rFonts w:ascii="Times New Roman" w:eastAsia="Calibri" w:hAnsi="Times New Roman" w:cs="Times New Roman"/>
          <w:sz w:val="24"/>
          <w:szCs w:val="24"/>
        </w:rPr>
        <w:t>,</w:t>
      </w:r>
      <w:r w:rsidR="002A4975">
        <w:rPr>
          <w:rFonts w:ascii="Times New Roman" w:eastAsia="Calibri" w:hAnsi="Times New Roman" w:cs="Times New Roman"/>
          <w:sz w:val="24"/>
          <w:szCs w:val="24"/>
        </w:rPr>
        <w:t>5</w:t>
      </w:r>
      <w:r w:rsidR="002A4975" w:rsidRPr="00200195">
        <w:rPr>
          <w:rFonts w:ascii="Times New Roman" w:eastAsia="Calibri" w:hAnsi="Times New Roman" w:cs="Times New Roman"/>
          <w:sz w:val="24"/>
          <w:szCs w:val="24"/>
        </w:rPr>
        <w:t xml:space="preserve"> % pacjentów z grupy małego ryzyka (0 punktów</w:t>
      </w:r>
      <w:r w:rsidR="002A497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20019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B4692">
        <w:rPr>
          <w:rFonts w:ascii="Times New Roman" w:eastAsia="Calibri" w:hAnsi="Times New Roman" w:cs="Times New Roman"/>
          <w:sz w:val="24"/>
          <w:szCs w:val="24"/>
        </w:rPr>
        <w:t>21</w:t>
      </w:r>
      <w:r w:rsidRPr="00200195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następnych latach w sumie ska</w:t>
      </w:r>
      <w:r w:rsidR="002F3E21">
        <w:rPr>
          <w:rFonts w:ascii="Times New Roman" w:eastAsia="Calibri" w:hAnsi="Times New Roman" w:cs="Times New Roman"/>
          <w:sz w:val="24"/>
          <w:szCs w:val="24"/>
        </w:rPr>
        <w:t xml:space="preserve">la Khorany została zwalidowana </w:t>
      </w:r>
      <w:r>
        <w:rPr>
          <w:rFonts w:ascii="Times New Roman" w:eastAsia="Calibri" w:hAnsi="Times New Roman" w:cs="Times New Roman"/>
          <w:sz w:val="24"/>
          <w:szCs w:val="24"/>
        </w:rPr>
        <w:t>u 10 694 pacjentów z nowotworami złośliwymi, m.in. wśród uczestników badania SAVE-ONCO i PROTECHT (</w:t>
      </w:r>
      <w:r w:rsidR="000B4692">
        <w:rPr>
          <w:rFonts w:ascii="Times New Roman" w:eastAsia="Calibri" w:hAnsi="Times New Roman" w:cs="Times New Roman"/>
          <w:sz w:val="24"/>
          <w:szCs w:val="24"/>
        </w:rPr>
        <w:t>22, 23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2F3E21">
        <w:rPr>
          <w:rFonts w:ascii="Times New Roman" w:eastAsia="Calibri" w:hAnsi="Times New Roman" w:cs="Times New Roman"/>
          <w:sz w:val="24"/>
          <w:szCs w:val="24"/>
        </w:rPr>
        <w:t>Skalę wzbogacono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dodatkowe biomarkery zagrożenia nowotworowego, do których należą: stężenie dimeru D</w:t>
      </w:r>
      <w:r w:rsidR="002A4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975">
        <w:rPr>
          <w:rFonts w:ascii="Times New Roman" w:hAnsi="Times New Roman" w:cs="Times New Roman"/>
          <w:color w:val="000000"/>
          <w:sz w:val="24"/>
          <w:szCs w:val="24"/>
        </w:rPr>
        <w:t>(&gt;1,</w:t>
      </w:r>
      <w:r w:rsidR="002F3E21" w:rsidRPr="002F3E21">
        <w:rPr>
          <w:rFonts w:ascii="Times New Roman" w:hAnsi="Times New Roman" w:cs="Times New Roman"/>
          <w:color w:val="000000"/>
          <w:sz w:val="24"/>
          <w:szCs w:val="24"/>
        </w:rPr>
        <w:t>44 mg/mL)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E2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2A4975">
        <w:rPr>
          <w:rFonts w:ascii="Times New Roman" w:eastAsia="Calibri" w:hAnsi="Times New Roman" w:cs="Times New Roman"/>
          <w:sz w:val="24"/>
          <w:szCs w:val="24"/>
        </w:rPr>
        <w:t xml:space="preserve">stężenie </w:t>
      </w:r>
      <w:r>
        <w:rPr>
          <w:rFonts w:ascii="Times New Roman" w:eastAsia="Calibri" w:hAnsi="Times New Roman" w:cs="Times New Roman"/>
          <w:sz w:val="24"/>
          <w:szCs w:val="24"/>
        </w:rPr>
        <w:t>rozpuszczalnej P-selektyny</w:t>
      </w:r>
      <w:r w:rsidR="002A4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975">
        <w:rPr>
          <w:rFonts w:ascii="Times New Roman" w:hAnsi="Times New Roman" w:cs="Times New Roman"/>
          <w:color w:val="000000"/>
          <w:sz w:val="24"/>
          <w:szCs w:val="24"/>
        </w:rPr>
        <w:t>(&gt;53,</w:t>
      </w:r>
      <w:r w:rsidR="002F3E21" w:rsidRPr="002F3E21">
        <w:rPr>
          <w:rFonts w:ascii="Times New Roman" w:hAnsi="Times New Roman" w:cs="Times New Roman"/>
          <w:color w:val="000000"/>
          <w:sz w:val="24"/>
          <w:szCs w:val="24"/>
        </w:rPr>
        <w:t>1 ng/mL</w:t>
      </w:r>
      <w:r w:rsidR="002F3E21">
        <w:rPr>
          <w:rFonts w:ascii="Times New Roman" w:hAnsi="Times New Roman" w:cs="Times New Roman"/>
          <w:color w:val="000000"/>
          <w:sz w:val="24"/>
          <w:szCs w:val="24"/>
        </w:rPr>
        <w:t>). W prospektywnym badaniu grupy pacjentów z nowo rozpoznanym nowotworem po 6 miesiącach obserwacji na VTE zachorowało 35% pacjentów z dużym ryzykiem zakrzepowym (&gt;5 punktów), 10,3 % z umiarkowanym ryzykiem (3 punkty) i 1% pacjentów z małym ryzykiem (0 punktów) (</w:t>
      </w:r>
      <w:r w:rsidR="000B469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A49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3501" w:rsidRDefault="00203501" w:rsidP="00203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Zwiększone stężenie dimeru D (&gt;0,3 mg/L) stwierdzono u 20% (95%CI 12%-31%) pacjentów operowanych z powodu raka jelita grubego, u których w ciągu rocznej o</w:t>
      </w:r>
      <w:r w:rsidR="002A4975">
        <w:rPr>
          <w:rFonts w:ascii="Times New Roman" w:eastAsia="Calibri" w:hAnsi="Times New Roman" w:cs="Times New Roman"/>
          <w:sz w:val="24"/>
          <w:szCs w:val="24"/>
        </w:rPr>
        <w:t>bserwacji po zabiegu wystąpiła VTE</w:t>
      </w:r>
      <w:r>
        <w:rPr>
          <w:rFonts w:ascii="Times New Roman" w:eastAsia="Calibri" w:hAnsi="Times New Roman" w:cs="Times New Roman"/>
          <w:sz w:val="24"/>
          <w:szCs w:val="24"/>
        </w:rPr>
        <w:t>, a tylko u 5% (95%CI 12%-31%) pozostałych pacjentów z tej grupy (HR=6,53; 95CI 1,58-27,0) (</w:t>
      </w:r>
      <w:r w:rsidR="000B4692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). W rejestrze CATS (Vienna Cancer and Thrombosis Study)  stężenie dimeru D &gt;75 percentyli (&gt;1,44 µg/ml) było związane ze zwiększonym zagrożeniem  zakrzepowym (HR 2,2; 95%CI 1,3-3,6; p=0,003) (</w:t>
      </w:r>
      <w:r w:rsidR="000B4692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Podkreślić jednak należy dużą częstość zwiększonego stężenia dimeru D w nowotworach i brak ustalonego punktu odcięcia dla zagrożenia zakrzepowego. </w:t>
      </w:r>
    </w:p>
    <w:p w:rsidR="00203501" w:rsidRDefault="00A00E4D" w:rsidP="00203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Zwiększoną zawartość c</w:t>
      </w:r>
      <w:r w:rsidR="00203501">
        <w:rPr>
          <w:rFonts w:ascii="Times New Roman" w:eastAsia="Calibri" w:hAnsi="Times New Roman" w:cs="Times New Roman"/>
          <w:sz w:val="24"/>
          <w:szCs w:val="24"/>
        </w:rPr>
        <w:t>zynnik</w:t>
      </w:r>
      <w:r>
        <w:rPr>
          <w:rFonts w:ascii="Times New Roman" w:eastAsia="Calibri" w:hAnsi="Times New Roman" w:cs="Times New Roman"/>
          <w:sz w:val="24"/>
          <w:szCs w:val="24"/>
        </w:rPr>
        <w:t>a tkankowego</w:t>
      </w:r>
      <w:r w:rsidR="00FC4D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B4692">
        <w:rPr>
          <w:rFonts w:ascii="Times New Roman" w:eastAsia="Calibri" w:hAnsi="Times New Roman" w:cs="Times New Roman"/>
          <w:sz w:val="24"/>
          <w:szCs w:val="24"/>
        </w:rPr>
        <w:t>TF</w:t>
      </w:r>
      <w:r w:rsidR="00FC4D5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C4D56" w:rsidRPr="00FC4D56">
        <w:rPr>
          <w:rFonts w:ascii="Times New Roman" w:eastAsia="Calibri" w:hAnsi="Times New Roman" w:cs="Times New Roman"/>
          <w:i/>
          <w:sz w:val="24"/>
          <w:szCs w:val="24"/>
        </w:rPr>
        <w:t>tissue</w:t>
      </w:r>
      <w:r w:rsidR="00FC4D56">
        <w:rPr>
          <w:rFonts w:ascii="Times New Roman" w:eastAsia="Calibri" w:hAnsi="Times New Roman" w:cs="Times New Roman"/>
          <w:i/>
          <w:sz w:val="24"/>
          <w:szCs w:val="24"/>
        </w:rPr>
        <w:t xml:space="preserve"> f</w:t>
      </w:r>
      <w:r w:rsidR="00FC4D56" w:rsidRPr="00FC4D56">
        <w:rPr>
          <w:rFonts w:ascii="Times New Roman" w:eastAsia="Calibri" w:hAnsi="Times New Roman" w:cs="Times New Roman"/>
          <w:i/>
          <w:sz w:val="24"/>
          <w:szCs w:val="24"/>
        </w:rPr>
        <w:t>actor</w:t>
      </w:r>
      <w:r w:rsidR="000B469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fizjologicznego</w:t>
      </w:r>
      <w:r w:rsidR="00203501">
        <w:rPr>
          <w:rFonts w:ascii="Times New Roman" w:eastAsia="Calibri" w:hAnsi="Times New Roman" w:cs="Times New Roman"/>
          <w:sz w:val="24"/>
          <w:szCs w:val="24"/>
        </w:rPr>
        <w:t xml:space="preserve"> inicjator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03501">
        <w:rPr>
          <w:rFonts w:ascii="Times New Roman" w:eastAsia="Calibri" w:hAnsi="Times New Roman" w:cs="Times New Roman"/>
          <w:sz w:val="24"/>
          <w:szCs w:val="24"/>
        </w:rPr>
        <w:t xml:space="preserve"> ka</w:t>
      </w:r>
      <w:r>
        <w:rPr>
          <w:rFonts w:ascii="Times New Roman" w:eastAsia="Calibri" w:hAnsi="Times New Roman" w:cs="Times New Roman"/>
          <w:sz w:val="24"/>
          <w:szCs w:val="24"/>
        </w:rPr>
        <w:t>skady krzepnięcia in vivo, wykrywano</w:t>
      </w:r>
      <w:r w:rsidR="00203501">
        <w:rPr>
          <w:rFonts w:ascii="Times New Roman" w:eastAsia="Calibri" w:hAnsi="Times New Roman" w:cs="Times New Roman"/>
          <w:sz w:val="24"/>
          <w:szCs w:val="24"/>
        </w:rPr>
        <w:t xml:space="preserve"> w wielu nowotworach. Do krążenia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TF </w:t>
      </w:r>
      <w:r w:rsidR="00203501">
        <w:rPr>
          <w:rFonts w:ascii="Times New Roman" w:eastAsia="Calibri" w:hAnsi="Times New Roman" w:cs="Times New Roman"/>
          <w:sz w:val="24"/>
          <w:szCs w:val="24"/>
        </w:rPr>
        <w:t>uwalnia się w ujemnie naładowanych mikrocząstkach, które są fragmentami błon różnych komórek. Zawartość TF oznacza się immunoelektroforetycznie, immunohistochemicznie, jako prokoagu</w:t>
      </w:r>
      <w:r>
        <w:rPr>
          <w:rFonts w:ascii="Times New Roman" w:eastAsia="Calibri" w:hAnsi="Times New Roman" w:cs="Times New Roman"/>
          <w:sz w:val="24"/>
          <w:szCs w:val="24"/>
        </w:rPr>
        <w:t xml:space="preserve">lacyjną aktywność mikrocząstek </w:t>
      </w:r>
      <w:r w:rsidR="00203501">
        <w:rPr>
          <w:rFonts w:ascii="Times New Roman" w:eastAsia="Calibri" w:hAnsi="Times New Roman" w:cs="Times New Roman"/>
          <w:sz w:val="24"/>
          <w:szCs w:val="24"/>
        </w:rPr>
        <w:t>lub metodą  immunocytometrii przepływowej. Wykazano, że zwiększone stężenie TF u chorych na raka trzustki koreluje z czasem przeżycia – średnie przeżycie  zbadane u 117 pacjentów, wynosiło 98,5 dnia przy wysokim stężeniu TF, a 231 dni przy niskim stężeniu (p&lt;0,0001). Stwierdzono także korelację pomiędzy stężeniem TF i dimeru D oraz liczbą leukocytów (</w:t>
      </w:r>
      <w:r w:rsidR="000B4692">
        <w:rPr>
          <w:rFonts w:ascii="Times New Roman" w:eastAsia="Calibri" w:hAnsi="Times New Roman" w:cs="Times New Roman"/>
          <w:sz w:val="24"/>
          <w:szCs w:val="24"/>
        </w:rPr>
        <w:t>26</w:t>
      </w:r>
      <w:r w:rsidR="00203501">
        <w:rPr>
          <w:rFonts w:ascii="Times New Roman" w:eastAsia="Calibri" w:hAnsi="Times New Roman" w:cs="Times New Roman"/>
          <w:sz w:val="24"/>
          <w:szCs w:val="24"/>
        </w:rPr>
        <w:t xml:space="preserve">).  W opublikowanym niedawno badaniu </w:t>
      </w:r>
      <w:r w:rsidR="002035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obejmującym dużą grupę chorych na różne rodzaje nowotworów (trzustki, mózgu, jelita grubego i żołądka) nie wykazano natomiast zależności pomiędzy aktywnością TF zawartego w mikrocząstkach a zachorowalnością na </w:t>
      </w:r>
      <w:r w:rsidR="002A4975">
        <w:rPr>
          <w:rFonts w:ascii="Times New Roman" w:eastAsia="Calibri" w:hAnsi="Times New Roman" w:cs="Times New Roman"/>
          <w:sz w:val="24"/>
          <w:szCs w:val="24"/>
        </w:rPr>
        <w:t>VTE</w:t>
      </w:r>
      <w:r w:rsidR="00203501">
        <w:rPr>
          <w:rFonts w:ascii="Times New Roman" w:eastAsia="Calibri" w:hAnsi="Times New Roman" w:cs="Times New Roman"/>
          <w:sz w:val="24"/>
          <w:szCs w:val="24"/>
        </w:rPr>
        <w:t>. Zwiększona aktywność TF w raku trzustki pozwalała natomiast przewidzieć agresywny przebieg tego nowotworu (</w:t>
      </w:r>
      <w:r w:rsidR="000B4692">
        <w:rPr>
          <w:rFonts w:ascii="Times New Roman" w:eastAsia="Calibri" w:hAnsi="Times New Roman" w:cs="Times New Roman"/>
          <w:sz w:val="24"/>
          <w:szCs w:val="24"/>
        </w:rPr>
        <w:t>27</w:t>
      </w:r>
      <w:r w:rsidR="00203501">
        <w:rPr>
          <w:rFonts w:ascii="Times New Roman" w:eastAsia="Calibri" w:hAnsi="Times New Roman" w:cs="Times New Roman"/>
          <w:sz w:val="24"/>
          <w:szCs w:val="24"/>
        </w:rPr>
        <w:t xml:space="preserve">). Jak dotąd żadna z  metod oznaczania TF nie jest wystandaryzowana, podobnie jak innych potencjalnych biomarkerów zagrożenia zakrzepowego w nowotworach - rozpuszczalnej P-selektyny lub  fragmentu protrombiny F1+2. Konieczne są dalsze badania i ewentualne opracowanie przydatnych w klinice metod ich oznaczania. </w:t>
      </w:r>
    </w:p>
    <w:p w:rsidR="00203501" w:rsidRDefault="00203501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01" w:rsidRPr="00A456A0" w:rsidRDefault="002A4975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Profilaktyka VTE</w:t>
      </w:r>
      <w:r w:rsidR="00203501" w:rsidRPr="00A456A0">
        <w:rPr>
          <w:rFonts w:ascii="Times New Roman" w:hAnsi="Times New Roman" w:cs="Times New Roman"/>
          <w:sz w:val="24"/>
          <w:szCs w:val="24"/>
        </w:rPr>
        <w:t xml:space="preserve"> u chorych na nowotwory złośliwe leczonych w warunkach szpitalnych</w:t>
      </w:r>
    </w:p>
    <w:p w:rsidR="00C06EFC" w:rsidRDefault="00203501" w:rsidP="00203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A0">
        <w:rPr>
          <w:rFonts w:ascii="Times New Roman" w:hAnsi="Times New Roman" w:cs="Times New Roman"/>
          <w:sz w:val="24"/>
          <w:szCs w:val="24"/>
        </w:rPr>
        <w:t>Chorzy na nowotwory stanowili niewielką tylko część uczestników (5-15%) badań oceniających skuteczność i bezpieczeństwo profilaktyki przeciwzakrzepowej za pomocą heparyn drobnocząsteczkowych (</w:t>
      </w:r>
      <w:r w:rsidR="002A4975">
        <w:rPr>
          <w:rFonts w:ascii="Times New Roman" w:hAnsi="Times New Roman" w:cs="Times New Roman"/>
          <w:sz w:val="24"/>
          <w:szCs w:val="24"/>
        </w:rPr>
        <w:t xml:space="preserve">LMWH – </w:t>
      </w:r>
      <w:r w:rsidR="002A4975" w:rsidRPr="00FC4D56">
        <w:rPr>
          <w:rFonts w:ascii="Times New Roman" w:hAnsi="Times New Roman" w:cs="Times New Roman"/>
          <w:i/>
          <w:sz w:val="24"/>
          <w:szCs w:val="24"/>
        </w:rPr>
        <w:t>low-molecular-weight heparin</w:t>
      </w:r>
      <w:r w:rsidR="002A4975">
        <w:rPr>
          <w:rFonts w:ascii="Times New Roman" w:hAnsi="Times New Roman" w:cs="Times New Roman"/>
          <w:sz w:val="24"/>
          <w:szCs w:val="24"/>
        </w:rPr>
        <w:t>)</w:t>
      </w:r>
      <w:r w:rsidRPr="00A456A0">
        <w:rPr>
          <w:rFonts w:ascii="Times New Roman" w:hAnsi="Times New Roman" w:cs="Times New Roman"/>
          <w:sz w:val="24"/>
          <w:szCs w:val="24"/>
        </w:rPr>
        <w:t xml:space="preserve"> (enoksaparyna 40 </w:t>
      </w:r>
      <w:r w:rsidR="002A4975">
        <w:rPr>
          <w:rFonts w:ascii="Times New Roman" w:hAnsi="Times New Roman" w:cs="Times New Roman"/>
          <w:sz w:val="24"/>
          <w:szCs w:val="24"/>
        </w:rPr>
        <w:t>mg, dalteparyna 5 000 j.m. /</w:t>
      </w:r>
      <w:r w:rsidRPr="00A456A0">
        <w:rPr>
          <w:rFonts w:ascii="Times New Roman" w:hAnsi="Times New Roman" w:cs="Times New Roman"/>
          <w:sz w:val="24"/>
          <w:szCs w:val="24"/>
        </w:rPr>
        <w:t>dobę</w:t>
      </w:r>
      <w:r w:rsidR="00A00E4D">
        <w:rPr>
          <w:rFonts w:ascii="Times New Roman" w:hAnsi="Times New Roman" w:cs="Times New Roman"/>
          <w:sz w:val="24"/>
          <w:szCs w:val="24"/>
        </w:rPr>
        <w:t xml:space="preserve"> s.c. albo fonadaparynuks </w:t>
      </w:r>
      <w:r w:rsidR="002A4975">
        <w:rPr>
          <w:rFonts w:ascii="Times New Roman" w:hAnsi="Times New Roman" w:cs="Times New Roman"/>
          <w:sz w:val="24"/>
          <w:szCs w:val="24"/>
        </w:rPr>
        <w:t>2,5 mg/</w:t>
      </w:r>
      <w:r w:rsidRPr="00A456A0">
        <w:rPr>
          <w:rFonts w:ascii="Times New Roman" w:hAnsi="Times New Roman" w:cs="Times New Roman"/>
          <w:sz w:val="24"/>
          <w:szCs w:val="24"/>
        </w:rPr>
        <w:t>dobę</w:t>
      </w:r>
      <w:r w:rsidR="002A4975">
        <w:rPr>
          <w:rFonts w:ascii="Times New Roman" w:hAnsi="Times New Roman" w:cs="Times New Roman"/>
          <w:sz w:val="24"/>
          <w:szCs w:val="24"/>
        </w:rPr>
        <w:t xml:space="preserve"> s.c.</w:t>
      </w:r>
      <w:r w:rsidR="000B4692">
        <w:rPr>
          <w:rFonts w:ascii="Times New Roman" w:hAnsi="Times New Roman" w:cs="Times New Roman"/>
          <w:sz w:val="24"/>
          <w:szCs w:val="24"/>
        </w:rPr>
        <w:t xml:space="preserve">) </w:t>
      </w:r>
      <w:r w:rsidRPr="00A456A0">
        <w:rPr>
          <w:rFonts w:ascii="Times New Roman" w:hAnsi="Times New Roman" w:cs="Times New Roman"/>
          <w:sz w:val="24"/>
          <w:szCs w:val="24"/>
        </w:rPr>
        <w:t>u hospitalizowanych chorych w oddziałach niezabiegowych, a zagrożenie powikłaniami krwotocznymi jest u nich większe. Do badań z zastosowaniem rywaroksabanu, dabigatranu lub apiksabanu włączano również chorych na nowotwory złośliwe, ale ich odsetek wahał się tylko w granicach 4,7 – 6,8% całej badanej populacji. Dlatego też dokładniejsza ocena relacji pomiędzy skutecznością a bezpieczeństwem profilaktyki przeciwzakrzepowej u chorych na nowotwory leczonymi zachowawczo w warunkach szpitalnych wymaga dalszych badań. Z aktualnych wytycznych ACCP</w:t>
      </w:r>
      <w:r w:rsidR="0096522C">
        <w:rPr>
          <w:rFonts w:ascii="Times New Roman" w:hAnsi="Times New Roman" w:cs="Times New Roman"/>
          <w:sz w:val="24"/>
          <w:szCs w:val="24"/>
        </w:rPr>
        <w:t xml:space="preserve"> i ASCO</w:t>
      </w:r>
      <w:r w:rsidRPr="00A456A0">
        <w:rPr>
          <w:rFonts w:ascii="Times New Roman" w:hAnsi="Times New Roman" w:cs="Times New Roman"/>
          <w:sz w:val="24"/>
          <w:szCs w:val="24"/>
        </w:rPr>
        <w:t xml:space="preserve"> w</w:t>
      </w:r>
      <w:r w:rsidR="00A00E4D">
        <w:rPr>
          <w:rFonts w:ascii="Times New Roman" w:hAnsi="Times New Roman" w:cs="Times New Roman"/>
          <w:sz w:val="24"/>
          <w:szCs w:val="24"/>
        </w:rPr>
        <w:t>ynika</w:t>
      </w:r>
      <w:r w:rsidRPr="00A456A0">
        <w:rPr>
          <w:rFonts w:ascii="Times New Roman" w:hAnsi="Times New Roman" w:cs="Times New Roman"/>
          <w:sz w:val="24"/>
          <w:szCs w:val="24"/>
        </w:rPr>
        <w:t>, że u chorych tych należy stosować profilaktykę przeciwzakrzepową metodami farmakologicznymi i/lub mechanicznymi, jak u chorych internistycznych o dużym ryzyku zakrzepowym (</w:t>
      </w:r>
      <w:r w:rsidR="000B4692">
        <w:rPr>
          <w:rFonts w:ascii="Times New Roman" w:hAnsi="Times New Roman" w:cs="Times New Roman"/>
          <w:sz w:val="24"/>
          <w:szCs w:val="24"/>
        </w:rPr>
        <w:t>28, 29</w:t>
      </w:r>
      <w:r w:rsidRPr="00A456A0">
        <w:rPr>
          <w:rFonts w:ascii="Times New Roman" w:hAnsi="Times New Roman" w:cs="Times New Roman"/>
          <w:sz w:val="24"/>
          <w:szCs w:val="24"/>
        </w:rPr>
        <w:t xml:space="preserve">). </w:t>
      </w:r>
      <w:r w:rsidRPr="00A456A0">
        <w:rPr>
          <w:rFonts w:ascii="Times New Roman" w:hAnsi="Times New Roman" w:cs="Times New Roman"/>
          <w:bCs/>
          <w:sz w:val="24"/>
          <w:szCs w:val="24"/>
        </w:rPr>
        <w:t xml:space="preserve">Pacjenci nieobciążeni dużym ryzykiem poważnych powikłań krwotocznych powinni otrzymywać </w:t>
      </w:r>
      <w:r w:rsidR="00A04E4B">
        <w:rPr>
          <w:rFonts w:ascii="Times New Roman" w:hAnsi="Times New Roman" w:cs="Times New Roman"/>
          <w:bCs/>
          <w:sz w:val="24"/>
          <w:szCs w:val="24"/>
        </w:rPr>
        <w:t xml:space="preserve">w profilaktyce przeciwzakrzepowej </w:t>
      </w:r>
      <w:r w:rsidR="00F96657">
        <w:rPr>
          <w:rFonts w:ascii="Times New Roman" w:hAnsi="Times New Roman" w:cs="Times New Roman"/>
          <w:bCs/>
          <w:sz w:val="24"/>
          <w:szCs w:val="24"/>
        </w:rPr>
        <w:t xml:space="preserve">jeden z </w:t>
      </w:r>
      <w:r w:rsidR="00A04E4B">
        <w:rPr>
          <w:rFonts w:ascii="Times New Roman" w:hAnsi="Times New Roman" w:cs="Times New Roman"/>
          <w:bCs/>
          <w:sz w:val="24"/>
          <w:szCs w:val="24"/>
        </w:rPr>
        <w:t>następu</w:t>
      </w:r>
      <w:r w:rsidR="00F96657">
        <w:rPr>
          <w:rFonts w:ascii="Times New Roman" w:hAnsi="Times New Roman" w:cs="Times New Roman"/>
          <w:bCs/>
          <w:sz w:val="24"/>
          <w:szCs w:val="24"/>
        </w:rPr>
        <w:t>jących leków, podawany</w:t>
      </w:r>
      <w:r w:rsidR="00A04E4B">
        <w:rPr>
          <w:rFonts w:ascii="Times New Roman" w:hAnsi="Times New Roman" w:cs="Times New Roman"/>
          <w:bCs/>
          <w:sz w:val="24"/>
          <w:szCs w:val="24"/>
        </w:rPr>
        <w:t xml:space="preserve"> podskórnie:</w:t>
      </w:r>
    </w:p>
    <w:p w:rsidR="00C06EFC" w:rsidRPr="00236D41" w:rsidRDefault="00C06EFC" w:rsidP="00C06E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236D41">
        <w:rPr>
          <w:rFonts w:ascii="Times New Roman" w:eastAsia="FrutigerNextLTW1G-BoldCn" w:hAnsi="Times New Roman"/>
          <w:sz w:val="24"/>
          <w:szCs w:val="24"/>
          <w:lang w:val="pl-PL"/>
        </w:rPr>
        <w:t>dalteparyna 5000 j.</w:t>
      </w:r>
      <w:r>
        <w:rPr>
          <w:rFonts w:ascii="Times New Roman" w:eastAsia="FrutigerNextLTW1G-BoldCn" w:hAnsi="Times New Roman"/>
          <w:sz w:val="24"/>
          <w:szCs w:val="24"/>
          <w:lang w:val="pl-PL"/>
        </w:rPr>
        <w:t xml:space="preserve">m. </w:t>
      </w:r>
      <w:r w:rsidR="00A04E4B">
        <w:rPr>
          <w:rFonts w:ascii="Times New Roman" w:eastAsia="FrutigerNextLTW1G-BoldCn" w:hAnsi="Times New Roman"/>
          <w:sz w:val="24"/>
          <w:szCs w:val="24"/>
          <w:lang w:val="pl-PL"/>
        </w:rPr>
        <w:t xml:space="preserve"> co 24h</w:t>
      </w:r>
      <w:r w:rsidRPr="00236D41">
        <w:rPr>
          <w:rFonts w:ascii="Times New Roman" w:eastAsia="FrutigerNextLTW1G-BoldCn" w:hAnsi="Times New Roman"/>
          <w:sz w:val="24"/>
          <w:szCs w:val="24"/>
          <w:lang w:val="pl-PL"/>
        </w:rPr>
        <w:t xml:space="preserve"> </w:t>
      </w:r>
    </w:p>
    <w:p w:rsidR="00C06EFC" w:rsidRPr="00236D41" w:rsidRDefault="00C06EFC" w:rsidP="00C06E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F755D">
        <w:rPr>
          <w:rFonts w:ascii="Times New Roman" w:eastAsia="FrutigerNextLTW1G-BoldCn" w:hAnsi="Times New Roman"/>
          <w:sz w:val="24"/>
          <w:szCs w:val="24"/>
          <w:lang w:val="pl-PL"/>
        </w:rPr>
        <w:t xml:space="preserve">enoksaparyna 40 mg </w:t>
      </w:r>
      <w:r w:rsidR="00A04E4B">
        <w:rPr>
          <w:rFonts w:ascii="Times New Roman" w:eastAsia="FrutigerNextLTW1G-BoldCn" w:hAnsi="Times New Roman"/>
          <w:sz w:val="24"/>
          <w:szCs w:val="24"/>
          <w:lang w:val="pl-PL"/>
        </w:rPr>
        <w:t xml:space="preserve"> co 24h</w:t>
      </w:r>
      <w:r w:rsidRPr="00AF755D">
        <w:rPr>
          <w:rFonts w:ascii="Times New Roman" w:eastAsia="FrutigerNextLTW1G-BoldCn" w:hAnsi="Times New Roman"/>
          <w:sz w:val="24"/>
          <w:szCs w:val="24"/>
          <w:lang w:val="pl-PL"/>
        </w:rPr>
        <w:t xml:space="preserve"> </w:t>
      </w:r>
    </w:p>
    <w:p w:rsidR="00A04E4B" w:rsidRPr="00A04E4B" w:rsidRDefault="00C06EFC" w:rsidP="00C06E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F755D">
        <w:rPr>
          <w:rFonts w:ascii="Times New Roman" w:eastAsia="FrutigerNextLTW1G-BoldCn" w:hAnsi="Times New Roman"/>
          <w:sz w:val="24"/>
          <w:szCs w:val="24"/>
          <w:lang w:val="pl-PL"/>
        </w:rPr>
        <w:t>nadroparyna 3 800 j.</w:t>
      </w:r>
      <w:r>
        <w:rPr>
          <w:rFonts w:ascii="Times New Roman" w:eastAsia="FrutigerNextLTW1G-BoldCn" w:hAnsi="Times New Roman"/>
          <w:sz w:val="24"/>
          <w:szCs w:val="24"/>
          <w:lang w:val="pl-PL"/>
        </w:rPr>
        <w:t xml:space="preserve">m. </w:t>
      </w:r>
      <w:r w:rsidRPr="00AF755D">
        <w:rPr>
          <w:rFonts w:ascii="Times New Roman" w:eastAsia="FrutigerNextLTW1G-BoldCn" w:hAnsi="Times New Roman"/>
          <w:sz w:val="24"/>
          <w:szCs w:val="24"/>
          <w:lang w:val="pl-PL"/>
        </w:rPr>
        <w:t xml:space="preserve"> </w:t>
      </w:r>
      <w:r w:rsidR="00A04E4B">
        <w:rPr>
          <w:rFonts w:ascii="Times New Roman" w:eastAsia="FrutigerNextLTW1G-BoldCn" w:hAnsi="Times New Roman"/>
          <w:sz w:val="24"/>
          <w:szCs w:val="24"/>
          <w:lang w:val="pl-PL"/>
        </w:rPr>
        <w:t>co 24h</w:t>
      </w:r>
    </w:p>
    <w:p w:rsidR="00A04E4B" w:rsidRPr="00A04E4B" w:rsidRDefault="00A04E4B" w:rsidP="00A04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04E4B">
        <w:rPr>
          <w:rFonts w:ascii="Times New Roman" w:hAnsi="Times New Roman"/>
          <w:bCs/>
          <w:sz w:val="24"/>
          <w:szCs w:val="24"/>
          <w:lang w:val="pl-PL"/>
        </w:rPr>
        <w:t>heparyna niefrakcjonowana</w:t>
      </w:r>
      <w:r w:rsidR="00203501" w:rsidRPr="00A04E4B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5000 j.m.  co 8 h</w:t>
      </w:r>
    </w:p>
    <w:p w:rsidR="00C06EFC" w:rsidRPr="00A04E4B" w:rsidRDefault="00A04E4B" w:rsidP="00A04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fondaparynuks 2,5 mg co 24 h</w:t>
      </w:r>
      <w:r w:rsidR="00203501" w:rsidRPr="00A04E4B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203501" w:rsidRPr="00A456A0" w:rsidRDefault="00203501" w:rsidP="00C06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utigerNextLTW1G-BoldCn" w:hAnsi="Times New Roman" w:cs="Times New Roman"/>
          <w:b/>
          <w:bCs/>
          <w:sz w:val="24"/>
          <w:szCs w:val="24"/>
        </w:rPr>
      </w:pPr>
      <w:r w:rsidRPr="00A456A0">
        <w:rPr>
          <w:rFonts w:ascii="Times New Roman" w:hAnsi="Times New Roman" w:cs="Times New Roman"/>
          <w:bCs/>
          <w:sz w:val="24"/>
          <w:szCs w:val="24"/>
        </w:rPr>
        <w:t>Wskazane jednoczesne stosowanie profilaktyki mechanicznej za pomocą pończoch o stopniowanym ucisku</w:t>
      </w:r>
      <w:r w:rsidR="000B4692">
        <w:rPr>
          <w:rFonts w:ascii="Times New Roman" w:hAnsi="Times New Roman" w:cs="Times New Roman"/>
          <w:bCs/>
          <w:sz w:val="24"/>
          <w:szCs w:val="24"/>
        </w:rPr>
        <w:t>,</w:t>
      </w:r>
      <w:r w:rsidRPr="00A456A0">
        <w:rPr>
          <w:rFonts w:ascii="Times New Roman" w:hAnsi="Times New Roman" w:cs="Times New Roman"/>
          <w:bCs/>
          <w:sz w:val="24"/>
          <w:szCs w:val="24"/>
        </w:rPr>
        <w:t xml:space="preserve"> lub urządzenia do przerywanego ucisku pneumatycznego kończyn dolnych (</w:t>
      </w:r>
      <w:r w:rsidR="002A4975">
        <w:rPr>
          <w:rFonts w:ascii="Times New Roman" w:hAnsi="Times New Roman" w:cs="Times New Roman"/>
          <w:bCs/>
          <w:sz w:val="24"/>
          <w:szCs w:val="24"/>
        </w:rPr>
        <w:t xml:space="preserve">IPC – </w:t>
      </w:r>
      <w:r w:rsidR="002A4975" w:rsidRPr="00FC4D56">
        <w:rPr>
          <w:rFonts w:ascii="Times New Roman" w:hAnsi="Times New Roman" w:cs="Times New Roman"/>
          <w:bCs/>
          <w:i/>
          <w:sz w:val="24"/>
          <w:szCs w:val="24"/>
        </w:rPr>
        <w:t>intermittent pneumatic compression</w:t>
      </w:r>
      <w:r w:rsidRPr="00A456A0">
        <w:rPr>
          <w:rFonts w:ascii="Times New Roman" w:hAnsi="Times New Roman" w:cs="Times New Roman"/>
          <w:bCs/>
          <w:sz w:val="24"/>
          <w:szCs w:val="24"/>
        </w:rPr>
        <w:t>).</w:t>
      </w:r>
      <w:r w:rsidRPr="00A456A0">
        <w:rPr>
          <w:rFonts w:ascii="Times New Roman" w:eastAsia="CentSchbookEU-Normal" w:hAnsi="Times New Roman" w:cs="Times New Roman"/>
          <w:sz w:val="24"/>
          <w:szCs w:val="24"/>
          <w:lang w:eastAsia="pl-PL"/>
        </w:rPr>
        <w:t xml:space="preserve"> Czynniki ryzyka powikłań </w:t>
      </w:r>
      <w:r w:rsidRPr="00A456A0">
        <w:rPr>
          <w:rFonts w:ascii="Times New Roman" w:eastAsia="CentSchbookEU-Normal" w:hAnsi="Times New Roman" w:cs="Times New Roman"/>
          <w:sz w:val="24"/>
          <w:szCs w:val="24"/>
          <w:lang w:eastAsia="pl-PL"/>
        </w:rPr>
        <w:lastRenderedPageBreak/>
        <w:t xml:space="preserve">krwotocznych, związanych ze stosowaniem leków przeciwkrzepliwych to: </w:t>
      </w:r>
      <w:r w:rsidRPr="00A456A0">
        <w:rPr>
          <w:rFonts w:ascii="Times New Roman" w:eastAsia="FrutigerNextLTW1G-BoldCn" w:hAnsi="Times New Roman" w:cs="Times New Roman"/>
          <w:sz w:val="24"/>
          <w:szCs w:val="24"/>
        </w:rPr>
        <w:t>wiek &gt;75 lat, przebyte krwawienie, niewydolność nerek,</w:t>
      </w:r>
      <w:r>
        <w:rPr>
          <w:rFonts w:ascii="Times New Roman" w:eastAsia="FrutigerNextLTW1G-BoldCn" w:hAnsi="Times New Roman" w:cs="Times New Roman"/>
          <w:b/>
          <w:bCs/>
          <w:sz w:val="24"/>
          <w:szCs w:val="24"/>
        </w:rPr>
        <w:t xml:space="preserve"> </w:t>
      </w:r>
      <w:r w:rsidRPr="00A456A0">
        <w:rPr>
          <w:rFonts w:ascii="Times New Roman" w:eastAsia="FrutigerNextLTW1G-BoldCn" w:hAnsi="Times New Roman" w:cs="Times New Roman"/>
          <w:sz w:val="24"/>
          <w:szCs w:val="24"/>
        </w:rPr>
        <w:t>niewydolność wątroby, małopłytkowość, przebyty udar mózgu, cukrzyca, niedokrwistość, leczenie przeciwpłytkowe, zmniejszona sprawność fizyczna, niedawno przebyty zabieg operacyjny, częste upadki, nadużywanie alkoholu. Zwiększenie ryzyka krwawienia związanego z czynnikami ryzyka będzie zależało od: stopnia nasilenia czynnika ryzyka (np.</w:t>
      </w:r>
      <w:r>
        <w:rPr>
          <w:rFonts w:ascii="Times New Roman" w:eastAsia="FrutigerNextLTW1G-BoldCn" w:hAnsi="Times New Roman" w:cs="Times New Roman"/>
          <w:b/>
          <w:bCs/>
          <w:sz w:val="24"/>
          <w:szCs w:val="24"/>
        </w:rPr>
        <w:t xml:space="preserve"> </w:t>
      </w:r>
      <w:r w:rsidRPr="00A456A0">
        <w:rPr>
          <w:rFonts w:ascii="Times New Roman" w:eastAsia="FrutigerNextLTW1G-BoldCn" w:hAnsi="Times New Roman" w:cs="Times New Roman"/>
          <w:sz w:val="24"/>
          <w:szCs w:val="24"/>
        </w:rPr>
        <w:t>umiejscowienie i liczba przerzutów</w:t>
      </w:r>
      <w:r>
        <w:rPr>
          <w:rFonts w:ascii="Times New Roman" w:eastAsia="FrutigerNextLTW1G-BoldCn" w:hAnsi="Times New Roman" w:cs="Times New Roman"/>
          <w:sz w:val="24"/>
          <w:szCs w:val="24"/>
        </w:rPr>
        <w:t xml:space="preserve"> nowotworowych</w:t>
      </w:r>
      <w:r w:rsidRPr="00A456A0">
        <w:rPr>
          <w:rFonts w:ascii="Times New Roman" w:eastAsia="FrutigerNextLTW1G-BoldCn" w:hAnsi="Times New Roman" w:cs="Times New Roman"/>
          <w:sz w:val="24"/>
          <w:szCs w:val="24"/>
        </w:rPr>
        <w:t>, liczba płytek krwi)</w:t>
      </w:r>
      <w:r>
        <w:rPr>
          <w:rFonts w:ascii="Times New Roman" w:eastAsia="FrutigerNextLTW1G-BoldCn" w:hAnsi="Times New Roman" w:cs="Times New Roman"/>
          <w:sz w:val="24"/>
          <w:szCs w:val="24"/>
        </w:rPr>
        <w:t xml:space="preserve">, </w:t>
      </w:r>
      <w:r w:rsidRPr="00A456A0">
        <w:rPr>
          <w:rFonts w:ascii="Times New Roman" w:eastAsia="FrutigerNextLTW1G-BoldCn" w:hAnsi="Times New Roman" w:cs="Times New Roman"/>
          <w:sz w:val="24"/>
          <w:szCs w:val="24"/>
        </w:rPr>
        <w:t>związku czasowego (np. czas od zabiegu operacyjnego lub przebytego</w:t>
      </w:r>
      <w:r>
        <w:rPr>
          <w:rFonts w:ascii="Times New Roman" w:eastAsia="FrutigerNextLTW1G-BoldCn" w:hAnsi="Times New Roman" w:cs="Times New Roman"/>
          <w:b/>
          <w:bCs/>
          <w:sz w:val="24"/>
          <w:szCs w:val="24"/>
        </w:rPr>
        <w:t xml:space="preserve"> </w:t>
      </w:r>
      <w:r w:rsidRPr="00A456A0">
        <w:rPr>
          <w:rFonts w:ascii="Times New Roman" w:eastAsia="FrutigerNextLTW1G-BoldCn" w:hAnsi="Times New Roman" w:cs="Times New Roman"/>
          <w:sz w:val="24"/>
          <w:szCs w:val="24"/>
        </w:rPr>
        <w:t>krwawienia) i skuteczności leczenia poprzedniej przyczyny krwawienia (np. z górnego odcinka przewodu pokarmowego).</w:t>
      </w:r>
      <w:r>
        <w:rPr>
          <w:rFonts w:ascii="Times New Roman" w:eastAsia="FrutigerNextLTW1G-BoldCn" w:hAnsi="Times New Roman" w:cs="Times New Roman"/>
          <w:b/>
          <w:bCs/>
          <w:sz w:val="24"/>
          <w:szCs w:val="24"/>
        </w:rPr>
        <w:t xml:space="preserve"> </w:t>
      </w:r>
      <w:r w:rsidRPr="009B0B00">
        <w:rPr>
          <w:rFonts w:ascii="Times New Roman" w:hAnsi="Times New Roman" w:cs="Times New Roman"/>
          <w:sz w:val="24"/>
          <w:szCs w:val="24"/>
        </w:rPr>
        <w:t xml:space="preserve">U pacjentów obciążonych dużym ryzykiem krwawienia zaleca się </w:t>
      </w:r>
      <w:r>
        <w:rPr>
          <w:rFonts w:ascii="Times New Roman" w:hAnsi="Times New Roman" w:cs="Times New Roman"/>
          <w:sz w:val="24"/>
          <w:szCs w:val="24"/>
        </w:rPr>
        <w:t>profilaktykę metodami mechanicznymi</w:t>
      </w:r>
      <w:r w:rsidRPr="009B0B00">
        <w:rPr>
          <w:rFonts w:ascii="Times New Roman" w:hAnsi="Times New Roman" w:cs="Times New Roman"/>
          <w:sz w:val="24"/>
          <w:szCs w:val="24"/>
        </w:rPr>
        <w:t xml:space="preserve"> przynajmniej początkowo, aż ryzyko krwawienia się zmniejszy. Profilaktykę farmakologiczną należy stosować przez 7–14 dni, a u chorych z utrzymującymi się czynnikami ryzyka zakrzepowego powinno się ją przedłużyć, a także zalecić noszenie prawidłowo dobranych </w:t>
      </w:r>
      <w:r>
        <w:rPr>
          <w:rFonts w:ascii="Times New Roman" w:hAnsi="Times New Roman" w:cs="Times New Roman"/>
          <w:sz w:val="24"/>
          <w:szCs w:val="24"/>
        </w:rPr>
        <w:t>pończoch uciskowych</w:t>
      </w:r>
      <w:r w:rsidRPr="009B0B0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Wg niedawno opublikowanych zaleceń międzynarodowej grupy ekspertów pierwotna profilaktyka przeciwzakrzepowa za pomocą </w:t>
      </w:r>
      <w:r w:rsidR="00A04E4B">
        <w:rPr>
          <w:rFonts w:ascii="Times New Roman" w:hAnsi="Times New Roman" w:cs="Times New Roman"/>
          <w:sz w:val="24"/>
          <w:szCs w:val="24"/>
        </w:rPr>
        <w:t>LMWH</w:t>
      </w:r>
      <w:r>
        <w:rPr>
          <w:rFonts w:ascii="Times New Roman" w:hAnsi="Times New Roman" w:cs="Times New Roman"/>
          <w:sz w:val="24"/>
          <w:szCs w:val="24"/>
        </w:rPr>
        <w:t>, heparyny niefrakcjonowa</w:t>
      </w:r>
      <w:r w:rsidR="00A00E4D">
        <w:rPr>
          <w:rFonts w:ascii="Times New Roman" w:hAnsi="Times New Roman" w:cs="Times New Roman"/>
          <w:sz w:val="24"/>
          <w:szCs w:val="24"/>
        </w:rPr>
        <w:t>nej lub fondaparynuksu jest</w:t>
      </w:r>
      <w:r>
        <w:rPr>
          <w:rFonts w:ascii="Times New Roman" w:hAnsi="Times New Roman" w:cs="Times New Roman"/>
          <w:sz w:val="24"/>
          <w:szCs w:val="24"/>
        </w:rPr>
        <w:t xml:space="preserve"> też wskazana u niektórych chorych na ostrą białaczkę limfoblastyczną leczonych L-asparaginazą (dzieci i dorosłych), w zależności od liczby płytek krwi, aktywności antytrombiny, stężenia fibrynogenu i czynności nerek (</w:t>
      </w:r>
      <w:r w:rsidR="000B469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3501" w:rsidRDefault="00203501" w:rsidP="0020350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p</w:t>
      </w:r>
      <w:r w:rsidRPr="009B0B00">
        <w:rPr>
          <w:rFonts w:ascii="Times New Roman" w:hAnsi="Times New Roman"/>
          <w:bCs/>
          <w:sz w:val="24"/>
          <w:szCs w:val="24"/>
        </w:rPr>
        <w:t>acj</w:t>
      </w:r>
      <w:r>
        <w:rPr>
          <w:rFonts w:ascii="Times New Roman" w:hAnsi="Times New Roman"/>
          <w:bCs/>
          <w:sz w:val="24"/>
          <w:szCs w:val="24"/>
        </w:rPr>
        <w:t>entów</w:t>
      </w:r>
      <w:r w:rsidRPr="009B0B00">
        <w:rPr>
          <w:rFonts w:ascii="Times New Roman" w:hAnsi="Times New Roman"/>
          <w:bCs/>
          <w:sz w:val="24"/>
          <w:szCs w:val="24"/>
        </w:rPr>
        <w:t xml:space="preserve"> poddawan</w:t>
      </w:r>
      <w:r>
        <w:rPr>
          <w:rFonts w:ascii="Times New Roman" w:hAnsi="Times New Roman"/>
          <w:bCs/>
          <w:sz w:val="24"/>
          <w:szCs w:val="24"/>
        </w:rPr>
        <w:t xml:space="preserve">ych zabiegom chirurgicznym w obrębie jamy brzusznej </w:t>
      </w:r>
      <w:r w:rsidRPr="009B0B00">
        <w:rPr>
          <w:rFonts w:ascii="Times New Roman" w:hAnsi="Times New Roman"/>
          <w:bCs/>
          <w:sz w:val="24"/>
          <w:szCs w:val="24"/>
        </w:rPr>
        <w:t>z powodu nowotworu, nieobciąż</w:t>
      </w:r>
      <w:r>
        <w:rPr>
          <w:rFonts w:ascii="Times New Roman" w:hAnsi="Times New Roman"/>
          <w:bCs/>
          <w:sz w:val="24"/>
          <w:szCs w:val="24"/>
        </w:rPr>
        <w:t>onych</w:t>
      </w:r>
      <w:r w:rsidRPr="009B0B00">
        <w:rPr>
          <w:rFonts w:ascii="Times New Roman" w:hAnsi="Times New Roman"/>
          <w:bCs/>
          <w:sz w:val="24"/>
          <w:szCs w:val="24"/>
        </w:rPr>
        <w:t xml:space="preserve"> dużym ryzykiem poważnych powikłań krwotocznych </w:t>
      </w:r>
      <w:r>
        <w:rPr>
          <w:rFonts w:ascii="Times New Roman" w:hAnsi="Times New Roman"/>
          <w:bCs/>
          <w:sz w:val="24"/>
          <w:szCs w:val="24"/>
        </w:rPr>
        <w:t xml:space="preserve">powinno się stosować wg zaleceń ACCP </w:t>
      </w:r>
      <w:r w:rsidRPr="009B0B00">
        <w:rPr>
          <w:rFonts w:ascii="Times New Roman" w:hAnsi="Times New Roman"/>
          <w:bCs/>
          <w:sz w:val="24"/>
          <w:szCs w:val="24"/>
        </w:rPr>
        <w:t>przedłużon</w:t>
      </w:r>
      <w:r>
        <w:rPr>
          <w:rFonts w:ascii="Times New Roman" w:hAnsi="Times New Roman"/>
          <w:bCs/>
          <w:sz w:val="24"/>
          <w:szCs w:val="24"/>
        </w:rPr>
        <w:t xml:space="preserve">ą do 4 tygodni profilaktykę farmakologiczną za pomocą </w:t>
      </w:r>
      <w:r w:rsidR="00F96657">
        <w:rPr>
          <w:rFonts w:ascii="Times New Roman" w:hAnsi="Times New Roman"/>
          <w:bCs/>
          <w:sz w:val="24"/>
          <w:szCs w:val="24"/>
        </w:rPr>
        <w:t>LMWH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B0B00">
        <w:rPr>
          <w:rFonts w:ascii="Times New Roman" w:hAnsi="Times New Roman"/>
          <w:bCs/>
          <w:sz w:val="24"/>
          <w:szCs w:val="24"/>
        </w:rPr>
        <w:t xml:space="preserve">Pacjenci obciążeni dużym ryzykiem poważnych powikłań krwotocznych lub u których przewiduje się, że skutki krwawienia mogą być szczególnie </w:t>
      </w:r>
      <w:r>
        <w:rPr>
          <w:rFonts w:ascii="Times New Roman" w:hAnsi="Times New Roman"/>
          <w:bCs/>
          <w:sz w:val="24"/>
          <w:szCs w:val="24"/>
        </w:rPr>
        <w:t>groźne, wymagają profilaktyki</w:t>
      </w:r>
      <w:r w:rsidRPr="009B0B00">
        <w:rPr>
          <w:rFonts w:ascii="Times New Roman" w:hAnsi="Times New Roman"/>
          <w:bCs/>
          <w:sz w:val="24"/>
          <w:szCs w:val="24"/>
        </w:rPr>
        <w:t xml:space="preserve"> mechaniczn</w:t>
      </w:r>
      <w:r>
        <w:rPr>
          <w:rFonts w:ascii="Times New Roman" w:hAnsi="Times New Roman"/>
          <w:bCs/>
          <w:sz w:val="24"/>
          <w:szCs w:val="24"/>
        </w:rPr>
        <w:t xml:space="preserve">ej, najlepiej </w:t>
      </w:r>
      <w:r w:rsidR="00AE0346">
        <w:rPr>
          <w:rFonts w:ascii="Times New Roman" w:hAnsi="Times New Roman"/>
          <w:bCs/>
          <w:sz w:val="24"/>
          <w:szCs w:val="24"/>
        </w:rPr>
        <w:t>IPC</w:t>
      </w:r>
      <w:r>
        <w:rPr>
          <w:rFonts w:ascii="Times New Roman" w:hAnsi="Times New Roman"/>
          <w:bCs/>
          <w:sz w:val="24"/>
          <w:szCs w:val="24"/>
        </w:rPr>
        <w:t>,</w:t>
      </w:r>
      <w:r w:rsidRPr="009B0B00">
        <w:rPr>
          <w:rFonts w:ascii="Times New Roman" w:hAnsi="Times New Roman"/>
          <w:bCs/>
          <w:sz w:val="24"/>
          <w:szCs w:val="24"/>
        </w:rPr>
        <w:t xml:space="preserve"> aż do zmniejszenia ryzyka krwawienia i rozpoczęcia profilaktyki farmakologicznej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0B4692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r w:rsidRPr="009B0B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Wg zaleceń międzynarodowej grupy ekspertów profilaktyka u chorych z nowotworami powinna się rozpoczynać 12 lub 2 godz. przed zabiegiem, trwać minimum 7 – 10 dni, a u chorych z dużym ryzykiem zakrzepowym i małym ryzykiem krwotocznym po zabiegach wymagających laparotomii ulegać przedłużeniu do 4 tygodni. Profilaktyka przeciwzakrzepowa jest również wskazana w związku z zabiegami przeprowadzanymi metoda laparoskopową (</w:t>
      </w:r>
      <w:r w:rsidR="000B4692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U pacjentów z liczbą płytek krwi &gt;80 000/µl  można stosować pr</w:t>
      </w:r>
      <w:r w:rsidR="00AE0346">
        <w:rPr>
          <w:rFonts w:ascii="Times New Roman" w:hAnsi="Times New Roman" w:cs="Times New Roman"/>
          <w:sz w:val="24"/>
          <w:szCs w:val="24"/>
        </w:rPr>
        <w:t>ofilaktykę farmakologiczną VTE</w:t>
      </w:r>
      <w:r>
        <w:rPr>
          <w:rFonts w:ascii="Times New Roman" w:hAnsi="Times New Roman" w:cs="Times New Roman"/>
          <w:sz w:val="24"/>
          <w:szCs w:val="24"/>
        </w:rPr>
        <w:t xml:space="preserve"> bez ograniczeń. Jeśli jednak liczba płytek &lt;80 000/µl decyzja w tej sprawie wymaga indywidualnej oceny ryzyka zakrzepowego i ryzyka powikłań krwotocznych (</w:t>
      </w:r>
      <w:r w:rsidR="000B469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3501" w:rsidRDefault="00203501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00">
        <w:rPr>
          <w:rFonts w:ascii="Times New Roman" w:hAnsi="Times New Roman" w:cs="Times New Roman"/>
          <w:sz w:val="24"/>
          <w:szCs w:val="24"/>
        </w:rPr>
        <w:lastRenderedPageBreak/>
        <w:t xml:space="preserve">Profilaktyka </w:t>
      </w:r>
      <w:r w:rsidR="00AE0346">
        <w:rPr>
          <w:rFonts w:ascii="Times New Roman" w:hAnsi="Times New Roman" w:cs="Times New Roman"/>
          <w:sz w:val="24"/>
          <w:szCs w:val="24"/>
        </w:rPr>
        <w:t>VTE</w:t>
      </w:r>
      <w:r w:rsidRPr="009B0B00">
        <w:rPr>
          <w:rFonts w:ascii="Times New Roman" w:hAnsi="Times New Roman" w:cs="Times New Roman"/>
          <w:sz w:val="24"/>
          <w:szCs w:val="24"/>
        </w:rPr>
        <w:t xml:space="preserve"> u chorych na nowotwory złośliwe leczonych </w:t>
      </w:r>
      <w:r>
        <w:rPr>
          <w:rFonts w:ascii="Times New Roman" w:hAnsi="Times New Roman" w:cs="Times New Roman"/>
          <w:sz w:val="24"/>
          <w:szCs w:val="24"/>
        </w:rPr>
        <w:t>w warunkach ambulatoryjnych</w:t>
      </w:r>
    </w:p>
    <w:p w:rsidR="00AE0346" w:rsidRDefault="00203501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Leczenie nowotworów złośliwych coraz częściej odbywa się obecnie w warunkach ambulatoryjnych. W związku z tym coraz większy odsetek żylnych powikłań zakrzepowo-zatorowych dotyczy tych właśnie pacjentów. W 2011 r. w </w:t>
      </w:r>
      <w:r w:rsidR="00AE0346">
        <w:rPr>
          <w:rFonts w:ascii="Times New Roman" w:hAnsi="Times New Roman" w:cs="Times New Roman"/>
          <w:sz w:val="24"/>
          <w:szCs w:val="24"/>
        </w:rPr>
        <w:t>USA wśród 17 000 zachorowań na VTE</w:t>
      </w:r>
      <w:r>
        <w:rPr>
          <w:rFonts w:ascii="Times New Roman" w:hAnsi="Times New Roman" w:cs="Times New Roman"/>
          <w:sz w:val="24"/>
          <w:szCs w:val="24"/>
        </w:rPr>
        <w:t xml:space="preserve"> związanych z chorobą nowotworową było 78,3% pacjentów ambulatoryjnych, a </w:t>
      </w:r>
      <w:r w:rsidRPr="00170F1D">
        <w:rPr>
          <w:rFonts w:ascii="Times New Roman" w:hAnsi="Times New Roman" w:cs="Times New Roman"/>
          <w:sz w:val="24"/>
          <w:szCs w:val="24"/>
        </w:rPr>
        <w:t>tyl</w:t>
      </w:r>
      <w:r w:rsidR="000B4692">
        <w:rPr>
          <w:rFonts w:ascii="Times New Roman" w:hAnsi="Times New Roman" w:cs="Times New Roman"/>
          <w:sz w:val="24"/>
          <w:szCs w:val="24"/>
        </w:rPr>
        <w:t>ko 21,7% leczonych szpitalnie (10</w:t>
      </w:r>
      <w:r w:rsidRPr="00170F1D">
        <w:rPr>
          <w:rFonts w:ascii="Times New Roman" w:hAnsi="Times New Roman" w:cs="Times New Roman"/>
          <w:sz w:val="24"/>
          <w:szCs w:val="24"/>
        </w:rPr>
        <w:t>). Niedawno opublikowano zestawienie zbiorcze 9 prób klinicznych obejmujących ponad 3 500 pacjentów poddawanych chemioterapii w warunkach ambulatoryjnych (</w:t>
      </w:r>
      <w:r w:rsidR="000B4692">
        <w:rPr>
          <w:rFonts w:ascii="Times New Roman" w:hAnsi="Times New Roman" w:cs="Times New Roman"/>
          <w:sz w:val="24"/>
          <w:szCs w:val="24"/>
        </w:rPr>
        <w:t>31</w:t>
      </w:r>
      <w:r w:rsidRPr="00170F1D">
        <w:rPr>
          <w:rFonts w:ascii="Times New Roman" w:hAnsi="Times New Roman" w:cs="Times New Roman"/>
          <w:sz w:val="24"/>
          <w:szCs w:val="24"/>
        </w:rPr>
        <w:t xml:space="preserve">). Wykazano, że stosowanie </w:t>
      </w:r>
      <w:r w:rsidR="00AE0346">
        <w:rPr>
          <w:rFonts w:ascii="Times New Roman" w:hAnsi="Times New Roman" w:cs="Times New Roman"/>
          <w:sz w:val="24"/>
          <w:szCs w:val="24"/>
        </w:rPr>
        <w:t>LMWH</w:t>
      </w:r>
      <w:r w:rsidRPr="00170F1D">
        <w:rPr>
          <w:rFonts w:ascii="Times New Roman" w:hAnsi="Times New Roman" w:cs="Times New Roman"/>
          <w:sz w:val="24"/>
          <w:szCs w:val="24"/>
        </w:rPr>
        <w:t xml:space="preserve"> w dawce profilaktycznej przyczynia się do o</w:t>
      </w:r>
      <w:r>
        <w:rPr>
          <w:rFonts w:ascii="Times New Roman" w:hAnsi="Times New Roman" w:cs="Times New Roman"/>
          <w:sz w:val="24"/>
          <w:szCs w:val="24"/>
        </w:rPr>
        <w:t xml:space="preserve">bniżenia częstości objawowej </w:t>
      </w:r>
      <w:r w:rsidR="00AE0346">
        <w:rPr>
          <w:rFonts w:ascii="Times New Roman" w:hAnsi="Times New Roman" w:cs="Times New Roman"/>
          <w:sz w:val="24"/>
          <w:szCs w:val="24"/>
        </w:rPr>
        <w:t>VTE</w:t>
      </w:r>
      <w:r w:rsidRPr="00170F1D">
        <w:rPr>
          <w:rFonts w:ascii="Times New Roman" w:hAnsi="Times New Roman" w:cs="Times New Roman"/>
          <w:sz w:val="24"/>
          <w:szCs w:val="24"/>
        </w:rPr>
        <w:t xml:space="preserve"> (RR 0,62; 95%CI 0,4</w:t>
      </w:r>
      <w:r>
        <w:rPr>
          <w:rFonts w:ascii="Times New Roman" w:hAnsi="Times New Roman" w:cs="Times New Roman"/>
          <w:sz w:val="24"/>
          <w:szCs w:val="24"/>
        </w:rPr>
        <w:t xml:space="preserve">1-0,93), zwiększa jednak, </w:t>
      </w:r>
      <w:r w:rsidRPr="00170F1D">
        <w:rPr>
          <w:rFonts w:ascii="Times New Roman" w:hAnsi="Times New Roman" w:cs="Times New Roman"/>
          <w:sz w:val="24"/>
          <w:szCs w:val="24"/>
        </w:rPr>
        <w:t>nieznamiennie</w:t>
      </w:r>
      <w:r>
        <w:rPr>
          <w:rFonts w:ascii="Times New Roman" w:hAnsi="Times New Roman" w:cs="Times New Roman"/>
          <w:sz w:val="24"/>
          <w:szCs w:val="24"/>
        </w:rPr>
        <w:t xml:space="preserve"> w porównaniu z grupą kontrolną,</w:t>
      </w:r>
      <w:r w:rsidRPr="00170F1D">
        <w:rPr>
          <w:rFonts w:ascii="Times New Roman" w:hAnsi="Times New Roman" w:cs="Times New Roman"/>
          <w:sz w:val="24"/>
          <w:szCs w:val="24"/>
        </w:rPr>
        <w:t xml:space="preserve"> częstość poważnych powikłań krwotocznych. Nie stwierdzono różnic w częstości </w:t>
      </w:r>
      <w:r>
        <w:rPr>
          <w:rFonts w:ascii="Times New Roman" w:hAnsi="Times New Roman" w:cs="Times New Roman"/>
          <w:sz w:val="24"/>
          <w:szCs w:val="24"/>
        </w:rPr>
        <w:t xml:space="preserve">zatorowości płucnej, bezobjawowej </w:t>
      </w:r>
      <w:r w:rsidR="00AE0346">
        <w:rPr>
          <w:rFonts w:ascii="Times New Roman" w:hAnsi="Times New Roman" w:cs="Times New Roman"/>
          <w:sz w:val="24"/>
          <w:szCs w:val="24"/>
        </w:rPr>
        <w:t>VTE</w:t>
      </w:r>
      <w:r w:rsidRPr="00170F1D">
        <w:rPr>
          <w:rFonts w:ascii="Times New Roman" w:hAnsi="Times New Roman" w:cs="Times New Roman"/>
          <w:sz w:val="24"/>
          <w:szCs w:val="24"/>
        </w:rPr>
        <w:t xml:space="preserve">, „małych” krwawień i 1.rocznej śmiertelności. </w:t>
      </w:r>
      <w:r>
        <w:rPr>
          <w:rFonts w:ascii="Times New Roman" w:hAnsi="Times New Roman" w:cs="Times New Roman"/>
          <w:sz w:val="24"/>
          <w:szCs w:val="24"/>
        </w:rPr>
        <w:t xml:space="preserve">Stosowanie doustnych antykoagulantów z </w:t>
      </w:r>
      <w:r w:rsidR="00AE0346">
        <w:rPr>
          <w:rFonts w:ascii="Times New Roman" w:hAnsi="Times New Roman" w:cs="Times New Roman"/>
          <w:sz w:val="24"/>
          <w:szCs w:val="24"/>
        </w:rPr>
        <w:t xml:space="preserve">grupy antagonistów witaminy K </w:t>
      </w:r>
      <w:r>
        <w:rPr>
          <w:rFonts w:ascii="Times New Roman" w:hAnsi="Times New Roman" w:cs="Times New Roman"/>
          <w:sz w:val="24"/>
          <w:szCs w:val="24"/>
        </w:rPr>
        <w:t xml:space="preserve"> nie zmniejszyło częstości </w:t>
      </w:r>
      <w:r w:rsidR="00AE0346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0F1D">
        <w:rPr>
          <w:rFonts w:ascii="Times New Roman" w:hAnsi="Times New Roman" w:cs="Times New Roman"/>
          <w:sz w:val="24"/>
          <w:szCs w:val="24"/>
        </w:rPr>
        <w:t xml:space="preserve">wiązało się </w:t>
      </w: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Pr="00170F1D">
        <w:rPr>
          <w:rFonts w:ascii="Times New Roman" w:hAnsi="Times New Roman" w:cs="Times New Roman"/>
          <w:sz w:val="24"/>
          <w:szCs w:val="24"/>
        </w:rPr>
        <w:t>z ciężkimi powikłaniami krwotocznymi. Zdaniem autorów konieczne są dalsze badania oceniające relację skuteczność-bezpieczeństwo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346">
        <w:rPr>
          <w:rFonts w:ascii="Times New Roman" w:hAnsi="Times New Roman" w:cs="Times New Roman"/>
          <w:sz w:val="24"/>
          <w:szCs w:val="24"/>
        </w:rPr>
        <w:t>LMWH</w:t>
      </w:r>
      <w:r>
        <w:rPr>
          <w:rFonts w:ascii="Times New Roman" w:hAnsi="Times New Roman" w:cs="Times New Roman"/>
          <w:sz w:val="24"/>
          <w:szCs w:val="24"/>
        </w:rPr>
        <w:t xml:space="preserve"> w tej grupie chorych</w:t>
      </w:r>
      <w:r w:rsidRPr="00170F1D">
        <w:rPr>
          <w:rFonts w:ascii="Times New Roman" w:hAnsi="Times New Roman" w:cs="Times New Roman"/>
          <w:sz w:val="24"/>
          <w:szCs w:val="24"/>
        </w:rPr>
        <w:t xml:space="preserve">. Agnelli i wsp. z grupą </w:t>
      </w:r>
      <w:r w:rsidRPr="00170F1D">
        <w:rPr>
          <w:rFonts w:ascii="Times New Roman" w:eastAsia="Times New Roman" w:hAnsi="Times New Roman" w:cs="Times New Roman"/>
          <w:sz w:val="24"/>
          <w:szCs w:val="24"/>
          <w:lang w:eastAsia="pl-PL"/>
        </w:rPr>
        <w:t>SAVE-ONCO zastosowali semuloparynę (pół-syntetyczna ultra-</w:t>
      </w:r>
      <w:r w:rsidR="00AE0346">
        <w:rPr>
          <w:rFonts w:ascii="Times New Roman" w:eastAsia="Times New Roman" w:hAnsi="Times New Roman" w:cs="Times New Roman"/>
          <w:sz w:val="24"/>
          <w:szCs w:val="24"/>
          <w:lang w:eastAsia="pl-PL"/>
        </w:rPr>
        <w:t>LMWH</w:t>
      </w:r>
      <w:r w:rsidRPr="0017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m.cz. 2,000-3,000 Da) w dawce 20 mg 1 x/d s.c. u ponad 1600 pacjentów z guzami litymi poddawanych chemioterapii. Podczas leczenia trwającego średnio 3,5 mies. w grupie semuloparyn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wystąpiło mniej incydentów </w:t>
      </w:r>
      <w:r w:rsidR="00AE0346">
        <w:rPr>
          <w:rFonts w:ascii="Times New Roman" w:eastAsia="Times New Roman" w:hAnsi="Times New Roman" w:cs="Times New Roman"/>
          <w:sz w:val="24"/>
          <w:szCs w:val="24"/>
          <w:lang w:eastAsia="pl-PL"/>
        </w:rPr>
        <w:t>VTE</w:t>
      </w:r>
      <w:r w:rsidRPr="0017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grupą kontrolną (odpowiednio </w:t>
      </w:r>
      <w:r w:rsidRPr="00170F1D">
        <w:rPr>
          <w:rFonts w:ascii="Times New Roman" w:hAnsi="Times New Roman" w:cs="Times New Roman"/>
          <w:sz w:val="24"/>
          <w:szCs w:val="24"/>
        </w:rPr>
        <w:t xml:space="preserve">(1,2% vs. 3,4%; HR, 0,36; </w:t>
      </w:r>
      <w:r w:rsidR="00F21FA0">
        <w:rPr>
          <w:rFonts w:ascii="Times New Roman" w:hAnsi="Times New Roman" w:cs="Times New Roman"/>
          <w:sz w:val="24"/>
          <w:szCs w:val="24"/>
        </w:rPr>
        <w:t>p</w:t>
      </w:r>
      <w:r w:rsidRPr="00170F1D">
        <w:rPr>
          <w:rFonts w:ascii="Times New Roman" w:hAnsi="Times New Roman" w:cs="Times New Roman"/>
          <w:sz w:val="24"/>
          <w:szCs w:val="24"/>
        </w:rPr>
        <w:t>&lt;0,001). Częstość ciężkich powikłań krwotocznych w obu grupach była porównywalna (1,2% vs 1,1%) (</w:t>
      </w:r>
      <w:r w:rsidR="000B4692">
        <w:rPr>
          <w:rFonts w:ascii="Times New Roman" w:hAnsi="Times New Roman" w:cs="Times New Roman"/>
          <w:sz w:val="24"/>
          <w:szCs w:val="24"/>
        </w:rPr>
        <w:t>32</w:t>
      </w:r>
      <w:r w:rsidRPr="00170F1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Semuloparyna nie otrzymała jednak akceptacji FDA i została wycofana z runku przez producenta. </w:t>
      </w:r>
      <w:r w:rsidRPr="00170F1D">
        <w:rPr>
          <w:rFonts w:ascii="Times New Roman" w:hAnsi="Times New Roman" w:cs="Times New Roman"/>
          <w:sz w:val="24"/>
          <w:szCs w:val="24"/>
        </w:rPr>
        <w:t>Zgodnie z ak</w:t>
      </w:r>
      <w:r w:rsidR="0096522C">
        <w:rPr>
          <w:rFonts w:ascii="Times New Roman" w:hAnsi="Times New Roman" w:cs="Times New Roman"/>
          <w:sz w:val="24"/>
          <w:szCs w:val="24"/>
        </w:rPr>
        <w:t xml:space="preserve">tualnymi wytycznymi ACCP </w:t>
      </w:r>
      <w:r w:rsidR="00C71619">
        <w:rPr>
          <w:rFonts w:ascii="Times New Roman" w:hAnsi="Times New Roman" w:cs="Times New Roman"/>
          <w:sz w:val="24"/>
          <w:szCs w:val="24"/>
        </w:rPr>
        <w:t>i ASCO</w:t>
      </w:r>
      <w:r w:rsidRPr="00170F1D">
        <w:rPr>
          <w:rFonts w:ascii="Times New Roman" w:hAnsi="Times New Roman" w:cs="Times New Roman"/>
          <w:sz w:val="24"/>
          <w:szCs w:val="24"/>
        </w:rPr>
        <w:t xml:space="preserve"> chorzy na nowotwory złośliwe leczeni ambulatoryjnie bez dodatkowych czynników ryzyka nie wymagają r</w:t>
      </w:r>
      <w:r w:rsidRPr="00170F1D">
        <w:rPr>
          <w:rFonts w:ascii="Times New Roman" w:hAnsi="Times New Roman" w:cs="Times New Roman"/>
          <w:bCs/>
          <w:sz w:val="24"/>
          <w:szCs w:val="24"/>
        </w:rPr>
        <w:t>utynowej profilaktyki przeciwzakrzepowej</w:t>
      </w:r>
      <w:r w:rsidR="0096522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B4692">
        <w:rPr>
          <w:rFonts w:ascii="Times New Roman" w:hAnsi="Times New Roman" w:cs="Times New Roman"/>
          <w:bCs/>
          <w:sz w:val="24"/>
          <w:szCs w:val="24"/>
        </w:rPr>
        <w:t>28, 29</w:t>
      </w:r>
      <w:r w:rsidR="0096522C">
        <w:rPr>
          <w:rFonts w:ascii="Times New Roman" w:hAnsi="Times New Roman" w:cs="Times New Roman"/>
          <w:bCs/>
          <w:sz w:val="24"/>
          <w:szCs w:val="24"/>
        </w:rPr>
        <w:t>)</w:t>
      </w:r>
      <w:r w:rsidRPr="00170F1D">
        <w:rPr>
          <w:rFonts w:ascii="Times New Roman" w:hAnsi="Times New Roman" w:cs="Times New Roman"/>
          <w:bCs/>
          <w:sz w:val="24"/>
          <w:szCs w:val="24"/>
        </w:rPr>
        <w:t xml:space="preserve">. Uznane czynniki zagrożenia zakrzepowego to: przebyta </w:t>
      </w:r>
      <w:r w:rsidR="00AE0346">
        <w:rPr>
          <w:rFonts w:ascii="Times New Roman" w:hAnsi="Times New Roman" w:cs="Times New Roman"/>
          <w:bCs/>
          <w:sz w:val="24"/>
          <w:szCs w:val="24"/>
        </w:rPr>
        <w:t>VTE</w:t>
      </w:r>
      <w:r w:rsidRPr="00170F1D">
        <w:rPr>
          <w:rFonts w:ascii="Times New Roman" w:hAnsi="Times New Roman" w:cs="Times New Roman"/>
          <w:bCs/>
          <w:sz w:val="24"/>
          <w:szCs w:val="24"/>
        </w:rPr>
        <w:t>, unieruchomienie, leczenie hormonalne (tamoksyfen, toramifen), stosowanie inhibitorów angiogenezy – talidomidu, lenalidomidu, lub bewacyzumabu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W myśl wytycznych ACCP 2012 u leczonych ambulatoryjnie chorych z guzem litym i dodatkowymi czynnikami ryzyka VTE i obciążonych małym ryzykiem krwawienia powinno się stosować </w:t>
      </w:r>
      <w:r w:rsidR="00AE0346">
        <w:rPr>
          <w:rFonts w:ascii="Times New Roman" w:hAnsi="Times New Roman" w:cs="Times New Roman"/>
          <w:bCs/>
          <w:sz w:val="24"/>
          <w:szCs w:val="24"/>
        </w:rPr>
        <w:t>LMWH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 w dawce profilaktycznej lub </w:t>
      </w:r>
      <w:r>
        <w:rPr>
          <w:rFonts w:ascii="Times New Roman" w:hAnsi="Times New Roman" w:cs="Times New Roman"/>
          <w:bCs/>
          <w:sz w:val="24"/>
          <w:szCs w:val="24"/>
        </w:rPr>
        <w:t xml:space="preserve">heparynę niefrakcjonowana </w:t>
      </w:r>
      <w:r w:rsidRPr="00200195">
        <w:rPr>
          <w:rFonts w:ascii="Times New Roman" w:hAnsi="Times New Roman" w:cs="Times New Roman"/>
          <w:bCs/>
          <w:sz w:val="24"/>
          <w:szCs w:val="24"/>
        </w:rPr>
        <w:t xml:space="preserve">w małej dawce. Autorzy wytycznych zwracają jednak uwagę na konieczność przeprowadzenia dalszych randomizowanych badań klinicznych w tej grupie </w:t>
      </w:r>
      <w:r w:rsidRPr="00474424">
        <w:rPr>
          <w:rFonts w:ascii="Times New Roman" w:hAnsi="Times New Roman" w:cs="Times New Roman"/>
          <w:bCs/>
          <w:sz w:val="24"/>
          <w:szCs w:val="24"/>
        </w:rPr>
        <w:t>chorych (</w:t>
      </w:r>
      <w:r w:rsidR="000B4692">
        <w:rPr>
          <w:rFonts w:ascii="Times New Roman" w:hAnsi="Times New Roman" w:cs="Times New Roman"/>
          <w:bCs/>
          <w:sz w:val="24"/>
          <w:szCs w:val="24"/>
        </w:rPr>
        <w:t>28, 29</w:t>
      </w:r>
      <w:r w:rsidRPr="00474424">
        <w:rPr>
          <w:rFonts w:ascii="Times New Roman" w:hAnsi="Times New Roman" w:cs="Times New Roman"/>
          <w:bCs/>
          <w:sz w:val="24"/>
          <w:szCs w:val="24"/>
        </w:rPr>
        <w:t>).</w:t>
      </w:r>
      <w:r w:rsidRPr="00474424">
        <w:rPr>
          <w:rFonts w:ascii="Times New Roman" w:hAnsi="Times New Roman" w:cs="Times New Roman"/>
          <w:sz w:val="24"/>
          <w:szCs w:val="24"/>
        </w:rPr>
        <w:t xml:space="preserve"> Z opublikowanych w 2013 r. zaleceń grupy ekspertów wynika, że stosowanie profilaktycznych dawek </w:t>
      </w:r>
      <w:r w:rsidR="00AE0346">
        <w:rPr>
          <w:rFonts w:ascii="Times New Roman" w:hAnsi="Times New Roman" w:cs="Times New Roman"/>
          <w:sz w:val="24"/>
          <w:szCs w:val="24"/>
        </w:rPr>
        <w:t>LMWH</w:t>
      </w:r>
      <w:r w:rsidRPr="00474424">
        <w:rPr>
          <w:rFonts w:ascii="Times New Roman" w:hAnsi="Times New Roman" w:cs="Times New Roman"/>
          <w:sz w:val="24"/>
          <w:szCs w:val="24"/>
        </w:rPr>
        <w:t xml:space="preserve"> może być wskazane u pacjentów poddawanych </w:t>
      </w:r>
      <w:r w:rsidRPr="00474424">
        <w:rPr>
          <w:rFonts w:ascii="Times New Roman" w:hAnsi="Times New Roman" w:cs="Times New Roman"/>
          <w:sz w:val="24"/>
          <w:szCs w:val="24"/>
        </w:rPr>
        <w:lastRenderedPageBreak/>
        <w:t xml:space="preserve">chemioterapii z powodu raka trzustki lub raka płuc, u których ryzyko powikłań krwotocznych jest małe. Dotychczas przeprowadzone badania wykazały, że profilaktyka małymi dawkami </w:t>
      </w:r>
      <w:r w:rsidR="00AE0346">
        <w:rPr>
          <w:rFonts w:ascii="Times New Roman" w:hAnsi="Times New Roman" w:cs="Times New Roman"/>
          <w:sz w:val="24"/>
          <w:szCs w:val="24"/>
        </w:rPr>
        <w:t>LMWH</w:t>
      </w:r>
      <w:r w:rsidRPr="00474424">
        <w:rPr>
          <w:rFonts w:ascii="Times New Roman" w:hAnsi="Times New Roman" w:cs="Times New Roman"/>
          <w:sz w:val="24"/>
          <w:szCs w:val="24"/>
        </w:rPr>
        <w:t xml:space="preserve"> nie jest skuteczna w raku piersi z przerzutami, a w nowotworach mózgu zwiększa ryzyko krwawień wewnątrzczaszkowych. Profilaktyka </w:t>
      </w:r>
      <w:r w:rsidR="00AE0346">
        <w:rPr>
          <w:rFonts w:ascii="Times New Roman" w:hAnsi="Times New Roman" w:cs="Times New Roman"/>
          <w:sz w:val="24"/>
          <w:szCs w:val="24"/>
        </w:rPr>
        <w:t>VTE</w:t>
      </w:r>
      <w:r w:rsidRPr="00474424">
        <w:rPr>
          <w:rFonts w:ascii="Times New Roman" w:hAnsi="Times New Roman" w:cs="Times New Roman"/>
          <w:sz w:val="24"/>
          <w:szCs w:val="24"/>
        </w:rPr>
        <w:t xml:space="preserve"> jest natomiast zalecana u pacjentów leczonych inhibitorami angiogenezy w skojarzeniu z korty</w:t>
      </w:r>
      <w:r w:rsidR="00AE0346">
        <w:rPr>
          <w:rFonts w:ascii="Times New Roman" w:hAnsi="Times New Roman" w:cs="Times New Roman"/>
          <w:sz w:val="24"/>
          <w:szCs w:val="24"/>
        </w:rPr>
        <w:t>kosteroidami albo chemioterapeutykami (</w:t>
      </w:r>
      <w:r w:rsidR="000B4692">
        <w:rPr>
          <w:rFonts w:ascii="Times New Roman" w:hAnsi="Times New Roman" w:cs="Times New Roman"/>
          <w:sz w:val="24"/>
          <w:szCs w:val="24"/>
        </w:rPr>
        <w:t>30</w:t>
      </w:r>
      <w:r w:rsidR="00AE0346">
        <w:rPr>
          <w:rFonts w:ascii="Times New Roman" w:hAnsi="Times New Roman" w:cs="Times New Roman"/>
          <w:sz w:val="24"/>
          <w:szCs w:val="24"/>
        </w:rPr>
        <w:t>).</w:t>
      </w:r>
    </w:p>
    <w:p w:rsidR="00AE0346" w:rsidRDefault="0092130E" w:rsidP="00AE0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Profilaktyka VTE</w:t>
      </w:r>
      <w:r w:rsidR="00AE0346" w:rsidRPr="00474424">
        <w:rPr>
          <w:rFonts w:ascii="Times New Roman" w:hAnsi="Times New Roman" w:cs="Times New Roman"/>
          <w:sz w:val="24"/>
          <w:szCs w:val="24"/>
        </w:rPr>
        <w:t xml:space="preserve"> u pacjentów</w:t>
      </w:r>
      <w:r w:rsidR="00AE0346">
        <w:rPr>
          <w:rFonts w:ascii="Times New Roman" w:hAnsi="Times New Roman" w:cs="Times New Roman"/>
          <w:sz w:val="24"/>
          <w:szCs w:val="24"/>
        </w:rPr>
        <w:t xml:space="preserve"> ze szpiczakiem plazmocytowym:</w:t>
      </w:r>
    </w:p>
    <w:p w:rsidR="00AE0346" w:rsidRDefault="00AE0346" w:rsidP="00AE0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≤1 czynnik ryzyka zakrzepowego: aspiryna</w:t>
      </w:r>
      <w:r w:rsidRPr="00474424">
        <w:rPr>
          <w:rFonts w:ascii="Times New Roman" w:hAnsi="Times New Roman" w:cs="Times New Roman"/>
          <w:sz w:val="24"/>
          <w:szCs w:val="24"/>
        </w:rPr>
        <w:t xml:space="preserve"> w dawce </w:t>
      </w:r>
      <w:r>
        <w:rPr>
          <w:rFonts w:ascii="Times New Roman" w:hAnsi="Times New Roman" w:cs="Times New Roman"/>
          <w:sz w:val="24"/>
          <w:szCs w:val="24"/>
        </w:rPr>
        <w:t>81- 325</w:t>
      </w:r>
      <w:r w:rsidRPr="00474424">
        <w:rPr>
          <w:rFonts w:ascii="Times New Roman" w:hAnsi="Times New Roman" w:cs="Times New Roman"/>
          <w:sz w:val="24"/>
          <w:szCs w:val="24"/>
        </w:rPr>
        <w:t xml:space="preserve"> mg/d </w:t>
      </w:r>
    </w:p>
    <w:p w:rsidR="00AE0346" w:rsidRDefault="00AE0346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≥2 czynniki ryzyka zakrzepowego oraz l</w:t>
      </w:r>
      <w:r w:rsidRPr="00474424">
        <w:rPr>
          <w:rFonts w:ascii="Times New Roman" w:hAnsi="Times New Roman" w:cs="Times New Roman"/>
          <w:sz w:val="24"/>
          <w:szCs w:val="24"/>
        </w:rPr>
        <w:t>ecz</w:t>
      </w:r>
      <w:r>
        <w:rPr>
          <w:rFonts w:ascii="Times New Roman" w:hAnsi="Times New Roman" w:cs="Times New Roman"/>
          <w:sz w:val="24"/>
          <w:szCs w:val="24"/>
        </w:rPr>
        <w:t>eni</w:t>
      </w:r>
      <w:r w:rsidRPr="0047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talidomidem lub lenalidomidem w </w:t>
      </w:r>
      <w:r w:rsidRPr="00474424">
        <w:rPr>
          <w:rFonts w:ascii="Times New Roman" w:hAnsi="Times New Roman" w:cs="Times New Roman"/>
          <w:sz w:val="24"/>
          <w:szCs w:val="24"/>
        </w:rPr>
        <w:t xml:space="preserve">skojarzeniu z </w:t>
      </w:r>
      <w:r>
        <w:rPr>
          <w:rFonts w:ascii="Times New Roman" w:hAnsi="Times New Roman" w:cs="Times New Roman"/>
          <w:sz w:val="24"/>
          <w:szCs w:val="24"/>
        </w:rPr>
        <w:t xml:space="preserve">deksmetazonem (≥400 mg/miesiąc), </w:t>
      </w:r>
      <w:r w:rsidRPr="00474424">
        <w:rPr>
          <w:rFonts w:ascii="Times New Roman" w:hAnsi="Times New Roman" w:cs="Times New Roman"/>
          <w:sz w:val="24"/>
          <w:szCs w:val="24"/>
        </w:rPr>
        <w:t xml:space="preserve">doksorubicyną, </w:t>
      </w:r>
      <w:r>
        <w:rPr>
          <w:rFonts w:ascii="Times New Roman" w:hAnsi="Times New Roman" w:cs="Times New Roman"/>
          <w:sz w:val="24"/>
          <w:szCs w:val="24"/>
        </w:rPr>
        <w:t xml:space="preserve">lub otrzymujący polichemioterapię: </w:t>
      </w:r>
      <w:r w:rsidR="00FC4D56" w:rsidRPr="00FC4D56">
        <w:rPr>
          <w:rFonts w:ascii="Times New Roman" w:hAnsi="Times New Roman" w:cs="Times New Roman"/>
          <w:sz w:val="24"/>
          <w:szCs w:val="24"/>
        </w:rPr>
        <w:t>LMWH</w:t>
      </w:r>
      <w:r w:rsidRPr="00474424">
        <w:rPr>
          <w:rFonts w:ascii="Times New Roman" w:hAnsi="Times New Roman" w:cs="Times New Roman"/>
          <w:sz w:val="24"/>
          <w:szCs w:val="24"/>
        </w:rPr>
        <w:t xml:space="preserve"> w dawce profilaktycznej</w:t>
      </w:r>
      <w:r>
        <w:rPr>
          <w:rFonts w:ascii="Times New Roman" w:hAnsi="Times New Roman" w:cs="Times New Roman"/>
          <w:sz w:val="24"/>
          <w:szCs w:val="24"/>
        </w:rPr>
        <w:t xml:space="preserve"> albo doustny</w:t>
      </w:r>
      <w:r w:rsidRPr="00474424">
        <w:rPr>
          <w:rFonts w:ascii="Times New Roman" w:hAnsi="Times New Roman" w:cs="Times New Roman"/>
          <w:sz w:val="24"/>
          <w:szCs w:val="24"/>
        </w:rPr>
        <w:t xml:space="preserve"> antykoagulan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74424">
        <w:rPr>
          <w:rFonts w:ascii="Times New Roman" w:hAnsi="Times New Roman" w:cs="Times New Roman"/>
          <w:sz w:val="24"/>
          <w:szCs w:val="24"/>
        </w:rPr>
        <w:t xml:space="preserve"> z grupy </w:t>
      </w:r>
      <w:r>
        <w:rPr>
          <w:rFonts w:ascii="Times New Roman" w:hAnsi="Times New Roman" w:cs="Times New Roman"/>
          <w:sz w:val="24"/>
          <w:szCs w:val="24"/>
        </w:rPr>
        <w:t xml:space="preserve">antagonistów witaminy K </w:t>
      </w:r>
      <w:r w:rsidRPr="00474424">
        <w:rPr>
          <w:rFonts w:ascii="Times New Roman" w:hAnsi="Times New Roman" w:cs="Times New Roman"/>
          <w:sz w:val="24"/>
          <w:szCs w:val="24"/>
        </w:rPr>
        <w:t xml:space="preserve">(warfaryna, acenokumarol) </w:t>
      </w:r>
      <w:r>
        <w:rPr>
          <w:rFonts w:ascii="Times New Roman" w:hAnsi="Times New Roman" w:cs="Times New Roman"/>
          <w:sz w:val="24"/>
          <w:szCs w:val="24"/>
        </w:rPr>
        <w:t>z docelowym</w:t>
      </w:r>
      <w:r w:rsidRPr="00474424">
        <w:rPr>
          <w:rFonts w:ascii="Times New Roman" w:hAnsi="Times New Roman" w:cs="Times New Roman"/>
          <w:sz w:val="24"/>
          <w:szCs w:val="24"/>
        </w:rPr>
        <w:t xml:space="preserve"> INR 2-3. </w:t>
      </w:r>
    </w:p>
    <w:p w:rsidR="00203501" w:rsidRDefault="00203501" w:rsidP="00203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cewnika w żyłach centralnych nie jest wskazaniem do stosowania rutynowo profilaktyki przeciwzakrzepowej (</w:t>
      </w:r>
      <w:r w:rsidR="000B469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4692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>). Wykazano natomiast, że odsetek powikłań zakrzepowych zależy od lokalizacji cewnika. Najmniej powikłań zakrzepowych stwierdzono, jeśli cewnik był założony do prawej żyły szyjnej, a jego odcinek dystalny znajdował się na granicy pomiędzy żyłą główną górną a prawym przedsionkiem (</w:t>
      </w:r>
      <w:r w:rsidR="000B469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3501" w:rsidRDefault="00203501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01" w:rsidRPr="00565C78" w:rsidRDefault="00AE0346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 VTE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 u chorych na nowotwory złośliwe</w:t>
      </w:r>
    </w:p>
    <w:p w:rsidR="00203501" w:rsidRPr="00565C78" w:rsidRDefault="00203501" w:rsidP="00203501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65C78">
        <w:rPr>
          <w:rFonts w:ascii="Times New Roman" w:hAnsi="Times New Roman" w:cs="Times New Roman"/>
          <w:sz w:val="24"/>
          <w:szCs w:val="24"/>
        </w:rPr>
        <w:t xml:space="preserve">Metody początkowego leczenia farmakologicznego </w:t>
      </w:r>
      <w:r w:rsidR="00AE0346">
        <w:rPr>
          <w:rFonts w:ascii="Times New Roman" w:hAnsi="Times New Roman" w:cs="Times New Roman"/>
          <w:sz w:val="24"/>
          <w:szCs w:val="24"/>
        </w:rPr>
        <w:t>DVT</w:t>
      </w:r>
      <w:r w:rsidRPr="00565C78">
        <w:rPr>
          <w:rFonts w:ascii="Times New Roman" w:hAnsi="Times New Roman" w:cs="Times New Roman"/>
          <w:sz w:val="24"/>
          <w:szCs w:val="24"/>
        </w:rPr>
        <w:t xml:space="preserve"> kończyn dolnych i górnych,</w:t>
      </w:r>
      <w:r w:rsidR="00AE0346">
        <w:rPr>
          <w:rFonts w:ascii="Times New Roman" w:hAnsi="Times New Roman" w:cs="Times New Roman"/>
          <w:sz w:val="24"/>
          <w:szCs w:val="24"/>
        </w:rPr>
        <w:t xml:space="preserve"> a także większości przypadków </w:t>
      </w:r>
      <w:r w:rsidRPr="00565C78">
        <w:rPr>
          <w:rFonts w:ascii="Times New Roman" w:hAnsi="Times New Roman" w:cs="Times New Roman"/>
          <w:sz w:val="24"/>
          <w:szCs w:val="24"/>
        </w:rPr>
        <w:t>P</w:t>
      </w:r>
      <w:r w:rsidR="00AE0346">
        <w:rPr>
          <w:rFonts w:ascii="Times New Roman" w:hAnsi="Times New Roman" w:cs="Times New Roman"/>
          <w:sz w:val="24"/>
          <w:szCs w:val="24"/>
        </w:rPr>
        <w:t>E</w:t>
      </w:r>
      <w:r w:rsidRPr="00565C78">
        <w:rPr>
          <w:rFonts w:ascii="Times New Roman" w:hAnsi="Times New Roman" w:cs="Times New Roman"/>
          <w:sz w:val="24"/>
          <w:szCs w:val="24"/>
        </w:rPr>
        <w:t xml:space="preserve"> niewysokiego ryzyka są podobne, zarówno u pacjentów z chorobą nowotworową jak w pozostałej populacji. </w:t>
      </w:r>
      <w:r>
        <w:rPr>
          <w:rFonts w:ascii="Times New Roman" w:hAnsi="Times New Roman" w:cs="Times New Roman"/>
          <w:bCs/>
          <w:sz w:val="24"/>
          <w:szCs w:val="24"/>
        </w:rPr>
        <w:t>U chorych z</w:t>
      </w:r>
      <w:r w:rsidRPr="0056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incydentalną</w:t>
      </w:r>
      <w:r w:rsidRPr="0056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346">
        <w:rPr>
          <w:rFonts w:ascii="Times New Roman" w:hAnsi="Times New Roman" w:cs="Times New Roman"/>
          <w:bCs/>
          <w:sz w:val="24"/>
          <w:szCs w:val="24"/>
        </w:rPr>
        <w:t>DVT</w:t>
      </w:r>
      <w:r w:rsidRPr="0056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kończyn dolnych lub </w:t>
      </w:r>
      <w:r w:rsidRPr="00565C78">
        <w:rPr>
          <w:rFonts w:ascii="Times New Roman" w:hAnsi="Times New Roman" w:cs="Times New Roman"/>
          <w:bCs/>
          <w:sz w:val="24"/>
          <w:szCs w:val="24"/>
        </w:rPr>
        <w:t>P</w:t>
      </w:r>
      <w:r w:rsidR="00AE0346">
        <w:rPr>
          <w:rFonts w:ascii="Times New Roman" w:hAnsi="Times New Roman" w:cs="Times New Roman"/>
          <w:bCs/>
          <w:sz w:val="24"/>
          <w:szCs w:val="24"/>
        </w:rPr>
        <w:t>E</w:t>
      </w:r>
      <w:r w:rsidRPr="00565C78">
        <w:rPr>
          <w:rFonts w:ascii="Times New Roman" w:hAnsi="Times New Roman" w:cs="Times New Roman"/>
          <w:bCs/>
          <w:sz w:val="24"/>
          <w:szCs w:val="24"/>
        </w:rPr>
        <w:t xml:space="preserve">, zaleca się takie samo leczenie jak u podobnych chorych z </w:t>
      </w:r>
      <w:r>
        <w:rPr>
          <w:rFonts w:ascii="Times New Roman" w:hAnsi="Times New Roman" w:cs="Times New Roman"/>
          <w:bCs/>
          <w:sz w:val="24"/>
          <w:szCs w:val="24"/>
        </w:rPr>
        <w:t>pełnoobjawową</w:t>
      </w:r>
      <w:r w:rsidRPr="0056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346">
        <w:rPr>
          <w:rFonts w:ascii="Times New Roman" w:hAnsi="Times New Roman" w:cs="Times New Roman"/>
          <w:bCs/>
          <w:sz w:val="24"/>
          <w:szCs w:val="24"/>
        </w:rPr>
        <w:t>chorobą</w:t>
      </w:r>
      <w:r w:rsidRPr="00565C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Lekami z wyboru w początkowym leczeniu </w:t>
      </w:r>
      <w:r w:rsidR="00AE0346">
        <w:rPr>
          <w:rFonts w:ascii="Times New Roman" w:hAnsi="Times New Roman" w:cs="Times New Roman"/>
          <w:bCs/>
          <w:sz w:val="24"/>
          <w:szCs w:val="24"/>
        </w:rPr>
        <w:t>VTE</w:t>
      </w:r>
      <w:r>
        <w:rPr>
          <w:rFonts w:ascii="Times New Roman" w:hAnsi="Times New Roman" w:cs="Times New Roman"/>
          <w:bCs/>
          <w:sz w:val="24"/>
          <w:szCs w:val="24"/>
        </w:rPr>
        <w:t xml:space="preserve"> u chorych na nowotwory złośliwe są </w:t>
      </w:r>
      <w:r w:rsidR="00AE0346">
        <w:rPr>
          <w:rFonts w:ascii="Times New Roman" w:hAnsi="Times New Roman" w:cs="Times New Roman"/>
          <w:bCs/>
          <w:sz w:val="24"/>
          <w:szCs w:val="24"/>
        </w:rPr>
        <w:t>LMWH</w:t>
      </w:r>
      <w:r>
        <w:rPr>
          <w:rFonts w:ascii="Times New Roman" w:hAnsi="Times New Roman" w:cs="Times New Roman"/>
          <w:bCs/>
          <w:sz w:val="24"/>
          <w:szCs w:val="24"/>
        </w:rPr>
        <w:t xml:space="preserve"> i fondaparynuks. </w:t>
      </w:r>
      <w:r w:rsidRPr="00565C78">
        <w:rPr>
          <w:rFonts w:ascii="Times New Roman" w:hAnsi="Times New Roman" w:cs="Times New Roman"/>
          <w:sz w:val="24"/>
          <w:szCs w:val="24"/>
        </w:rPr>
        <w:t xml:space="preserve">Dawki leków przeciwkrzepliwych stosowane w leczeniu </w:t>
      </w:r>
      <w:r w:rsidR="00AE0346">
        <w:rPr>
          <w:rFonts w:ascii="Times New Roman" w:hAnsi="Times New Roman" w:cs="Times New Roman"/>
          <w:sz w:val="24"/>
          <w:szCs w:val="24"/>
        </w:rPr>
        <w:t>VTE</w:t>
      </w:r>
      <w:r w:rsidRPr="00565C78">
        <w:rPr>
          <w:rFonts w:ascii="Times New Roman" w:hAnsi="Times New Roman" w:cs="Times New Roman"/>
          <w:sz w:val="24"/>
          <w:szCs w:val="24"/>
        </w:rPr>
        <w:t xml:space="preserve"> zestawiono </w:t>
      </w:r>
      <w:r>
        <w:rPr>
          <w:rFonts w:ascii="Times New Roman" w:hAnsi="Times New Roman" w:cs="Times New Roman"/>
          <w:sz w:val="24"/>
          <w:szCs w:val="24"/>
        </w:rPr>
        <w:t>w tab. 3</w:t>
      </w:r>
      <w:r w:rsidRPr="00565C78">
        <w:rPr>
          <w:rFonts w:ascii="Times New Roman" w:hAnsi="Times New Roman" w:cs="Times New Roman"/>
          <w:sz w:val="24"/>
          <w:szCs w:val="24"/>
        </w:rPr>
        <w:t>.</w:t>
      </w:r>
    </w:p>
    <w:p w:rsidR="00203501" w:rsidRPr="00565C78" w:rsidRDefault="00203501" w:rsidP="0020350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2</w:t>
      </w:r>
    </w:p>
    <w:p w:rsidR="00203501" w:rsidRPr="00565C78" w:rsidRDefault="00203501" w:rsidP="0020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78">
        <w:rPr>
          <w:rFonts w:ascii="Times New Roman" w:hAnsi="Times New Roman" w:cs="Times New Roman"/>
          <w:sz w:val="24"/>
          <w:szCs w:val="24"/>
        </w:rPr>
        <w:t>Heparyna niefrakcjonowana w dawce dostosowanej do masy ciała</w:t>
      </w:r>
      <w:r w:rsidRPr="00565C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1FA0">
        <w:rPr>
          <w:rFonts w:ascii="Times New Roman" w:hAnsi="Times New Roman" w:cs="Times New Roman"/>
          <w:sz w:val="24"/>
          <w:szCs w:val="24"/>
        </w:rPr>
        <w:t xml:space="preserve">znajduje zastosowanie </w:t>
      </w:r>
      <w:r w:rsidRPr="00565C78">
        <w:rPr>
          <w:rFonts w:ascii="Times New Roman" w:hAnsi="Times New Roman" w:cs="Times New Roman"/>
          <w:sz w:val="24"/>
          <w:szCs w:val="24"/>
        </w:rPr>
        <w:t>u chorych z ciężką niewydolnością nerek (klirens kreatyniny &lt;30 ml/min), jest też preferowana w niektórych sytuacjach klinicznych (np. zagrożenie powikłaniami krwotocznymi, rozważanie leczenia trombolitycznego)  z uwagi na jej krótki czas działania i możliwość łatwego zniesienia działania przeciwkrzepliwego</w:t>
      </w:r>
    </w:p>
    <w:p w:rsidR="00203501" w:rsidRPr="00F21FA0" w:rsidRDefault="00203501" w:rsidP="00203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A0">
        <w:rPr>
          <w:rFonts w:ascii="Times New Roman" w:hAnsi="Times New Roman" w:cs="Times New Roman"/>
          <w:sz w:val="24"/>
          <w:szCs w:val="24"/>
        </w:rPr>
        <w:lastRenderedPageBreak/>
        <w:t xml:space="preserve">Chorzy na </w:t>
      </w:r>
      <w:r w:rsidR="00280A1A" w:rsidRPr="00F21FA0">
        <w:rPr>
          <w:rFonts w:ascii="Times New Roman" w:hAnsi="Times New Roman" w:cs="Times New Roman"/>
          <w:sz w:val="24"/>
          <w:szCs w:val="24"/>
        </w:rPr>
        <w:t>V</w:t>
      </w:r>
      <w:r w:rsidR="00AE0346" w:rsidRPr="00F21FA0">
        <w:rPr>
          <w:rFonts w:ascii="Times New Roman" w:hAnsi="Times New Roman" w:cs="Times New Roman"/>
          <w:sz w:val="24"/>
          <w:szCs w:val="24"/>
        </w:rPr>
        <w:t>TE</w:t>
      </w:r>
      <w:r w:rsidRPr="00F21FA0">
        <w:rPr>
          <w:rFonts w:ascii="Times New Roman" w:hAnsi="Times New Roman" w:cs="Times New Roman"/>
          <w:sz w:val="24"/>
          <w:szCs w:val="24"/>
        </w:rPr>
        <w:t xml:space="preserve"> w dobrym stanie ogólnym i mało nasilonych objawach </w:t>
      </w:r>
      <w:r w:rsidR="00AE0346" w:rsidRPr="00F21FA0">
        <w:rPr>
          <w:rFonts w:ascii="Times New Roman" w:hAnsi="Times New Roman" w:cs="Times New Roman"/>
          <w:sz w:val="24"/>
          <w:szCs w:val="24"/>
        </w:rPr>
        <w:t xml:space="preserve">klinicznych,  także pacjenci z </w:t>
      </w:r>
      <w:r w:rsidRPr="00F21FA0">
        <w:rPr>
          <w:rFonts w:ascii="Times New Roman" w:hAnsi="Times New Roman" w:cs="Times New Roman"/>
          <w:sz w:val="24"/>
          <w:szCs w:val="24"/>
        </w:rPr>
        <w:t>P</w:t>
      </w:r>
      <w:r w:rsidR="00AE0346" w:rsidRPr="00F21FA0">
        <w:rPr>
          <w:rFonts w:ascii="Times New Roman" w:hAnsi="Times New Roman" w:cs="Times New Roman"/>
          <w:sz w:val="24"/>
          <w:szCs w:val="24"/>
        </w:rPr>
        <w:t>E</w:t>
      </w:r>
      <w:r w:rsidRPr="00F21FA0">
        <w:rPr>
          <w:rFonts w:ascii="Times New Roman" w:hAnsi="Times New Roman" w:cs="Times New Roman"/>
          <w:sz w:val="24"/>
          <w:szCs w:val="24"/>
        </w:rPr>
        <w:t xml:space="preserve"> bez dysfunkcji oraz bez obecności markerów uszkodzenia prawej komory są chorymi o niskim ryzyku. Pacjenci tacy dobrze oddziałują na leczenie przeciwkrzepliwe, </w:t>
      </w:r>
      <w:r w:rsidR="00280A1A" w:rsidRPr="00F21FA0">
        <w:rPr>
          <w:rFonts w:ascii="Times New Roman" w:hAnsi="Times New Roman" w:cs="Times New Roman"/>
          <w:bCs/>
          <w:sz w:val="24"/>
          <w:szCs w:val="24"/>
        </w:rPr>
        <w:t>mogą dość szybko zostać wypisani ze szpitala albo można ich leczyć przeciwkrzepliwie w warunkach ambulatoryjnych</w:t>
      </w:r>
      <w:r w:rsidR="00280A1A" w:rsidRPr="00F21FA0">
        <w:rPr>
          <w:rFonts w:ascii="Times New Roman" w:hAnsi="Times New Roman" w:cs="Times New Roman"/>
          <w:sz w:val="24"/>
          <w:szCs w:val="24"/>
        </w:rPr>
        <w:t xml:space="preserve"> z za</w:t>
      </w:r>
      <w:r w:rsidRPr="00F21FA0">
        <w:rPr>
          <w:rFonts w:ascii="Times New Roman" w:hAnsi="Times New Roman" w:cs="Times New Roman"/>
          <w:sz w:val="24"/>
          <w:szCs w:val="24"/>
        </w:rPr>
        <w:t xml:space="preserve">leceniem dalszego stosowania </w:t>
      </w:r>
      <w:r w:rsidR="00280A1A" w:rsidRPr="00F21FA0">
        <w:rPr>
          <w:rFonts w:ascii="Times New Roman" w:hAnsi="Times New Roman" w:cs="Times New Roman"/>
          <w:sz w:val="24"/>
          <w:szCs w:val="24"/>
        </w:rPr>
        <w:t>LMWH</w:t>
      </w:r>
      <w:r w:rsidRPr="00F21FA0">
        <w:rPr>
          <w:rFonts w:ascii="Times New Roman" w:hAnsi="Times New Roman" w:cs="Times New Roman"/>
          <w:sz w:val="24"/>
          <w:szCs w:val="24"/>
        </w:rPr>
        <w:t xml:space="preserve">. </w:t>
      </w:r>
      <w:r w:rsidR="00280A1A" w:rsidRPr="00F21FA0">
        <w:rPr>
          <w:rFonts w:ascii="Times New Roman" w:hAnsi="Times New Roman" w:cs="Times New Roman"/>
          <w:sz w:val="24"/>
          <w:szCs w:val="24"/>
        </w:rPr>
        <w:t>M</w:t>
      </w:r>
      <w:r w:rsidRPr="00F21FA0">
        <w:rPr>
          <w:rFonts w:ascii="Times New Roman" w:hAnsi="Times New Roman" w:cs="Times New Roman"/>
          <w:sz w:val="24"/>
          <w:szCs w:val="24"/>
        </w:rPr>
        <w:t xml:space="preserve">inimalne warunki to: stabilny stan kliniczny chorego i prawidłowe podstawowe parametry życiowe, małe ryzyko krwawienia, stężenie kreatyniny w surowicy &lt;150 μmol/l lub </w:t>
      </w:r>
      <w:r w:rsidR="0096522C" w:rsidRPr="00F21FA0">
        <w:rPr>
          <w:rFonts w:ascii="Times New Roman" w:hAnsi="Times New Roman" w:cs="Times New Roman"/>
          <w:sz w:val="24"/>
          <w:szCs w:val="24"/>
        </w:rPr>
        <w:t xml:space="preserve">klirens kreatyniny &gt;60 ml/min, </w:t>
      </w:r>
      <w:r w:rsidRPr="00F21FA0">
        <w:rPr>
          <w:rFonts w:ascii="Times New Roman" w:hAnsi="Times New Roman" w:cs="Times New Roman"/>
          <w:sz w:val="24"/>
          <w:szCs w:val="24"/>
        </w:rPr>
        <w:t xml:space="preserve">zapewniony system podawania leków przeciwkrzepliwych i fachowa obserwacja przez dobrze wyszkoloną pielęgniarkę lub lekarza pod kątem powikłań krwotocznych i skuteczności leczenia przeciwkrzepliwego oraz nawrotu </w:t>
      </w:r>
      <w:r w:rsidR="00280A1A" w:rsidRPr="00F21FA0">
        <w:rPr>
          <w:rFonts w:ascii="Times New Roman" w:hAnsi="Times New Roman" w:cs="Times New Roman"/>
          <w:sz w:val="24"/>
          <w:szCs w:val="24"/>
        </w:rPr>
        <w:t>VTE</w:t>
      </w:r>
      <w:r w:rsidRPr="00F21FA0">
        <w:rPr>
          <w:rFonts w:ascii="Times New Roman" w:hAnsi="Times New Roman" w:cs="Times New Roman"/>
          <w:sz w:val="24"/>
          <w:szCs w:val="24"/>
        </w:rPr>
        <w:t xml:space="preserve">. Obecność balotującej skrzepliny w żyle biodrowej jest przeciwwskazaniem do leczenia w warunkach ambulatoryjnych przez pierwsze 2–3 dni, ale nie wymaga unieruchomienia w łóżku. </w:t>
      </w:r>
    </w:p>
    <w:p w:rsidR="00280A1A" w:rsidRPr="00F21FA0" w:rsidRDefault="00203501" w:rsidP="00280A1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F21FA0">
        <w:rPr>
          <w:rFonts w:ascii="Times New Roman" w:hAnsi="Times New Roman" w:cs="Times New Roman"/>
          <w:color w:val="auto"/>
        </w:rPr>
        <w:t>U pacjenta z P</w:t>
      </w:r>
      <w:r w:rsidR="00280A1A" w:rsidRPr="00F21FA0">
        <w:rPr>
          <w:rFonts w:ascii="Times New Roman" w:hAnsi="Times New Roman" w:cs="Times New Roman"/>
          <w:color w:val="auto"/>
        </w:rPr>
        <w:t>E</w:t>
      </w:r>
      <w:r w:rsidRPr="00F21FA0">
        <w:rPr>
          <w:rFonts w:ascii="Times New Roman" w:hAnsi="Times New Roman" w:cs="Times New Roman"/>
          <w:color w:val="auto"/>
        </w:rPr>
        <w:t xml:space="preserve"> wysokiego ryzyka i u wybranych chorych z rozległą proksymalną zakrzepicą żył głębokich należy niezwłocznie zastosować leczenie trombolityczne albo embolektomię, o ile nie ma bezwzględnych przeciwwskazań związanych z ryzykiem powikłań </w:t>
      </w:r>
      <w:r w:rsidR="00280A1A" w:rsidRPr="00F21FA0">
        <w:rPr>
          <w:rFonts w:ascii="Times New Roman" w:hAnsi="Times New Roman" w:cs="Times New Roman"/>
          <w:color w:val="auto"/>
        </w:rPr>
        <w:t xml:space="preserve">krwotocznych. </w:t>
      </w:r>
    </w:p>
    <w:p w:rsidR="00280A1A" w:rsidRPr="00F21FA0" w:rsidRDefault="00280A1A" w:rsidP="00280A1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F21FA0">
        <w:rPr>
          <w:rFonts w:ascii="Times New Roman" w:hAnsi="Times New Roman" w:cs="Times New Roman"/>
          <w:color w:val="auto"/>
        </w:rPr>
        <w:t xml:space="preserve">Wybrani chorzy z </w:t>
      </w:r>
      <w:r w:rsidR="00203501" w:rsidRPr="00F21FA0">
        <w:rPr>
          <w:rFonts w:ascii="Times New Roman" w:hAnsi="Times New Roman" w:cs="Times New Roman"/>
          <w:color w:val="auto"/>
        </w:rPr>
        <w:t>P</w:t>
      </w:r>
      <w:r w:rsidRPr="00F21FA0">
        <w:rPr>
          <w:rFonts w:ascii="Times New Roman" w:hAnsi="Times New Roman" w:cs="Times New Roman"/>
          <w:color w:val="auto"/>
        </w:rPr>
        <w:t>E</w:t>
      </w:r>
      <w:r w:rsidR="00203501" w:rsidRPr="00F21FA0">
        <w:rPr>
          <w:rFonts w:ascii="Times New Roman" w:hAnsi="Times New Roman" w:cs="Times New Roman"/>
          <w:color w:val="auto"/>
        </w:rPr>
        <w:t xml:space="preserve"> niewysokiego ryzyka (bez wstrząsu lub hipotensji), u których ryzyko krwawienia jest małe, kwalifikują się do leczenia trombolitycznego </w:t>
      </w:r>
      <w:r w:rsidRPr="00F21FA0">
        <w:rPr>
          <w:rFonts w:ascii="Times New Roman" w:hAnsi="Times New Roman" w:cs="Times New Roman"/>
          <w:color w:val="auto"/>
        </w:rPr>
        <w:t>zależnie od obrazu klinicznego,  zwłaszcza, jeśli pomimo kilkugodzinnego leczenia heparyną stan chorego się nie poprawia.</w:t>
      </w:r>
    </w:p>
    <w:p w:rsidR="00203501" w:rsidRPr="00565C78" w:rsidRDefault="00280A1A" w:rsidP="00280A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chorych z </w:t>
      </w:r>
      <w:r w:rsidR="00203501" w:rsidRPr="00565C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 otrzymujących leczenie trombolityczne postępowaniem z wyboru jest podawanie leku przez żyłę obwodową, a nie przez cewnik umieszczony w tętnicy płucnej. Poleca się stosowanie s</w:t>
      </w:r>
      <w:r w:rsidR="00203501">
        <w:rPr>
          <w:rFonts w:ascii="Times New Roman" w:hAnsi="Times New Roman" w:cs="Times New Roman"/>
          <w:sz w:val="24"/>
          <w:szCs w:val="24"/>
        </w:rPr>
        <w:t>chematów z szybkim (np. 2 h)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 raczej niż z długotrwałym (np. 24 h) wlewem leku. W leczeniu trombolitycznym ustalono wytyczne stosowania alteplazy</w:t>
      </w:r>
      <w:r w:rsidR="00654411">
        <w:rPr>
          <w:rFonts w:ascii="Times New Roman" w:hAnsi="Times New Roman" w:cs="Times New Roman"/>
          <w:sz w:val="24"/>
          <w:szCs w:val="24"/>
        </w:rPr>
        <w:t xml:space="preserve">, streptokinazy i urokinazy (w 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Polsce niedostępna). </w:t>
      </w:r>
      <w:r w:rsidR="00203501" w:rsidRPr="00565C78">
        <w:rPr>
          <w:rFonts w:ascii="Times New Roman" w:hAnsi="Times New Roman" w:cs="Times New Roman"/>
          <w:bCs/>
          <w:sz w:val="24"/>
          <w:szCs w:val="24"/>
        </w:rPr>
        <w:t>Istnieją dane sugerujące r</w:t>
      </w:r>
      <w:r w:rsidR="00F21FA0">
        <w:rPr>
          <w:rFonts w:ascii="Times New Roman" w:hAnsi="Times New Roman" w:cs="Times New Roman"/>
          <w:bCs/>
          <w:sz w:val="24"/>
          <w:szCs w:val="24"/>
        </w:rPr>
        <w:t>ównież skuteczność w leczeniu PE</w:t>
      </w:r>
      <w:r w:rsidR="00203501" w:rsidRPr="0056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501" w:rsidRPr="00565C78">
        <w:rPr>
          <w:rFonts w:ascii="Times New Roman" w:hAnsi="Times New Roman" w:cs="Times New Roman"/>
          <w:sz w:val="24"/>
          <w:szCs w:val="24"/>
        </w:rPr>
        <w:t>tenekteplazy (TNK-t-PA), desmoteplazy (b-PA) i reteplazy (r-PA).</w:t>
      </w:r>
      <w:r w:rsidR="00F21FA0">
        <w:rPr>
          <w:rFonts w:ascii="Times New Roman" w:hAnsi="Times New Roman" w:cs="Times New Roman"/>
          <w:sz w:val="24"/>
          <w:szCs w:val="24"/>
        </w:rPr>
        <w:t xml:space="preserve"> 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Schematy podawania leków trombolitycznych stosowanych w Polsce </w:t>
      </w:r>
      <w:r w:rsidR="00203501">
        <w:rPr>
          <w:rFonts w:ascii="Times New Roman" w:hAnsi="Times New Roman" w:cs="Times New Roman"/>
          <w:sz w:val="24"/>
          <w:szCs w:val="24"/>
        </w:rPr>
        <w:t>zestawiono w tab. 4</w:t>
      </w:r>
      <w:r w:rsidR="00203501" w:rsidRPr="00565C78">
        <w:rPr>
          <w:rFonts w:ascii="Times New Roman" w:hAnsi="Times New Roman" w:cs="Times New Roman"/>
          <w:sz w:val="24"/>
          <w:szCs w:val="24"/>
        </w:rPr>
        <w:t>.</w:t>
      </w:r>
    </w:p>
    <w:p w:rsidR="00203501" w:rsidRPr="00565C78" w:rsidRDefault="00203501" w:rsidP="002035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3</w:t>
      </w:r>
    </w:p>
    <w:p w:rsidR="00203501" w:rsidRPr="00565C78" w:rsidRDefault="00280A1A" w:rsidP="0020350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wybranych chorych z </w:t>
      </w:r>
      <w:r w:rsidR="00203501" w:rsidRPr="00565C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 i niestabilnością hemodynamiczną, u których nie można zastosować leczenia trombolitycznego z powodu dużego ryzyka krwawienia lub ciężkości </w:t>
      </w:r>
      <w:r w:rsidR="00203501">
        <w:rPr>
          <w:rFonts w:ascii="Times New Roman" w:hAnsi="Times New Roman" w:cs="Times New Roman"/>
          <w:sz w:val="24"/>
          <w:szCs w:val="24"/>
        </w:rPr>
        <w:t>stanu klinicznego nie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pozwalającego czekać na efekt ogólnoustrojowego leczenia trombolitycznego, zastosowanie znajduje mechaniczna fragmentacja lub usunięcie zakrzepu przez cewnik, albo chirurgiczna embolektomia płucna, jeżeli są zapewnione odpowiednie </w:t>
      </w:r>
      <w:r w:rsidR="00203501" w:rsidRPr="00565C78">
        <w:rPr>
          <w:rFonts w:ascii="Times New Roman" w:hAnsi="Times New Roman" w:cs="Times New Roman"/>
          <w:sz w:val="24"/>
          <w:szCs w:val="24"/>
        </w:rPr>
        <w:lastRenderedPageBreak/>
        <w:t>warunki techniczne i doświadczony zespół leczący. Embolektomię płucną można też rozważyć u chorych z P</w:t>
      </w:r>
      <w:r w:rsidR="00FC0479">
        <w:rPr>
          <w:rFonts w:ascii="Times New Roman" w:hAnsi="Times New Roman" w:cs="Times New Roman"/>
          <w:sz w:val="24"/>
          <w:szCs w:val="24"/>
        </w:rPr>
        <w:t>E</w:t>
      </w:r>
      <w:r w:rsidR="00203501" w:rsidRPr="00565C78">
        <w:rPr>
          <w:rFonts w:ascii="Times New Roman" w:hAnsi="Times New Roman" w:cs="Times New Roman"/>
          <w:sz w:val="24"/>
          <w:szCs w:val="24"/>
        </w:rPr>
        <w:t xml:space="preserve"> i ruchomą skrzepliną w jamach prawego serca.</w:t>
      </w:r>
    </w:p>
    <w:p w:rsidR="00203501" w:rsidRPr="00565C78" w:rsidRDefault="00203501" w:rsidP="00203501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C78">
        <w:rPr>
          <w:rFonts w:ascii="Times New Roman" w:hAnsi="Times New Roman" w:cs="Times New Roman"/>
          <w:sz w:val="24"/>
          <w:szCs w:val="24"/>
        </w:rPr>
        <w:t>U chorych z P</w:t>
      </w:r>
      <w:r w:rsidR="00FC0479">
        <w:rPr>
          <w:rFonts w:ascii="Times New Roman" w:hAnsi="Times New Roman" w:cs="Times New Roman"/>
          <w:sz w:val="24"/>
          <w:szCs w:val="24"/>
        </w:rPr>
        <w:t>E</w:t>
      </w:r>
      <w:r w:rsidRPr="00565C78">
        <w:rPr>
          <w:rFonts w:ascii="Times New Roman" w:hAnsi="Times New Roman" w:cs="Times New Roman"/>
          <w:sz w:val="24"/>
          <w:szCs w:val="24"/>
        </w:rPr>
        <w:t xml:space="preserve"> i świeżą zakrzepicą żył głębokich w odcinku proksymalnym, u których stosowanie heparyny albo fondaparynuksu w dawce leczniczej jest niemożliwe lub przeciwwskazane, lub jeśli wystąpi kolejny epizod zakrzepowo-zatorowy pomimo prawidłowej antykoagulacji</w:t>
      </w:r>
      <w:r w:rsidR="00965312">
        <w:rPr>
          <w:rFonts w:ascii="Times New Roman" w:hAnsi="Times New Roman" w:cs="Times New Roman"/>
          <w:sz w:val="24"/>
          <w:szCs w:val="24"/>
        </w:rPr>
        <w:t>, a także u pacjentów z zakrzepowo-zatorowym nadciśnieniem płucnym</w:t>
      </w:r>
      <w:r w:rsidRPr="00565C78">
        <w:rPr>
          <w:rFonts w:ascii="Times New Roman" w:hAnsi="Times New Roman" w:cs="Times New Roman"/>
          <w:sz w:val="24"/>
          <w:szCs w:val="24"/>
        </w:rPr>
        <w:t xml:space="preserve"> – należy rozważyć umieszczenie filtru w żyle głównej dolnej.</w:t>
      </w:r>
    </w:p>
    <w:p w:rsidR="00203501" w:rsidRPr="008F12CD" w:rsidRDefault="00203501" w:rsidP="0020350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2CD">
        <w:rPr>
          <w:rFonts w:ascii="Times New Roman" w:hAnsi="Times New Roman" w:cs="Times New Roman"/>
          <w:bCs/>
          <w:sz w:val="24"/>
          <w:szCs w:val="24"/>
        </w:rPr>
        <w:t xml:space="preserve">Choroba nowotworowa zwiększa ryzyko nawrotu </w:t>
      </w:r>
      <w:r w:rsidR="00FC0479">
        <w:rPr>
          <w:rFonts w:ascii="Times New Roman" w:hAnsi="Times New Roman" w:cs="Times New Roman"/>
          <w:bCs/>
          <w:sz w:val="24"/>
          <w:szCs w:val="24"/>
        </w:rPr>
        <w:t>VTE</w:t>
      </w:r>
      <w:r w:rsidRPr="008F12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F12CD">
        <w:rPr>
          <w:rFonts w:ascii="Times New Roman" w:hAnsi="Times New Roman" w:cs="Times New Roman"/>
          <w:sz w:val="24"/>
          <w:szCs w:val="24"/>
        </w:rPr>
        <w:t xml:space="preserve">Częstość nawrotów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 w:rsidRPr="008F12CD">
        <w:rPr>
          <w:rFonts w:ascii="Times New Roman" w:hAnsi="Times New Roman" w:cs="Times New Roman"/>
          <w:sz w:val="24"/>
          <w:szCs w:val="24"/>
        </w:rPr>
        <w:t xml:space="preserve"> u chor</w:t>
      </w:r>
      <w:r>
        <w:rPr>
          <w:rFonts w:ascii="Times New Roman" w:hAnsi="Times New Roman" w:cs="Times New Roman"/>
          <w:sz w:val="24"/>
          <w:szCs w:val="24"/>
        </w:rPr>
        <w:t xml:space="preserve">ych na nowotwory otrzymujących </w:t>
      </w:r>
      <w:r w:rsidRPr="008F12CD">
        <w:rPr>
          <w:rFonts w:ascii="Times New Roman" w:hAnsi="Times New Roman" w:cs="Times New Roman"/>
          <w:sz w:val="24"/>
          <w:szCs w:val="24"/>
        </w:rPr>
        <w:t>we wtórnej profilaktyce doustne antykoagulanty z</w:t>
      </w:r>
      <w:r>
        <w:rPr>
          <w:rFonts w:ascii="Times New Roman" w:hAnsi="Times New Roman" w:cs="Times New Roman"/>
          <w:sz w:val="24"/>
          <w:szCs w:val="24"/>
        </w:rPr>
        <w:t xml:space="preserve"> grupy </w:t>
      </w:r>
      <w:r w:rsidR="00FC0479">
        <w:rPr>
          <w:rFonts w:ascii="Times New Roman" w:hAnsi="Times New Roman" w:cs="Times New Roman"/>
          <w:sz w:val="24"/>
          <w:szCs w:val="24"/>
        </w:rPr>
        <w:t>antywitamin K</w:t>
      </w:r>
      <w:r>
        <w:rPr>
          <w:rFonts w:ascii="Times New Roman" w:hAnsi="Times New Roman" w:cs="Times New Roman"/>
          <w:sz w:val="24"/>
          <w:szCs w:val="24"/>
        </w:rPr>
        <w:t xml:space="preserve"> wynosi 27,1/100 osobo</w:t>
      </w:r>
      <w:r w:rsidRPr="008F12CD">
        <w:rPr>
          <w:rFonts w:ascii="Times New Roman" w:hAnsi="Times New Roman" w:cs="Times New Roman"/>
          <w:sz w:val="24"/>
          <w:szCs w:val="24"/>
        </w:rPr>
        <w:t xml:space="preserve">-lat i jest znamiennie większa, niż u pacjentów bez choroby nowotworowej - </w:t>
      </w:r>
      <w:r>
        <w:rPr>
          <w:rFonts w:ascii="Times New Roman" w:hAnsi="Times New Roman" w:cs="Times New Roman"/>
          <w:sz w:val="24"/>
          <w:szCs w:val="24"/>
        </w:rPr>
        <w:t>9,0/100 osobo</w:t>
      </w:r>
      <w:r w:rsidRPr="008F12CD">
        <w:rPr>
          <w:rFonts w:ascii="Times New Roman" w:hAnsi="Times New Roman" w:cs="Times New Roman"/>
          <w:sz w:val="24"/>
          <w:szCs w:val="24"/>
        </w:rPr>
        <w:t xml:space="preserve">-lat. Częstość poważnych powikłań krwotocznych jest też większa w tej grupie chorych – </w:t>
      </w:r>
      <w:r>
        <w:rPr>
          <w:rFonts w:ascii="Times New Roman" w:hAnsi="Times New Roman" w:cs="Times New Roman"/>
          <w:sz w:val="24"/>
          <w:szCs w:val="24"/>
        </w:rPr>
        <w:t>odpowiednio 12,4% i 4,9% (</w:t>
      </w:r>
      <w:r w:rsidR="000B4692">
        <w:rPr>
          <w:rFonts w:ascii="Times New Roman" w:hAnsi="Times New Roman" w:cs="Times New Roman"/>
          <w:sz w:val="24"/>
          <w:szCs w:val="24"/>
        </w:rPr>
        <w:t>34</w:t>
      </w:r>
      <w:r w:rsidRPr="008F12CD">
        <w:rPr>
          <w:rFonts w:ascii="Times New Roman" w:hAnsi="Times New Roman" w:cs="Times New Roman"/>
          <w:sz w:val="24"/>
          <w:szCs w:val="24"/>
        </w:rPr>
        <w:t xml:space="preserve">, </w:t>
      </w:r>
      <w:r w:rsidR="000B4692">
        <w:rPr>
          <w:rFonts w:ascii="Times New Roman" w:hAnsi="Times New Roman" w:cs="Times New Roman"/>
          <w:sz w:val="24"/>
          <w:szCs w:val="24"/>
        </w:rPr>
        <w:t>35</w:t>
      </w:r>
      <w:r w:rsidRPr="008F12CD">
        <w:rPr>
          <w:rFonts w:ascii="Times New Roman" w:hAnsi="Times New Roman" w:cs="Times New Roman"/>
          <w:sz w:val="24"/>
          <w:szCs w:val="24"/>
        </w:rPr>
        <w:t>).</w:t>
      </w:r>
      <w:r w:rsidRPr="008F12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501" w:rsidRPr="008F12CD" w:rsidRDefault="00203501" w:rsidP="002035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2CD">
        <w:rPr>
          <w:rFonts w:ascii="Times New Roman" w:hAnsi="Times New Roman" w:cs="Times New Roman"/>
          <w:bCs/>
          <w:sz w:val="24"/>
          <w:szCs w:val="24"/>
        </w:rPr>
        <w:t xml:space="preserve">Dla oceny ryzyka nawrotu </w:t>
      </w:r>
      <w:r w:rsidR="00FC0479">
        <w:rPr>
          <w:rFonts w:ascii="Times New Roman" w:hAnsi="Times New Roman" w:cs="Times New Roman"/>
          <w:bCs/>
          <w:sz w:val="24"/>
          <w:szCs w:val="24"/>
        </w:rPr>
        <w:t>VTE</w:t>
      </w:r>
      <w:r w:rsidRPr="008F12CD">
        <w:rPr>
          <w:rFonts w:ascii="Times New Roman" w:hAnsi="Times New Roman" w:cs="Times New Roman"/>
          <w:bCs/>
          <w:sz w:val="24"/>
          <w:szCs w:val="24"/>
        </w:rPr>
        <w:t xml:space="preserve"> u pacjentów z chorobą nowotworową wprowadzono niedawno następującą skalę punktową</w:t>
      </w:r>
      <w:r>
        <w:rPr>
          <w:rFonts w:ascii="Times New Roman" w:hAnsi="Times New Roman" w:cs="Times New Roman"/>
          <w:bCs/>
          <w:sz w:val="24"/>
          <w:szCs w:val="24"/>
        </w:rPr>
        <w:t xml:space="preserve"> (Tab. 4)</w:t>
      </w:r>
      <w:r w:rsidRPr="008F12CD">
        <w:rPr>
          <w:rFonts w:ascii="Times New Roman" w:hAnsi="Times New Roman" w:cs="Times New Roman"/>
          <w:bCs/>
          <w:sz w:val="24"/>
          <w:szCs w:val="24"/>
        </w:rPr>
        <w:t>:</w:t>
      </w:r>
    </w:p>
    <w:p w:rsidR="00203501" w:rsidRDefault="00203501" w:rsidP="0020350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Tab. 4</w:t>
      </w:r>
    </w:p>
    <w:p w:rsidR="00203501" w:rsidRPr="000E1580" w:rsidRDefault="00203501" w:rsidP="00203501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E1580">
        <w:rPr>
          <w:rFonts w:ascii="Times New Roman" w:hAnsi="Times New Roman" w:cs="Times New Roman"/>
          <w:bCs/>
          <w:sz w:val="24"/>
          <w:szCs w:val="24"/>
        </w:rPr>
        <w:t xml:space="preserve">Retrospektywne badanie kohortowe objęło 353 pacjentów, którzy przebyli </w:t>
      </w:r>
      <w:r w:rsidR="00FC0479">
        <w:rPr>
          <w:rFonts w:ascii="Times New Roman" w:hAnsi="Times New Roman" w:cs="Times New Roman"/>
          <w:bCs/>
          <w:sz w:val="24"/>
          <w:szCs w:val="24"/>
        </w:rPr>
        <w:t>VTE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 w okresie od 2006-2011r. W badanej grupie 83% pacjentów otrzymywało </w:t>
      </w:r>
      <w:r w:rsidR="00FC0479">
        <w:rPr>
          <w:rFonts w:ascii="Times New Roman" w:hAnsi="Times New Roman" w:cs="Times New Roman"/>
          <w:bCs/>
          <w:sz w:val="24"/>
          <w:szCs w:val="24"/>
        </w:rPr>
        <w:t>LMWH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, pozostali-warfarynę. Do nawrotu </w:t>
      </w:r>
      <w:r w:rsidR="00FC0479">
        <w:rPr>
          <w:rFonts w:ascii="Times New Roman" w:hAnsi="Times New Roman" w:cs="Times New Roman"/>
          <w:bCs/>
          <w:sz w:val="24"/>
          <w:szCs w:val="24"/>
        </w:rPr>
        <w:t>VTE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 w ciągu pierwszych 6 miesięcy od ostrego incydentu zakrzepowego doszło u 12,</w:t>
      </w:r>
      <w:r>
        <w:rPr>
          <w:rFonts w:ascii="Times New Roman" w:hAnsi="Times New Roman" w:cs="Times New Roman"/>
          <w:bCs/>
          <w:sz w:val="24"/>
          <w:szCs w:val="24"/>
        </w:rPr>
        <w:t>4% chorych,</w:t>
      </w:r>
      <w:r w:rsidRPr="009C1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przy czym </w:t>
      </w:r>
      <w:r w:rsidRPr="000E1580">
        <w:rPr>
          <w:rFonts w:ascii="Times New Roman" w:hAnsi="Times New Roman" w:cs="Times New Roman"/>
          <w:bCs/>
          <w:sz w:val="24"/>
          <w:szCs w:val="24"/>
        </w:rPr>
        <w:t>nie było istotnej różnicy zależnej od rodzaju stosowanego leku przeciwkrzepliwego (</w:t>
      </w:r>
      <w:r w:rsidR="000B4692">
        <w:rPr>
          <w:rFonts w:ascii="Times New Roman" w:hAnsi="Times New Roman" w:cs="Times New Roman"/>
          <w:bCs/>
          <w:sz w:val="24"/>
          <w:szCs w:val="24"/>
        </w:rPr>
        <w:t>36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). Walidacja proponowanej skali ryzyka nawrotu wypadła korzystnie – nawrót </w:t>
      </w:r>
      <w:r w:rsidR="00FC0479">
        <w:rPr>
          <w:rFonts w:ascii="Times New Roman" w:hAnsi="Times New Roman" w:cs="Times New Roman"/>
          <w:bCs/>
          <w:sz w:val="24"/>
          <w:szCs w:val="24"/>
        </w:rPr>
        <w:t>VTE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 wystąpił u 5,8% pacjentów z grupy małego ryzyka i u 21,4% osób zakwalifikowanych do grupy dużego ryzyka nawrotu. </w:t>
      </w:r>
    </w:p>
    <w:p w:rsidR="00203501" w:rsidRDefault="00203501" w:rsidP="0020350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E77">
        <w:rPr>
          <w:rFonts w:ascii="Times New Roman" w:hAnsi="Times New Roman" w:cs="Times New Roman"/>
          <w:color w:val="333333"/>
          <w:sz w:val="24"/>
          <w:szCs w:val="24"/>
        </w:rPr>
        <w:t xml:space="preserve">Ze względu na dużą częstość nawrotów </w:t>
      </w:r>
      <w:r w:rsidR="00FC0479">
        <w:rPr>
          <w:rFonts w:ascii="Times New Roman" w:hAnsi="Times New Roman" w:cs="Times New Roman"/>
          <w:color w:val="333333"/>
          <w:sz w:val="24"/>
          <w:szCs w:val="24"/>
        </w:rPr>
        <w:t>VTE</w:t>
      </w:r>
      <w:r w:rsidRPr="00926E77">
        <w:rPr>
          <w:rFonts w:ascii="Times New Roman" w:hAnsi="Times New Roman" w:cs="Times New Roman"/>
          <w:color w:val="333333"/>
          <w:sz w:val="24"/>
          <w:szCs w:val="24"/>
        </w:rPr>
        <w:t xml:space="preserve"> u chorych na nowotwory złośliwe powszechnie przyjętym standardem leczenia jest leczenie przewlekł</w:t>
      </w:r>
      <w:r w:rsidR="00FC0479">
        <w:rPr>
          <w:rFonts w:ascii="Times New Roman" w:hAnsi="Times New Roman" w:cs="Times New Roman"/>
          <w:color w:val="333333"/>
          <w:sz w:val="24"/>
          <w:szCs w:val="24"/>
        </w:rPr>
        <w:t>e trwające minimum 6 miesięcy. Stosowanie antagonistów witaminy K</w:t>
      </w:r>
      <w:r w:rsidRPr="00926E77">
        <w:rPr>
          <w:rFonts w:ascii="Times New Roman" w:hAnsi="Times New Roman" w:cs="Times New Roman"/>
          <w:sz w:val="24"/>
          <w:szCs w:val="24"/>
        </w:rPr>
        <w:t xml:space="preserve"> jest mało skuteczne w tej grupie chorych i stwarza dodatkowe trudności ze względu na konieczność wykony</w:t>
      </w:r>
      <w:r w:rsidR="00F0511B">
        <w:rPr>
          <w:rFonts w:ascii="Times New Roman" w:hAnsi="Times New Roman" w:cs="Times New Roman"/>
          <w:sz w:val="24"/>
          <w:szCs w:val="24"/>
        </w:rPr>
        <w:t xml:space="preserve">wania inwazyjnych zabiegów lub </w:t>
      </w:r>
      <w:r w:rsidRPr="00926E77">
        <w:rPr>
          <w:rFonts w:ascii="Times New Roman" w:hAnsi="Times New Roman" w:cs="Times New Roman"/>
          <w:sz w:val="24"/>
          <w:szCs w:val="24"/>
        </w:rPr>
        <w:t>małopłytkowość po chemioterapii, które wymagają modyfikacji leczenia. Zaburzenia w zakresie przewodu pokarmowego i łaknienia oraz interakcje z innymi lekami powodują, że nie jest łatwo utrzymać INR w granicach terapeutycznych. Laboratoryjne monitorowanie</w:t>
      </w:r>
      <w:r w:rsidR="00FC0479">
        <w:rPr>
          <w:rFonts w:ascii="Times New Roman" w:hAnsi="Times New Roman" w:cs="Times New Roman"/>
          <w:sz w:val="24"/>
          <w:szCs w:val="24"/>
        </w:rPr>
        <w:t xml:space="preserve"> leczenia doustnym antykoagulantem</w:t>
      </w:r>
      <w:r w:rsidRPr="00926E77">
        <w:rPr>
          <w:rFonts w:ascii="Times New Roman" w:hAnsi="Times New Roman" w:cs="Times New Roman"/>
          <w:sz w:val="24"/>
          <w:szCs w:val="24"/>
        </w:rPr>
        <w:t xml:space="preserve"> może być ponadto trudne dla chorych po licznych kursach chemioterapii. Dlatego lekami z</w:t>
      </w:r>
      <w:r w:rsidR="00FC0479">
        <w:rPr>
          <w:rFonts w:ascii="Times New Roman" w:hAnsi="Times New Roman" w:cs="Times New Roman"/>
          <w:sz w:val="24"/>
          <w:szCs w:val="24"/>
        </w:rPr>
        <w:t xml:space="preserve"> wyboru w przewlekłym leczeniu VTE</w:t>
      </w:r>
      <w:r w:rsidRPr="00926E77">
        <w:rPr>
          <w:rFonts w:ascii="Times New Roman" w:hAnsi="Times New Roman" w:cs="Times New Roman"/>
          <w:sz w:val="24"/>
          <w:szCs w:val="24"/>
        </w:rPr>
        <w:t xml:space="preserve"> u chorych na nowotwory złośliwe są </w:t>
      </w:r>
      <w:r w:rsidR="00FC0479">
        <w:rPr>
          <w:rFonts w:ascii="Times New Roman" w:hAnsi="Times New Roman" w:cs="Times New Roman"/>
          <w:sz w:val="24"/>
          <w:szCs w:val="24"/>
        </w:rPr>
        <w:t>LMWH</w:t>
      </w:r>
      <w:r w:rsidRPr="00926E77">
        <w:rPr>
          <w:rFonts w:ascii="Times New Roman" w:hAnsi="Times New Roman" w:cs="Times New Roman"/>
          <w:sz w:val="24"/>
          <w:szCs w:val="24"/>
        </w:rPr>
        <w:t xml:space="preserve">. Badanie CLOT wykazało 52% obniżenie ryzyka nawrotu objawowej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 w:rsidRPr="00926E77">
        <w:rPr>
          <w:rFonts w:ascii="Times New Roman" w:hAnsi="Times New Roman" w:cs="Times New Roman"/>
          <w:sz w:val="24"/>
          <w:szCs w:val="24"/>
        </w:rPr>
        <w:t xml:space="preserve"> (z 15% do 7,9%) u 676 chorych na nowotwory złośliwe (p=0,002) </w:t>
      </w:r>
      <w:r w:rsidRPr="00926E77">
        <w:rPr>
          <w:rFonts w:ascii="Times New Roman" w:hAnsi="Times New Roman" w:cs="Times New Roman"/>
          <w:sz w:val="24"/>
          <w:szCs w:val="24"/>
        </w:rPr>
        <w:lastRenderedPageBreak/>
        <w:t xml:space="preserve">leczonych </w:t>
      </w:r>
      <w:r w:rsidR="00FC0479">
        <w:rPr>
          <w:rFonts w:ascii="Times New Roman" w:hAnsi="Times New Roman" w:cs="Times New Roman"/>
          <w:sz w:val="24"/>
          <w:szCs w:val="24"/>
        </w:rPr>
        <w:t>dalteparyną</w:t>
      </w:r>
      <w:r w:rsidRPr="00926E77">
        <w:rPr>
          <w:rFonts w:ascii="Times New Roman" w:hAnsi="Times New Roman" w:cs="Times New Roman"/>
          <w:sz w:val="24"/>
          <w:szCs w:val="24"/>
        </w:rPr>
        <w:t xml:space="preserve"> przez 6 miesięcy (</w:t>
      </w:r>
      <w:r w:rsidR="00DC481D">
        <w:rPr>
          <w:rFonts w:ascii="Times New Roman" w:hAnsi="Times New Roman" w:cs="Times New Roman"/>
          <w:sz w:val="24"/>
          <w:szCs w:val="24"/>
        </w:rPr>
        <w:t>35</w:t>
      </w:r>
      <w:r w:rsidRPr="00926E77">
        <w:rPr>
          <w:rFonts w:ascii="Times New Roman" w:hAnsi="Times New Roman" w:cs="Times New Roman"/>
          <w:sz w:val="24"/>
          <w:szCs w:val="24"/>
        </w:rPr>
        <w:t>). W badaniu tym pacjenci otrzymywali pełną te</w:t>
      </w:r>
      <w:r w:rsidR="00FC4D56">
        <w:rPr>
          <w:rFonts w:ascii="Times New Roman" w:hAnsi="Times New Roman" w:cs="Times New Roman"/>
          <w:sz w:val="24"/>
          <w:szCs w:val="24"/>
        </w:rPr>
        <w:t>rapeutyczną dawkę dalteparyny t</w:t>
      </w:r>
      <w:r w:rsidRPr="00926E77">
        <w:rPr>
          <w:rFonts w:ascii="Times New Roman" w:hAnsi="Times New Roman" w:cs="Times New Roman"/>
          <w:sz w:val="24"/>
          <w:szCs w:val="24"/>
        </w:rPr>
        <w:t xml:space="preserve">zn. 200 j.m./kg/d przez pierwszy miesiąc, a następnie 75 – 80% dawki terapeutycznej przez następne 5 miesięcy. Nie było różnic w częstości powikłań krwotocznych i śmiertelności. W celu zapobiegnięcia 1 nawrotowi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 w:rsidRPr="0092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należało</w:t>
      </w:r>
      <w:r w:rsidRPr="00926E77">
        <w:rPr>
          <w:rFonts w:ascii="Times New Roman" w:hAnsi="Times New Roman" w:cs="Times New Roman"/>
          <w:sz w:val="24"/>
          <w:szCs w:val="24"/>
        </w:rPr>
        <w:t xml:space="preserve"> leczyć dalteparyną 14 chorych. W badaniu Main-LITE chorzy na nowotwory otrzymywali terapeutyczne dawki innej </w:t>
      </w:r>
      <w:r w:rsidR="00FC0479">
        <w:rPr>
          <w:rFonts w:ascii="Times New Roman" w:hAnsi="Times New Roman" w:cs="Times New Roman"/>
          <w:sz w:val="24"/>
          <w:szCs w:val="24"/>
        </w:rPr>
        <w:t>LMWH</w:t>
      </w:r>
      <w:r w:rsidRPr="00926E77">
        <w:rPr>
          <w:rFonts w:ascii="Times New Roman" w:hAnsi="Times New Roman" w:cs="Times New Roman"/>
          <w:sz w:val="24"/>
          <w:szCs w:val="24"/>
        </w:rPr>
        <w:t xml:space="preserve"> – tinzaparyny przez 3 miesiące. W momencie zakończenia podawania leku nie było różnic w ilości nawrotów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 w:rsidRPr="00926E77">
        <w:rPr>
          <w:rFonts w:ascii="Times New Roman" w:hAnsi="Times New Roman" w:cs="Times New Roman"/>
          <w:sz w:val="24"/>
          <w:szCs w:val="24"/>
        </w:rPr>
        <w:t>, mniejsza była natomiast w grupie leczonych tinzaparyną częstość nawrotów oceniana po 12 miesiącach (</w:t>
      </w:r>
      <w:r w:rsidR="00DC481D">
        <w:rPr>
          <w:rFonts w:ascii="Times New Roman" w:hAnsi="Times New Roman" w:cs="Times New Roman"/>
          <w:sz w:val="24"/>
          <w:szCs w:val="24"/>
        </w:rPr>
        <w:t>37</w:t>
      </w:r>
      <w:r w:rsidRPr="00926E77">
        <w:rPr>
          <w:rFonts w:ascii="Times New Roman" w:hAnsi="Times New Roman" w:cs="Times New Roman"/>
          <w:sz w:val="24"/>
          <w:szCs w:val="24"/>
        </w:rPr>
        <w:t xml:space="preserve">). Badanie CATHANOX nie wykazało różnic w częstości nawrotów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 w:rsidRPr="00926E77">
        <w:rPr>
          <w:rFonts w:ascii="Times New Roman" w:hAnsi="Times New Roman" w:cs="Times New Roman"/>
          <w:sz w:val="24"/>
          <w:szCs w:val="24"/>
        </w:rPr>
        <w:t xml:space="preserve"> pomiędzy chorymi na nowotwory leczonymi enoksaparyną w dawce 1,5 mg/kg/d a warfaryną. W grupie enoksaparyny było jednak znamiennie mniej klinicznie istotnych powikłań krwotocznych (odpowiednio 10,5% vs 21,1% p= 0.09) (</w:t>
      </w:r>
      <w:r w:rsidR="00DC481D">
        <w:rPr>
          <w:rFonts w:ascii="Times New Roman" w:hAnsi="Times New Roman" w:cs="Times New Roman"/>
          <w:sz w:val="24"/>
          <w:szCs w:val="24"/>
        </w:rPr>
        <w:t>38</w:t>
      </w:r>
      <w:r w:rsidRPr="00926E77">
        <w:rPr>
          <w:rFonts w:ascii="Times New Roman" w:hAnsi="Times New Roman" w:cs="Times New Roman"/>
          <w:sz w:val="24"/>
          <w:szCs w:val="24"/>
        </w:rPr>
        <w:t>). W innym badaniu udowodniono, że długotrwałe leczenie ambulatoryjne enoksaparyną w dawce 1,0 mg/kg/d lub 1,5 mg/kg/</w:t>
      </w:r>
      <w:r>
        <w:rPr>
          <w:rFonts w:ascii="Times New Roman" w:hAnsi="Times New Roman" w:cs="Times New Roman"/>
          <w:sz w:val="24"/>
          <w:szCs w:val="24"/>
        </w:rPr>
        <w:t xml:space="preserve">d jest </w:t>
      </w:r>
      <w:r w:rsidRPr="00926E77">
        <w:rPr>
          <w:rFonts w:ascii="Times New Roman" w:hAnsi="Times New Roman" w:cs="Times New Roman"/>
          <w:sz w:val="24"/>
          <w:szCs w:val="24"/>
        </w:rPr>
        <w:t>skuteczne i bezpieczne (</w:t>
      </w:r>
      <w:r w:rsidR="00DC481D">
        <w:rPr>
          <w:rFonts w:ascii="Times New Roman" w:hAnsi="Times New Roman" w:cs="Times New Roman"/>
          <w:sz w:val="24"/>
          <w:szCs w:val="24"/>
          <w:lang w:val="de-DE"/>
        </w:rPr>
        <w:t>39</w:t>
      </w:r>
      <w:r w:rsidRPr="00F21FA0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Pr="00F21FA0">
        <w:rPr>
          <w:rFonts w:ascii="Times New Roman" w:hAnsi="Times New Roman" w:cs="Times New Roman"/>
          <w:sz w:val="24"/>
          <w:szCs w:val="24"/>
        </w:rPr>
        <w:t xml:space="preserve"> Z doniesień tych wynika, że chorzy na nowotwory odnoszą korzyść ze stosowania we wtórnej profilaktyce początkowo </w:t>
      </w:r>
      <w:r w:rsidR="00FC0479">
        <w:rPr>
          <w:rFonts w:ascii="Times New Roman" w:hAnsi="Times New Roman" w:cs="Times New Roman"/>
          <w:sz w:val="24"/>
          <w:szCs w:val="24"/>
        </w:rPr>
        <w:t>LMWH</w:t>
      </w:r>
      <w:r w:rsidRPr="00926E77">
        <w:rPr>
          <w:rFonts w:ascii="Times New Roman" w:hAnsi="Times New Roman" w:cs="Times New Roman"/>
          <w:sz w:val="24"/>
          <w:szCs w:val="24"/>
        </w:rPr>
        <w:t xml:space="preserve"> s.c</w:t>
      </w:r>
      <w:r w:rsidRPr="00926E77">
        <w:rPr>
          <w:rFonts w:ascii="Times New Roman" w:hAnsi="Times New Roman" w:cs="Times New Roman"/>
          <w:i/>
          <w:sz w:val="24"/>
          <w:szCs w:val="24"/>
        </w:rPr>
        <w:t>.</w:t>
      </w:r>
      <w:r w:rsidRPr="00926E77">
        <w:rPr>
          <w:rFonts w:ascii="Times New Roman" w:hAnsi="Times New Roman" w:cs="Times New Roman"/>
          <w:sz w:val="24"/>
          <w:szCs w:val="24"/>
        </w:rPr>
        <w:t xml:space="preserve"> przez 3–6 miesięcy (np. dalteparyna </w:t>
      </w:r>
      <w:r w:rsidRPr="00926E77">
        <w:rPr>
          <w:rFonts w:ascii="Times New Roman" w:hAnsi="Times New Roman" w:cs="Times New Roman"/>
          <w:iCs/>
          <w:sz w:val="24"/>
          <w:szCs w:val="24"/>
        </w:rPr>
        <w:t>s.c</w:t>
      </w:r>
      <w:r w:rsidRPr="00926E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6E77">
        <w:rPr>
          <w:rFonts w:ascii="Times New Roman" w:hAnsi="Times New Roman" w:cs="Times New Roman"/>
          <w:sz w:val="24"/>
          <w:szCs w:val="24"/>
        </w:rPr>
        <w:t>200 j.m./kg co 24h przez miesiąc, następnie 150 j.m./kg co 24 h; enoksaparyna s.c</w:t>
      </w:r>
      <w:r w:rsidRPr="00926E77">
        <w:rPr>
          <w:rFonts w:ascii="Times New Roman" w:hAnsi="Times New Roman" w:cs="Times New Roman"/>
          <w:i/>
          <w:sz w:val="24"/>
          <w:szCs w:val="24"/>
        </w:rPr>
        <w:t>.</w:t>
      </w:r>
      <w:r w:rsidRPr="00926E77">
        <w:rPr>
          <w:rFonts w:ascii="Times New Roman" w:hAnsi="Times New Roman" w:cs="Times New Roman"/>
          <w:sz w:val="24"/>
          <w:szCs w:val="24"/>
        </w:rPr>
        <w:t xml:space="preserve"> 1,5 mg/k</w:t>
      </w:r>
      <w:r w:rsidR="00FC0479">
        <w:rPr>
          <w:rFonts w:ascii="Times New Roman" w:hAnsi="Times New Roman" w:cs="Times New Roman"/>
          <w:sz w:val="24"/>
          <w:szCs w:val="24"/>
        </w:rPr>
        <w:t xml:space="preserve">g co 24 h przez 3 – 6 miesięcy). W dalszym okresie można włączyć lek z grupy antagonistów </w:t>
      </w:r>
      <w:r w:rsidRPr="00926E77">
        <w:rPr>
          <w:rFonts w:ascii="Times New Roman" w:hAnsi="Times New Roman" w:cs="Times New Roman"/>
          <w:sz w:val="24"/>
          <w:szCs w:val="24"/>
        </w:rPr>
        <w:t xml:space="preserve">witaminy K  </w:t>
      </w:r>
      <w:r w:rsidR="00FC0479">
        <w:rPr>
          <w:rFonts w:ascii="Times New Roman" w:hAnsi="Times New Roman" w:cs="Times New Roman"/>
          <w:sz w:val="24"/>
          <w:szCs w:val="24"/>
        </w:rPr>
        <w:t>z docelowym INR 2,0 – 3,0</w:t>
      </w:r>
      <w:r w:rsidRPr="00926E77">
        <w:rPr>
          <w:rFonts w:ascii="Times New Roman" w:hAnsi="Times New Roman" w:cs="Times New Roman"/>
          <w:sz w:val="24"/>
          <w:szCs w:val="24"/>
        </w:rPr>
        <w:t xml:space="preserve"> przewlekle lub do wyleczenia nowotworu. </w:t>
      </w:r>
      <w:r>
        <w:rPr>
          <w:rFonts w:ascii="Times New Roman" w:hAnsi="Times New Roman" w:cs="Times New Roman"/>
          <w:sz w:val="24"/>
          <w:szCs w:val="24"/>
        </w:rPr>
        <w:t xml:space="preserve">U pacjentów z liczbą płytek krwi &gt;50 000/µl w leczeniu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  można stosować </w:t>
      </w:r>
      <w:r w:rsidR="00FC0479">
        <w:rPr>
          <w:rFonts w:ascii="Times New Roman" w:hAnsi="Times New Roman" w:cs="Times New Roman"/>
          <w:sz w:val="24"/>
          <w:szCs w:val="24"/>
        </w:rPr>
        <w:t>LMWH</w:t>
      </w:r>
      <w:r>
        <w:rPr>
          <w:rFonts w:ascii="Times New Roman" w:hAnsi="Times New Roman" w:cs="Times New Roman"/>
          <w:sz w:val="24"/>
          <w:szCs w:val="24"/>
        </w:rPr>
        <w:t xml:space="preserve"> w pełnych dawkach. Jeśli jednak liczba płytek &lt;50 000/µl decyzja terapeutyczna wymaga indywidualnej oceny ryzyka zakrzepowego i ryzyka powikłań krwotocznych (</w:t>
      </w:r>
      <w:r w:rsidR="00DC48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). Opisy kazuistyczne wskazują na możliwość zmniejszenia w tej sytuacji dawki heparyn o 50%. Jeśli liczba płytek &lt;25 000/µl, a ryzyko zakrzepowe jest duże, próbuje się kontynuować heparynoterapię w pełnych dawkach z jednoczesnym toczeniem koncentratu płytek krwi w celu utrzymania ich liczby &gt;50 000/µl.</w:t>
      </w:r>
    </w:p>
    <w:p w:rsidR="00203501" w:rsidRPr="00926E77" w:rsidRDefault="00556E30" w:rsidP="0020350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leczeniu </w:t>
      </w:r>
      <w:r w:rsidR="00203501">
        <w:rPr>
          <w:rFonts w:ascii="Times New Roman" w:hAnsi="Times New Roman" w:cs="Times New Roman"/>
          <w:sz w:val="24"/>
          <w:szCs w:val="24"/>
        </w:rPr>
        <w:t xml:space="preserve">nawrotu zakrzepicy żył głębokich proponuje się zwiększenie dawki </w:t>
      </w:r>
      <w:r w:rsidR="00FC0479">
        <w:rPr>
          <w:rFonts w:ascii="Times New Roman" w:hAnsi="Times New Roman" w:cs="Times New Roman"/>
          <w:sz w:val="24"/>
          <w:szCs w:val="24"/>
        </w:rPr>
        <w:t>LMWH</w:t>
      </w:r>
      <w:r w:rsidR="00203501">
        <w:rPr>
          <w:rFonts w:ascii="Times New Roman" w:hAnsi="Times New Roman" w:cs="Times New Roman"/>
          <w:sz w:val="24"/>
          <w:szCs w:val="24"/>
        </w:rPr>
        <w:t xml:space="preserve"> o 20-25%, a przypadku nawrotu zatorowości płucnej można rozważyć ponadto wszczepienie filtru do żyły głównej dolnej (</w:t>
      </w:r>
      <w:r w:rsidR="00DC481D">
        <w:rPr>
          <w:rFonts w:ascii="Times New Roman" w:hAnsi="Times New Roman" w:cs="Times New Roman"/>
          <w:sz w:val="24"/>
          <w:szCs w:val="24"/>
        </w:rPr>
        <w:t>30</w:t>
      </w:r>
      <w:r w:rsidR="00203501">
        <w:rPr>
          <w:rFonts w:ascii="Times New Roman" w:hAnsi="Times New Roman" w:cs="Times New Roman"/>
          <w:sz w:val="24"/>
          <w:szCs w:val="24"/>
        </w:rPr>
        <w:t>).</w:t>
      </w:r>
    </w:p>
    <w:p w:rsidR="00A839AA" w:rsidRDefault="00203501" w:rsidP="00153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E77">
        <w:rPr>
          <w:rFonts w:ascii="Times New Roman" w:hAnsi="Times New Roman" w:cs="Times New Roman"/>
          <w:sz w:val="24"/>
          <w:szCs w:val="24"/>
        </w:rPr>
        <w:t xml:space="preserve">Nowe leki przeciwkrzepliwe: rywaroksaban i apiksaban – bezpośrednie inhibitory czynnika Xa lub eteksylan dabigatranu – bezpośredni inhibitor trombiny, mogą być podawane doustnie, nie wymagają kontroli laboratoryjnej, nie zależą od rodzaju stosowanej diety i wykazują mniej interakcji z innymi lekami.  Ich stosowanie byłoby znacznie łatwiejsze u chorych na nowotwory złośliwe. Leki te nie były jednak dotąd przebadane w tej grupie chorych. Do randomizowanych badań klinicznych leczenia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 w:rsidRPr="00926E77">
        <w:rPr>
          <w:rFonts w:ascii="Times New Roman" w:hAnsi="Times New Roman" w:cs="Times New Roman"/>
          <w:sz w:val="24"/>
          <w:szCs w:val="24"/>
        </w:rPr>
        <w:t xml:space="preserve"> nowymi lekami</w:t>
      </w:r>
      <w:r w:rsidR="0015304E">
        <w:rPr>
          <w:rFonts w:ascii="Times New Roman" w:hAnsi="Times New Roman" w:cs="Times New Roman"/>
          <w:sz w:val="24"/>
          <w:szCs w:val="24"/>
        </w:rPr>
        <w:t xml:space="preserve">, które objęły </w:t>
      </w:r>
      <w:r w:rsidR="0015304E">
        <w:rPr>
          <w:rFonts w:ascii="Times New Roman" w:hAnsi="Times New Roman" w:cs="Times New Roman"/>
          <w:sz w:val="24"/>
          <w:szCs w:val="24"/>
        </w:rPr>
        <w:lastRenderedPageBreak/>
        <w:t>19 060 pacjentów,</w:t>
      </w:r>
      <w:r w:rsidRPr="00926E77">
        <w:rPr>
          <w:rFonts w:ascii="Times New Roman" w:hAnsi="Times New Roman" w:cs="Times New Roman"/>
          <w:sz w:val="24"/>
          <w:szCs w:val="24"/>
        </w:rPr>
        <w:t xml:space="preserve"> włączono tylko </w:t>
      </w:r>
      <w:r w:rsidR="0015304E">
        <w:rPr>
          <w:rFonts w:ascii="Times New Roman" w:hAnsi="Times New Roman" w:cs="Times New Roman"/>
          <w:sz w:val="24"/>
          <w:szCs w:val="24"/>
        </w:rPr>
        <w:t>973</w:t>
      </w:r>
      <w:r w:rsidRPr="00926E77">
        <w:rPr>
          <w:rFonts w:ascii="Times New Roman" w:hAnsi="Times New Roman" w:cs="Times New Roman"/>
          <w:sz w:val="24"/>
          <w:szCs w:val="24"/>
        </w:rPr>
        <w:t xml:space="preserve"> </w:t>
      </w:r>
      <w:r w:rsidR="0015304E">
        <w:rPr>
          <w:rFonts w:ascii="Times New Roman" w:hAnsi="Times New Roman" w:cs="Times New Roman"/>
          <w:sz w:val="24"/>
          <w:szCs w:val="24"/>
        </w:rPr>
        <w:t>(</w:t>
      </w:r>
      <w:r w:rsidRPr="00926E77">
        <w:rPr>
          <w:rFonts w:ascii="Times New Roman" w:hAnsi="Times New Roman" w:cs="Times New Roman"/>
          <w:sz w:val="24"/>
          <w:szCs w:val="24"/>
        </w:rPr>
        <w:t>5</w:t>
      </w:r>
      <w:r w:rsidR="0015304E">
        <w:rPr>
          <w:rFonts w:ascii="Times New Roman" w:hAnsi="Times New Roman" w:cs="Times New Roman"/>
          <w:sz w:val="24"/>
          <w:szCs w:val="24"/>
        </w:rPr>
        <w:t>,1</w:t>
      </w:r>
      <w:r w:rsidRPr="00926E77">
        <w:rPr>
          <w:rFonts w:ascii="Times New Roman" w:hAnsi="Times New Roman" w:cs="Times New Roman"/>
          <w:sz w:val="24"/>
          <w:szCs w:val="24"/>
        </w:rPr>
        <w:t>%</w:t>
      </w:r>
      <w:r w:rsidR="0015304E">
        <w:rPr>
          <w:rFonts w:ascii="Times New Roman" w:hAnsi="Times New Roman" w:cs="Times New Roman"/>
          <w:sz w:val="24"/>
          <w:szCs w:val="24"/>
        </w:rPr>
        <w:t>)</w:t>
      </w:r>
      <w:r w:rsidR="002D146F">
        <w:rPr>
          <w:rFonts w:ascii="Times New Roman" w:hAnsi="Times New Roman" w:cs="Times New Roman"/>
          <w:sz w:val="24"/>
          <w:szCs w:val="24"/>
        </w:rPr>
        <w:t xml:space="preserve"> chorych na nowotwory złośliwe. Nawrót VTE stwierdzono u 4,1% (95% CI 2,6 – 6,0) chorych na nowotwory i u 6,1% (95% CI 4,1 – 8,5) pozostałych pacjentów. Podobny był również odsetek klinicznie istotnych powikłań krwotocznych – odpowiednio 15% i 16% (40</w:t>
      </w:r>
      <w:r w:rsidR="00230203">
        <w:rPr>
          <w:rFonts w:ascii="Times New Roman" w:hAnsi="Times New Roman" w:cs="Times New Roman"/>
          <w:sz w:val="24"/>
          <w:szCs w:val="24"/>
        </w:rPr>
        <w:t xml:space="preserve"> - 43</w:t>
      </w:r>
      <w:r w:rsidR="002D146F">
        <w:rPr>
          <w:rFonts w:ascii="Times New Roman" w:hAnsi="Times New Roman" w:cs="Times New Roman"/>
          <w:sz w:val="24"/>
          <w:szCs w:val="24"/>
        </w:rPr>
        <w:t xml:space="preserve">). </w:t>
      </w:r>
      <w:r w:rsidRPr="00926E77">
        <w:rPr>
          <w:rFonts w:ascii="Times New Roman" w:hAnsi="Times New Roman" w:cs="Times New Roman"/>
          <w:sz w:val="24"/>
          <w:szCs w:val="24"/>
        </w:rPr>
        <w:t xml:space="preserve"> </w:t>
      </w:r>
      <w:r w:rsidR="002D146F">
        <w:rPr>
          <w:rFonts w:ascii="Times New Roman" w:hAnsi="Times New Roman" w:cs="Times New Roman"/>
          <w:sz w:val="24"/>
          <w:szCs w:val="24"/>
        </w:rPr>
        <w:t>W</w:t>
      </w:r>
      <w:r w:rsidRPr="00926E77">
        <w:rPr>
          <w:rFonts w:ascii="Times New Roman" w:hAnsi="Times New Roman" w:cs="Times New Roman"/>
          <w:sz w:val="24"/>
          <w:szCs w:val="24"/>
        </w:rPr>
        <w:t xml:space="preserve"> grupie kontrolnej stosowano warfarynę</w:t>
      </w:r>
      <w:r>
        <w:rPr>
          <w:rFonts w:ascii="Times New Roman" w:hAnsi="Times New Roman" w:cs="Times New Roman"/>
          <w:sz w:val="24"/>
          <w:szCs w:val="24"/>
        </w:rPr>
        <w:t xml:space="preserve">, co jest </w:t>
      </w:r>
      <w:r w:rsidRPr="000E1580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iezgodne z wynika</w:t>
      </w:r>
      <w:r w:rsidR="00230203">
        <w:rPr>
          <w:rFonts w:ascii="Times New Roman" w:hAnsi="Times New Roman" w:cs="Times New Roman"/>
          <w:bCs/>
          <w:sz w:val="24"/>
          <w:szCs w:val="24"/>
        </w:rPr>
        <w:t>mi badań</w:t>
      </w:r>
      <w:r w:rsidRPr="000E1580">
        <w:rPr>
          <w:rFonts w:ascii="Times New Roman" w:hAnsi="Times New Roman" w:cs="Times New Roman"/>
          <w:bCs/>
          <w:sz w:val="24"/>
          <w:szCs w:val="24"/>
        </w:rPr>
        <w:t>, które wykazał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 znamiennie mniejszy odsetek nawrotów </w:t>
      </w:r>
      <w:r w:rsidR="00FC0479">
        <w:rPr>
          <w:rFonts w:ascii="Times New Roman" w:hAnsi="Times New Roman" w:cs="Times New Roman"/>
          <w:bCs/>
          <w:sz w:val="24"/>
          <w:szCs w:val="24"/>
        </w:rPr>
        <w:t>VTE</w:t>
      </w:r>
      <w:r w:rsidRPr="000E1580">
        <w:rPr>
          <w:rFonts w:ascii="Times New Roman" w:hAnsi="Times New Roman" w:cs="Times New Roman"/>
          <w:bCs/>
          <w:sz w:val="24"/>
          <w:szCs w:val="24"/>
        </w:rPr>
        <w:t xml:space="preserve"> u pacjentów z chorobą nowotworową leczonych przez pierwszych 6 miesięcy </w:t>
      </w:r>
      <w:r w:rsidR="00FC0479">
        <w:rPr>
          <w:rFonts w:ascii="Times New Roman" w:hAnsi="Times New Roman" w:cs="Times New Roman"/>
          <w:bCs/>
          <w:sz w:val="24"/>
          <w:szCs w:val="24"/>
        </w:rPr>
        <w:t>LMWH</w:t>
      </w:r>
      <w:r w:rsidRPr="000E1580">
        <w:rPr>
          <w:rFonts w:ascii="Times New Roman" w:hAnsi="Times New Roman" w:cs="Times New Roman"/>
          <w:bCs/>
          <w:sz w:val="24"/>
          <w:szCs w:val="24"/>
        </w:rPr>
        <w:t>, w p</w:t>
      </w:r>
      <w:r w:rsidR="00230203">
        <w:rPr>
          <w:rFonts w:ascii="Times New Roman" w:hAnsi="Times New Roman" w:cs="Times New Roman"/>
          <w:bCs/>
          <w:sz w:val="24"/>
          <w:szCs w:val="24"/>
        </w:rPr>
        <w:t>orównaniu z leczonymi warfaryną</w:t>
      </w:r>
      <w:r w:rsidRPr="00926E77">
        <w:rPr>
          <w:rFonts w:ascii="Times New Roman" w:hAnsi="Times New Roman" w:cs="Times New Roman"/>
          <w:sz w:val="24"/>
          <w:szCs w:val="24"/>
        </w:rPr>
        <w:t>.</w:t>
      </w:r>
      <w:r w:rsidR="00A839AA">
        <w:rPr>
          <w:rFonts w:ascii="Times New Roman" w:hAnsi="Times New Roman" w:cs="Times New Roman"/>
          <w:sz w:val="24"/>
          <w:szCs w:val="24"/>
        </w:rPr>
        <w:t xml:space="preserve"> Zdaniem Shorta i Connorsa</w:t>
      </w:r>
      <w:r w:rsidR="00AA2F78">
        <w:rPr>
          <w:rFonts w:ascii="Times New Roman" w:hAnsi="Times New Roman" w:cs="Times New Roman"/>
          <w:sz w:val="24"/>
          <w:szCs w:val="24"/>
        </w:rPr>
        <w:t xml:space="preserve"> (</w:t>
      </w:r>
      <w:r w:rsidR="00A1467B">
        <w:rPr>
          <w:rFonts w:ascii="Times New Roman" w:hAnsi="Times New Roman" w:cs="Times New Roman"/>
          <w:sz w:val="24"/>
          <w:szCs w:val="24"/>
        </w:rPr>
        <w:t>44</w:t>
      </w:r>
      <w:r w:rsidR="00AA2F78">
        <w:rPr>
          <w:rFonts w:ascii="Times New Roman" w:hAnsi="Times New Roman" w:cs="Times New Roman"/>
          <w:sz w:val="24"/>
          <w:szCs w:val="24"/>
        </w:rPr>
        <w:t xml:space="preserve">) </w:t>
      </w:r>
      <w:r w:rsidR="00A839AA">
        <w:rPr>
          <w:rFonts w:ascii="Times New Roman" w:hAnsi="Times New Roman" w:cs="Times New Roman"/>
          <w:sz w:val="24"/>
          <w:szCs w:val="24"/>
        </w:rPr>
        <w:t xml:space="preserve">nowe doustne leki przeciwkrzepliwe można stosować u </w:t>
      </w:r>
      <w:r w:rsidR="00BB5CA7">
        <w:rPr>
          <w:rFonts w:ascii="Times New Roman" w:hAnsi="Times New Roman" w:cs="Times New Roman"/>
          <w:sz w:val="24"/>
          <w:szCs w:val="24"/>
        </w:rPr>
        <w:t xml:space="preserve">stosunkowo nielicznych </w:t>
      </w:r>
      <w:r w:rsidR="00AA2F78">
        <w:rPr>
          <w:rFonts w:ascii="Times New Roman" w:hAnsi="Times New Roman" w:cs="Times New Roman"/>
          <w:sz w:val="24"/>
          <w:szCs w:val="24"/>
        </w:rPr>
        <w:t xml:space="preserve">wybranych </w:t>
      </w:r>
      <w:r w:rsidR="00A839AA">
        <w:rPr>
          <w:rFonts w:ascii="Times New Roman" w:hAnsi="Times New Roman" w:cs="Times New Roman"/>
          <w:sz w:val="24"/>
          <w:szCs w:val="24"/>
        </w:rPr>
        <w:t>pacjentów z chorobą nowotworową, którzy:</w:t>
      </w:r>
    </w:p>
    <w:p w:rsidR="00A839AA" w:rsidRDefault="00A839AA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mieli krwawień w ciągu poprzedzających 2 mies.</w:t>
      </w:r>
    </w:p>
    <w:p w:rsidR="00A839AA" w:rsidRDefault="00A839AA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stwierdza się u nich guza wewnątrzczaszkowego albo guza w innej lokalizacji, zagrażającego krwawieniem</w:t>
      </w:r>
    </w:p>
    <w:p w:rsidR="00A839AA" w:rsidRDefault="00A839AA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mają wykładników uszkodzenia wątroby</w:t>
      </w:r>
      <w:r w:rsidR="00AA2F78">
        <w:rPr>
          <w:rFonts w:ascii="Times New Roman" w:hAnsi="Times New Roman" w:cs="Times New Roman"/>
          <w:sz w:val="24"/>
          <w:szCs w:val="24"/>
        </w:rPr>
        <w:t xml:space="preserve"> np. marskości wątroby Child-Pugh B lub C</w:t>
      </w:r>
    </w:p>
    <w:p w:rsidR="00A839AA" w:rsidRDefault="00A839AA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2F78">
        <w:rPr>
          <w:rFonts w:ascii="Times New Roman" w:hAnsi="Times New Roman" w:cs="Times New Roman"/>
          <w:sz w:val="24"/>
          <w:szCs w:val="24"/>
        </w:rPr>
        <w:t xml:space="preserve">GFR &gt;30 ml/min. (minimalna wartość dla zastosowania dabigatranu),  GFR &gt;15 ml/min.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F78">
        <w:rPr>
          <w:rFonts w:ascii="Times New Roman" w:hAnsi="Times New Roman" w:cs="Times New Roman"/>
          <w:sz w:val="24"/>
          <w:szCs w:val="24"/>
        </w:rPr>
        <w:t>(minimalna wartość dla zastosowania apiksabanu lub rywaroksabanu); nie jest planowane stosowanie leków nefrotoksycznych</w:t>
      </w:r>
    </w:p>
    <w:p w:rsidR="00AA2F78" w:rsidRDefault="00AA2F78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płytek krwi &gt; 50 000/μl</w:t>
      </w:r>
    </w:p>
    <w:p w:rsidR="00AA2F78" w:rsidRDefault="00AA2F78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APTT, czas protrombinowy i stężenie fibrynogenu są w normie</w:t>
      </w:r>
    </w:p>
    <w:p w:rsidR="00AA2F78" w:rsidRDefault="00AA2F78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zagraża małopłytkowość polekowa</w:t>
      </w:r>
    </w:p>
    <w:p w:rsidR="00AA2F78" w:rsidRDefault="00AA2F78" w:rsidP="00A83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pobierają leków silnie wpływających na CYP3A4 i P-glikoproteinę.</w:t>
      </w:r>
    </w:p>
    <w:p w:rsidR="00203501" w:rsidRPr="00926E77" w:rsidRDefault="00203501" w:rsidP="00AA2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przydatności nowych doustnych leków prz</w:t>
      </w:r>
      <w:r w:rsidR="0084391E">
        <w:rPr>
          <w:rFonts w:ascii="Times New Roman" w:hAnsi="Times New Roman" w:cs="Times New Roman"/>
          <w:sz w:val="24"/>
          <w:szCs w:val="24"/>
        </w:rPr>
        <w:t>eciwkrzepliwych w</w:t>
      </w:r>
      <w:r>
        <w:rPr>
          <w:rFonts w:ascii="Times New Roman" w:hAnsi="Times New Roman" w:cs="Times New Roman"/>
          <w:sz w:val="24"/>
          <w:szCs w:val="24"/>
        </w:rPr>
        <w:t xml:space="preserve"> leczeniu </w:t>
      </w:r>
      <w:r w:rsidR="00FC0479">
        <w:rPr>
          <w:rFonts w:ascii="Times New Roman" w:hAnsi="Times New Roman" w:cs="Times New Roman"/>
          <w:sz w:val="24"/>
          <w:szCs w:val="24"/>
        </w:rPr>
        <w:t>VTE</w:t>
      </w:r>
      <w:r>
        <w:rPr>
          <w:rFonts w:ascii="Times New Roman" w:hAnsi="Times New Roman" w:cs="Times New Roman"/>
          <w:sz w:val="24"/>
          <w:szCs w:val="24"/>
        </w:rPr>
        <w:t xml:space="preserve"> u chorych na nowotwory złośliwe wymaga </w:t>
      </w:r>
      <w:r w:rsidR="00AA2F78">
        <w:rPr>
          <w:rFonts w:ascii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hAnsi="Times New Roman" w:cs="Times New Roman"/>
          <w:sz w:val="24"/>
          <w:szCs w:val="24"/>
        </w:rPr>
        <w:t>przeprowadzenia odpowiednio zaplanowanych badań klinicznych</w:t>
      </w:r>
      <w:r w:rsidR="0084391E">
        <w:rPr>
          <w:rFonts w:ascii="Times New Roman" w:hAnsi="Times New Roman" w:cs="Times New Roman"/>
          <w:sz w:val="24"/>
          <w:szCs w:val="24"/>
        </w:rPr>
        <w:t xml:space="preserve"> m.in. porównania ich skuteczności i bezpieczeństwa z wynikami stosowania LMWH.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501" w:rsidRDefault="00AA2F78" w:rsidP="00AA2F78">
      <w:pPr>
        <w:shd w:val="clear" w:color="auto" w:fill="FFFFFF"/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Zakrzepica żył powierzchownych</w:t>
      </w:r>
    </w:p>
    <w:p w:rsidR="00D34193" w:rsidRDefault="00AA2F78" w:rsidP="00F051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Zachorowalność na zakrzepicę żył powierzchownych u chorych na nowotwory </w:t>
      </w:r>
      <w:r w:rsidR="001F7579">
        <w:rPr>
          <w:rFonts w:ascii="Times New Roman" w:hAnsi="Times New Roman" w:cs="Times New Roman"/>
          <w:sz w:val="24"/>
          <w:szCs w:val="24"/>
        </w:rPr>
        <w:t xml:space="preserve">złośliwe nie została zbadana. </w:t>
      </w:r>
      <w:r w:rsidR="00B27B5D">
        <w:rPr>
          <w:rFonts w:ascii="Times New Roman" w:hAnsi="Times New Roman" w:cs="Times New Roman"/>
          <w:sz w:val="24"/>
          <w:szCs w:val="24"/>
        </w:rPr>
        <w:t>Nie ustalono też</w:t>
      </w:r>
      <w:r w:rsidR="00D34193">
        <w:rPr>
          <w:rFonts w:ascii="Times New Roman" w:hAnsi="Times New Roman" w:cs="Times New Roman"/>
          <w:sz w:val="24"/>
          <w:szCs w:val="24"/>
        </w:rPr>
        <w:t>, czy stanowi ona znacznik ukrytej choroby nowotworowej.</w:t>
      </w:r>
    </w:p>
    <w:p w:rsidR="00AA2F78" w:rsidRDefault="00D34193" w:rsidP="00F051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93">
        <w:rPr>
          <w:rFonts w:ascii="Times New Roman" w:hAnsi="Times New Roman" w:cs="Times New Roman"/>
          <w:sz w:val="24"/>
          <w:szCs w:val="24"/>
        </w:rPr>
        <w:t xml:space="preserve">Pradoni i wsp. </w:t>
      </w:r>
      <w:r w:rsidR="00B27B5D">
        <w:rPr>
          <w:rFonts w:ascii="Times New Roman" w:hAnsi="Times New Roman" w:cs="Times New Roman"/>
          <w:sz w:val="24"/>
          <w:szCs w:val="24"/>
        </w:rPr>
        <w:t>(</w:t>
      </w:r>
      <w:r w:rsidR="00A1467B">
        <w:rPr>
          <w:rFonts w:ascii="Times New Roman" w:hAnsi="Times New Roman" w:cs="Times New Roman"/>
          <w:sz w:val="24"/>
          <w:szCs w:val="24"/>
        </w:rPr>
        <w:t>45</w:t>
      </w:r>
      <w:r w:rsidR="00B27B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4193">
        <w:rPr>
          <w:rFonts w:ascii="Times New Roman" w:hAnsi="Times New Roman" w:cs="Times New Roman"/>
          <w:sz w:val="24"/>
          <w:szCs w:val="24"/>
        </w:rPr>
        <w:t>a podst</w:t>
      </w:r>
      <w:r w:rsidR="00FC4D56">
        <w:rPr>
          <w:rFonts w:ascii="Times New Roman" w:hAnsi="Times New Roman" w:cs="Times New Roman"/>
          <w:sz w:val="24"/>
          <w:szCs w:val="24"/>
        </w:rPr>
        <w:t xml:space="preserve">awie 26.miesiecznej obserwacji </w:t>
      </w:r>
      <w:r>
        <w:rPr>
          <w:rFonts w:ascii="Times New Roman" w:hAnsi="Times New Roman" w:cs="Times New Roman"/>
          <w:sz w:val="24"/>
          <w:szCs w:val="24"/>
        </w:rPr>
        <w:t xml:space="preserve">737 pacjentów z zakrzepicą żył powierzchownych nie stwierdził częstszego wystąpienia </w:t>
      </w:r>
      <w:r w:rsidR="00B27B5D">
        <w:rPr>
          <w:rFonts w:ascii="Times New Roman" w:hAnsi="Times New Roman" w:cs="Times New Roman"/>
          <w:sz w:val="24"/>
          <w:szCs w:val="24"/>
        </w:rPr>
        <w:t xml:space="preserve">u nich </w:t>
      </w:r>
      <w:r>
        <w:rPr>
          <w:rFonts w:ascii="Times New Roman" w:hAnsi="Times New Roman" w:cs="Times New Roman"/>
          <w:sz w:val="24"/>
          <w:szCs w:val="24"/>
        </w:rPr>
        <w:t xml:space="preserve">choroby nowotworowej w porównaniu z 1438 osobami z grupy kontrolnej. </w:t>
      </w:r>
      <w:r w:rsidR="00B27B5D">
        <w:rPr>
          <w:rFonts w:ascii="Times New Roman" w:hAnsi="Times New Roman" w:cs="Times New Roman"/>
          <w:sz w:val="24"/>
          <w:szCs w:val="24"/>
        </w:rPr>
        <w:t>Odmienny wniosek wyniknął z analizy zachorowalności na nowotwory w grupie 7663 pacjentów z zakrzepicą żył powierzchownych, w której ryzyko w ciągu 1.ego roku obserwacji okazało się 2,5.krotnie większe (95% CI 2,1-2,9), niż w pozostałej populacji (</w:t>
      </w:r>
      <w:r w:rsidR="00A1467B">
        <w:rPr>
          <w:rFonts w:ascii="Times New Roman" w:hAnsi="Times New Roman" w:cs="Times New Roman"/>
          <w:sz w:val="24"/>
          <w:szCs w:val="24"/>
        </w:rPr>
        <w:t>46</w:t>
      </w:r>
      <w:r w:rsidR="00B27B5D">
        <w:rPr>
          <w:rFonts w:ascii="Times New Roman" w:hAnsi="Times New Roman" w:cs="Times New Roman"/>
          <w:sz w:val="24"/>
          <w:szCs w:val="24"/>
        </w:rPr>
        <w:t xml:space="preserve">). Przyczyną tej rozbieżności może być </w:t>
      </w:r>
      <w:r w:rsidR="00FD3E7A">
        <w:rPr>
          <w:rFonts w:ascii="Times New Roman" w:hAnsi="Times New Roman" w:cs="Times New Roman"/>
          <w:sz w:val="24"/>
          <w:szCs w:val="24"/>
        </w:rPr>
        <w:t xml:space="preserve">brak wykluczenia </w:t>
      </w:r>
      <w:r w:rsidR="00685016">
        <w:rPr>
          <w:rFonts w:ascii="Times New Roman" w:hAnsi="Times New Roman" w:cs="Times New Roman"/>
          <w:sz w:val="24"/>
          <w:szCs w:val="24"/>
        </w:rPr>
        <w:lastRenderedPageBreak/>
        <w:t xml:space="preserve">współistniejącej </w:t>
      </w:r>
      <w:r w:rsidR="00FD3E7A">
        <w:rPr>
          <w:rFonts w:ascii="Times New Roman" w:hAnsi="Times New Roman" w:cs="Times New Roman"/>
          <w:sz w:val="24"/>
          <w:szCs w:val="24"/>
        </w:rPr>
        <w:t>DVT w tej grupie pacjentów, gdyż w przeciwieństwie do badania opisanego przez Pradoniego i wsp., nie wykonywano u nich CUS.</w:t>
      </w:r>
    </w:p>
    <w:p w:rsidR="00C71619" w:rsidRDefault="00C71619" w:rsidP="00D3419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304" w:rsidRDefault="00624304" w:rsidP="00F051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F7" w:rsidRDefault="00F86DF7" w:rsidP="00F051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należy poszukiwać n</w:t>
      </w:r>
      <w:r w:rsidR="00E614F2">
        <w:rPr>
          <w:rFonts w:ascii="Times New Roman" w:hAnsi="Times New Roman" w:cs="Times New Roman"/>
          <w:sz w:val="24"/>
          <w:szCs w:val="24"/>
        </w:rPr>
        <w:t>owotworu u chorego z samoistną VTE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6DF7" w:rsidRPr="00B82397" w:rsidRDefault="00442398" w:rsidP="00F051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analizy populacji ~</w:t>
      </w:r>
      <w:r w:rsidRPr="00442398">
        <w:rPr>
          <w:rFonts w:ascii="Times New Roman" w:hAnsi="Times New Roman" w:cs="Times New Roman"/>
          <w:bCs/>
          <w:sz w:val="24"/>
          <w:szCs w:val="24"/>
        </w:rPr>
        <w:t>60 000 pacjentów z DVT/PE zdiagnozowanych w Wielkiej Brytanii w latach 1981-2000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F86DF7">
        <w:rPr>
          <w:rFonts w:ascii="Times New Roman" w:hAnsi="Times New Roman" w:cs="Times New Roman"/>
          <w:sz w:val="24"/>
          <w:szCs w:val="24"/>
        </w:rPr>
        <w:t xml:space="preserve">ykazano, że </w:t>
      </w:r>
      <w:r w:rsidR="0066593A">
        <w:rPr>
          <w:rFonts w:ascii="Times New Roman" w:hAnsi="Times New Roman" w:cs="Times New Roman"/>
          <w:sz w:val="24"/>
          <w:szCs w:val="24"/>
        </w:rPr>
        <w:t>ryzyko wykrycia nowotworu w okresie 1 – 6 mies. od zachorowania jest zwiększone</w:t>
      </w:r>
      <w:r w:rsidR="00843F0D">
        <w:rPr>
          <w:rFonts w:ascii="Times New Roman" w:hAnsi="Times New Roman" w:cs="Times New Roman"/>
          <w:sz w:val="24"/>
          <w:szCs w:val="24"/>
        </w:rPr>
        <w:t xml:space="preserve"> 4,2. krotnie</w:t>
      </w:r>
      <w:r w:rsidR="0066593A">
        <w:rPr>
          <w:rFonts w:ascii="Times New Roman" w:hAnsi="Times New Roman" w:cs="Times New Roman"/>
          <w:sz w:val="24"/>
          <w:szCs w:val="24"/>
        </w:rPr>
        <w:t xml:space="preserve"> (95% CI 3,9 – 4,5), a u </w:t>
      </w:r>
      <w:r w:rsidR="00F86DF7">
        <w:rPr>
          <w:rFonts w:ascii="Times New Roman" w:hAnsi="Times New Roman" w:cs="Times New Roman"/>
          <w:sz w:val="24"/>
          <w:szCs w:val="24"/>
        </w:rPr>
        <w:t xml:space="preserve">~10% pacjentów z </w:t>
      </w:r>
      <w:r w:rsidR="00E614F2">
        <w:rPr>
          <w:rFonts w:ascii="Times New Roman" w:hAnsi="Times New Roman" w:cs="Times New Roman"/>
          <w:sz w:val="24"/>
          <w:szCs w:val="24"/>
        </w:rPr>
        <w:t>VTE</w:t>
      </w:r>
      <w:r w:rsidR="00F86DF7">
        <w:rPr>
          <w:rFonts w:ascii="Times New Roman" w:hAnsi="Times New Roman" w:cs="Times New Roman"/>
          <w:sz w:val="24"/>
          <w:szCs w:val="24"/>
        </w:rPr>
        <w:t xml:space="preserve"> ujawnia się choroba nowotworowa</w:t>
      </w:r>
      <w:r w:rsidR="004D20B3">
        <w:rPr>
          <w:rFonts w:ascii="Times New Roman" w:hAnsi="Times New Roman" w:cs="Times New Roman"/>
          <w:sz w:val="24"/>
          <w:szCs w:val="24"/>
        </w:rPr>
        <w:t xml:space="preserve"> </w:t>
      </w:r>
      <w:r w:rsidR="0066593A">
        <w:rPr>
          <w:rFonts w:ascii="Times New Roman" w:hAnsi="Times New Roman" w:cs="Times New Roman"/>
          <w:sz w:val="24"/>
          <w:szCs w:val="24"/>
        </w:rPr>
        <w:t xml:space="preserve">w ciągu 2 lat. </w:t>
      </w:r>
      <w:r w:rsidR="000A19CD" w:rsidRPr="000A19CD">
        <w:rPr>
          <w:rFonts w:ascii="Times New Roman" w:hAnsi="Times New Roman" w:cs="Times New Roman"/>
          <w:bCs/>
          <w:sz w:val="24"/>
          <w:szCs w:val="24"/>
        </w:rPr>
        <w:t xml:space="preserve">Najczęściej </w:t>
      </w:r>
      <w:r w:rsidR="000A19CD">
        <w:rPr>
          <w:rFonts w:ascii="Times New Roman" w:hAnsi="Times New Roman" w:cs="Times New Roman"/>
          <w:bCs/>
          <w:sz w:val="24"/>
          <w:szCs w:val="24"/>
        </w:rPr>
        <w:t>diagnozowano</w:t>
      </w:r>
      <w:r w:rsidR="000A19CD" w:rsidRPr="000A19CD">
        <w:rPr>
          <w:rFonts w:ascii="Times New Roman" w:hAnsi="Times New Roman" w:cs="Times New Roman"/>
          <w:bCs/>
          <w:sz w:val="24"/>
          <w:szCs w:val="24"/>
        </w:rPr>
        <w:t xml:space="preserve"> raka jajnika oraz chłoniaki. </w:t>
      </w:r>
      <w:r w:rsidR="0066593A">
        <w:rPr>
          <w:rFonts w:ascii="Times New Roman" w:hAnsi="Times New Roman" w:cs="Times New Roman"/>
          <w:sz w:val="24"/>
          <w:szCs w:val="24"/>
        </w:rPr>
        <w:t>Ryzyko było 2.krotnie większe u pacjentów w wieku &lt;60 lat, w porównaniu z podgrupą osób starszych</w:t>
      </w:r>
      <w:r w:rsidR="0066593A" w:rsidRPr="000A19CD">
        <w:rPr>
          <w:rFonts w:ascii="Times New Roman" w:hAnsi="Times New Roman" w:cs="Times New Roman"/>
          <w:sz w:val="24"/>
          <w:szCs w:val="24"/>
        </w:rPr>
        <w:t xml:space="preserve">.  </w:t>
      </w:r>
      <w:r w:rsidR="000A19CD">
        <w:rPr>
          <w:rFonts w:ascii="Times New Roman" w:hAnsi="Times New Roman" w:cs="Times New Roman"/>
          <w:sz w:val="24"/>
          <w:szCs w:val="24"/>
        </w:rPr>
        <w:t xml:space="preserve">Po 2 latach od zachorowania ryzyko wykrycia choroby nowotworowej jest takie samo jak w ogólnej populacji. </w:t>
      </w:r>
      <w:r w:rsidR="00F86DF7" w:rsidRPr="00C211FA">
        <w:rPr>
          <w:rFonts w:ascii="Times New Roman" w:hAnsi="Times New Roman" w:cs="Times New Roman"/>
          <w:bCs/>
          <w:sz w:val="24"/>
          <w:szCs w:val="24"/>
        </w:rPr>
        <w:t>(</w:t>
      </w:r>
      <w:r w:rsidR="00A1467B">
        <w:rPr>
          <w:rFonts w:ascii="Times New Roman" w:hAnsi="Times New Roman" w:cs="Times New Roman"/>
          <w:bCs/>
          <w:sz w:val="24"/>
          <w:szCs w:val="24"/>
        </w:rPr>
        <w:t>47</w:t>
      </w:r>
      <w:r w:rsidR="00F86DF7" w:rsidRPr="00C211FA">
        <w:rPr>
          <w:rFonts w:ascii="Times New Roman" w:hAnsi="Times New Roman" w:cs="Times New Roman"/>
          <w:bCs/>
          <w:sz w:val="24"/>
          <w:szCs w:val="24"/>
        </w:rPr>
        <w:t>)</w:t>
      </w:r>
      <w:r w:rsidR="0066593A" w:rsidRPr="00C211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3F0D" w:rsidRPr="00C2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F0D" w:rsidRPr="00843F0D">
        <w:rPr>
          <w:rFonts w:ascii="Times New Roman" w:hAnsi="Times New Roman" w:cs="Times New Roman"/>
          <w:bCs/>
          <w:sz w:val="24"/>
          <w:szCs w:val="24"/>
        </w:rPr>
        <w:t>Wg me</w:t>
      </w:r>
      <w:r w:rsidR="00F21FA0">
        <w:rPr>
          <w:rFonts w:ascii="Times New Roman" w:hAnsi="Times New Roman" w:cs="Times New Roman"/>
          <w:bCs/>
          <w:sz w:val="24"/>
          <w:szCs w:val="24"/>
        </w:rPr>
        <w:t xml:space="preserve">taanalizy 34 badań klinicznych </w:t>
      </w:r>
      <w:r w:rsidR="00843F0D">
        <w:rPr>
          <w:rFonts w:ascii="Times New Roman" w:hAnsi="Times New Roman" w:cs="Times New Roman"/>
          <w:bCs/>
          <w:sz w:val="24"/>
          <w:szCs w:val="24"/>
        </w:rPr>
        <w:t>w ciągu miesią</w:t>
      </w:r>
      <w:r w:rsidR="00843F0D" w:rsidRPr="00843F0D">
        <w:rPr>
          <w:rFonts w:ascii="Times New Roman" w:hAnsi="Times New Roman" w:cs="Times New Roman"/>
          <w:bCs/>
          <w:sz w:val="24"/>
          <w:szCs w:val="24"/>
        </w:rPr>
        <w:t xml:space="preserve">ca </w:t>
      </w:r>
      <w:r w:rsidR="00843F0D">
        <w:rPr>
          <w:rFonts w:ascii="Times New Roman" w:hAnsi="Times New Roman" w:cs="Times New Roman"/>
          <w:bCs/>
          <w:sz w:val="24"/>
          <w:szCs w:val="24"/>
        </w:rPr>
        <w:t xml:space="preserve">od zachorowania na pierwszy epizod VTE/PE </w:t>
      </w:r>
      <w:r w:rsidR="00E614F2" w:rsidRPr="00843F0D">
        <w:rPr>
          <w:rFonts w:ascii="Times New Roman" w:hAnsi="Times New Roman" w:cs="Times New Roman"/>
          <w:bCs/>
          <w:sz w:val="24"/>
          <w:szCs w:val="24"/>
        </w:rPr>
        <w:t xml:space="preserve">rozpoznanie </w:t>
      </w:r>
      <w:r w:rsidR="00F21FA0">
        <w:rPr>
          <w:rFonts w:ascii="Times New Roman" w:hAnsi="Times New Roman" w:cs="Times New Roman"/>
          <w:bCs/>
          <w:sz w:val="24"/>
          <w:szCs w:val="24"/>
        </w:rPr>
        <w:t xml:space="preserve">choroby nowotworowej </w:t>
      </w:r>
      <w:r w:rsidR="00843F0D">
        <w:rPr>
          <w:rFonts w:ascii="Times New Roman" w:hAnsi="Times New Roman" w:cs="Times New Roman"/>
          <w:bCs/>
          <w:sz w:val="24"/>
          <w:szCs w:val="24"/>
        </w:rPr>
        <w:t>ustalono  u 4,1% (95%CI 3,6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843F0D">
        <w:rPr>
          <w:rFonts w:ascii="Times New Roman" w:hAnsi="Times New Roman" w:cs="Times New Roman"/>
          <w:bCs/>
          <w:sz w:val="24"/>
          <w:szCs w:val="24"/>
        </w:rPr>
        <w:t xml:space="preserve"> – 4,6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843F0D">
        <w:rPr>
          <w:rFonts w:ascii="Times New Roman" w:hAnsi="Times New Roman" w:cs="Times New Roman"/>
          <w:bCs/>
          <w:sz w:val="24"/>
          <w:szCs w:val="24"/>
        </w:rPr>
        <w:t xml:space="preserve">) pacjentów, a w ciągu roku – u </w:t>
      </w:r>
      <w:r w:rsidR="005C10E2">
        <w:rPr>
          <w:rFonts w:ascii="Times New Roman" w:hAnsi="Times New Roman" w:cs="Times New Roman"/>
          <w:bCs/>
          <w:sz w:val="24"/>
          <w:szCs w:val="24"/>
        </w:rPr>
        <w:t>6,3% (95%CI</w:t>
      </w:r>
      <w:r w:rsidR="00843F0D">
        <w:rPr>
          <w:rFonts w:ascii="Times New Roman" w:hAnsi="Times New Roman" w:cs="Times New Roman"/>
          <w:bCs/>
          <w:sz w:val="24"/>
          <w:szCs w:val="24"/>
        </w:rPr>
        <w:t xml:space="preserve"> 5,6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843F0D">
        <w:rPr>
          <w:rFonts w:ascii="Times New Roman" w:hAnsi="Times New Roman" w:cs="Times New Roman"/>
          <w:bCs/>
          <w:sz w:val="24"/>
          <w:szCs w:val="24"/>
        </w:rPr>
        <w:t xml:space="preserve"> – 6,</w:t>
      </w:r>
      <w:r w:rsidR="005C10E2">
        <w:rPr>
          <w:rFonts w:ascii="Times New Roman" w:hAnsi="Times New Roman" w:cs="Times New Roman"/>
          <w:bCs/>
          <w:sz w:val="24"/>
          <w:szCs w:val="24"/>
        </w:rPr>
        <w:t>9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5C10E2">
        <w:rPr>
          <w:rFonts w:ascii="Times New Roman" w:hAnsi="Times New Roman" w:cs="Times New Roman"/>
          <w:bCs/>
          <w:sz w:val="24"/>
          <w:szCs w:val="24"/>
        </w:rPr>
        <w:t>) (</w:t>
      </w:r>
      <w:r w:rsidR="00A1467B">
        <w:rPr>
          <w:rFonts w:ascii="Times New Roman" w:hAnsi="Times New Roman" w:cs="Times New Roman"/>
          <w:bCs/>
          <w:sz w:val="24"/>
          <w:szCs w:val="24"/>
        </w:rPr>
        <w:t>48</w:t>
      </w:r>
      <w:r w:rsidR="005C10E2">
        <w:rPr>
          <w:rFonts w:ascii="Times New Roman" w:hAnsi="Times New Roman" w:cs="Times New Roman"/>
          <w:bCs/>
          <w:sz w:val="24"/>
          <w:szCs w:val="24"/>
        </w:rPr>
        <w:t>). Ryzyko wykrycia nowotworu było większe w samoistnej VTE -10,0% (95%CI 8,6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5C10E2">
        <w:rPr>
          <w:rFonts w:ascii="Times New Roman" w:hAnsi="Times New Roman" w:cs="Times New Roman"/>
          <w:bCs/>
          <w:sz w:val="24"/>
          <w:szCs w:val="24"/>
        </w:rPr>
        <w:t xml:space="preserve"> – 11,3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5C10E2">
        <w:rPr>
          <w:rFonts w:ascii="Times New Roman" w:hAnsi="Times New Roman" w:cs="Times New Roman"/>
          <w:bCs/>
          <w:sz w:val="24"/>
          <w:szCs w:val="24"/>
        </w:rPr>
        <w:t>), w porównaniu z zakrzepicą związaną z przejściowym czynnikiem ryzyka - 2,6% (95%CI 1,6</w:t>
      </w:r>
      <w:r w:rsidR="00F21FA0">
        <w:rPr>
          <w:rFonts w:ascii="Times New Roman" w:hAnsi="Times New Roman" w:cs="Times New Roman"/>
          <w:bCs/>
          <w:sz w:val="24"/>
          <w:szCs w:val="24"/>
        </w:rPr>
        <w:t>%</w:t>
      </w:r>
      <w:r w:rsidR="005C10E2">
        <w:rPr>
          <w:rFonts w:ascii="Times New Roman" w:hAnsi="Times New Roman" w:cs="Times New Roman"/>
          <w:bCs/>
          <w:sz w:val="24"/>
          <w:szCs w:val="24"/>
        </w:rPr>
        <w:t xml:space="preserve"> – 3,6%).</w:t>
      </w:r>
      <w:r w:rsidR="00E614F2">
        <w:rPr>
          <w:rFonts w:ascii="Times New Roman" w:hAnsi="Times New Roman" w:cs="Times New Roman"/>
          <w:bCs/>
          <w:sz w:val="24"/>
          <w:szCs w:val="24"/>
        </w:rPr>
        <w:t xml:space="preserve"> Przeprowadzono prospektywną obserwację 630 pacjentów z samoistną VTE</w:t>
      </w:r>
      <w:r w:rsidR="00367029">
        <w:rPr>
          <w:rFonts w:ascii="Times New Roman" w:hAnsi="Times New Roman" w:cs="Times New Roman"/>
          <w:bCs/>
          <w:sz w:val="24"/>
          <w:szCs w:val="24"/>
        </w:rPr>
        <w:t>,</w:t>
      </w:r>
      <w:r w:rsidR="00E614F2">
        <w:rPr>
          <w:rFonts w:ascii="Times New Roman" w:hAnsi="Times New Roman" w:cs="Times New Roman"/>
          <w:bCs/>
          <w:sz w:val="24"/>
          <w:szCs w:val="24"/>
        </w:rPr>
        <w:t xml:space="preserve"> których diagnozowano w kierunku choroby nowotworowej. </w:t>
      </w:r>
      <w:r w:rsidR="005711AE">
        <w:rPr>
          <w:rFonts w:ascii="Times New Roman" w:hAnsi="Times New Roman" w:cs="Times New Roman"/>
          <w:bCs/>
          <w:sz w:val="24"/>
          <w:szCs w:val="24"/>
        </w:rPr>
        <w:t>Na chorobę tę z</w:t>
      </w:r>
      <w:r w:rsidR="00E614F2">
        <w:rPr>
          <w:rFonts w:ascii="Times New Roman" w:hAnsi="Times New Roman" w:cs="Times New Roman"/>
          <w:bCs/>
          <w:sz w:val="24"/>
          <w:szCs w:val="24"/>
        </w:rPr>
        <w:t>achorowało 7/288 osób (2,4%) przebadanych w podstawowym zakresie (wywiad, badanie przedmiotowe, podstawowe badania laboratoryjne, radiogram klatki piersiowej)</w:t>
      </w:r>
      <w:r w:rsidR="00367029">
        <w:rPr>
          <w:rFonts w:ascii="Times New Roman" w:hAnsi="Times New Roman" w:cs="Times New Roman"/>
          <w:bCs/>
          <w:sz w:val="24"/>
          <w:szCs w:val="24"/>
        </w:rPr>
        <w:t xml:space="preserve"> oraz 12/342 (3,5%) chorych poddanych dodatkowo tomografii komputerowej brzucha, klatki piersiowej i mammografii. Ze względu na brak różnic w czasie przeżycia chorych, autorzy zalecają ograniczenie u chorych po przebyciu VTE diagnostyki </w:t>
      </w:r>
      <w:r w:rsidR="005711AE">
        <w:rPr>
          <w:rFonts w:ascii="Times New Roman" w:hAnsi="Times New Roman" w:cs="Times New Roman"/>
          <w:bCs/>
          <w:sz w:val="24"/>
          <w:szCs w:val="24"/>
        </w:rPr>
        <w:t>przeprowadzanej z podejrzeniem</w:t>
      </w:r>
      <w:r w:rsidR="00367029">
        <w:rPr>
          <w:rFonts w:ascii="Times New Roman" w:hAnsi="Times New Roman" w:cs="Times New Roman"/>
          <w:bCs/>
          <w:sz w:val="24"/>
          <w:szCs w:val="24"/>
        </w:rPr>
        <w:t xml:space="preserve"> choroby nowotworowej do zakresu podstawowego (</w:t>
      </w:r>
      <w:r w:rsidR="00A1467B">
        <w:rPr>
          <w:rFonts w:ascii="Times New Roman" w:hAnsi="Times New Roman" w:cs="Times New Roman"/>
          <w:bCs/>
          <w:sz w:val="24"/>
          <w:szCs w:val="24"/>
        </w:rPr>
        <w:t>49</w:t>
      </w:r>
      <w:r w:rsidR="00367029">
        <w:rPr>
          <w:rFonts w:ascii="Times New Roman" w:hAnsi="Times New Roman" w:cs="Times New Roman"/>
          <w:bCs/>
          <w:sz w:val="24"/>
          <w:szCs w:val="24"/>
        </w:rPr>
        <w:t>).</w:t>
      </w:r>
      <w:r w:rsidR="00B82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397" w:rsidRPr="00B82397">
        <w:rPr>
          <w:rFonts w:ascii="Times New Roman" w:hAnsi="Times New Roman" w:cs="Times New Roman"/>
          <w:bCs/>
          <w:sz w:val="24"/>
          <w:szCs w:val="24"/>
        </w:rPr>
        <w:t>Do podobnego wniosku doszli Piccioli i wsp., którzy nie stwierdzili</w:t>
      </w:r>
      <w:r w:rsidR="00D2293C">
        <w:rPr>
          <w:rFonts w:ascii="Times New Roman" w:hAnsi="Times New Roman" w:cs="Times New Roman"/>
          <w:bCs/>
          <w:sz w:val="24"/>
          <w:szCs w:val="24"/>
        </w:rPr>
        <w:t xml:space="preserve"> istotnej </w:t>
      </w:r>
      <w:r w:rsidR="00B82397" w:rsidRPr="00B82397">
        <w:rPr>
          <w:rFonts w:ascii="Times New Roman" w:hAnsi="Times New Roman" w:cs="Times New Roman"/>
          <w:bCs/>
          <w:sz w:val="24"/>
          <w:szCs w:val="24"/>
        </w:rPr>
        <w:t>różnic</w:t>
      </w:r>
      <w:r w:rsidR="00D2293C">
        <w:rPr>
          <w:rFonts w:ascii="Times New Roman" w:hAnsi="Times New Roman" w:cs="Times New Roman"/>
          <w:bCs/>
          <w:sz w:val="24"/>
          <w:szCs w:val="24"/>
        </w:rPr>
        <w:t>y</w:t>
      </w:r>
      <w:r w:rsidR="00B82397" w:rsidRPr="00B82397">
        <w:rPr>
          <w:rFonts w:ascii="Times New Roman" w:hAnsi="Times New Roman" w:cs="Times New Roman"/>
          <w:bCs/>
          <w:sz w:val="24"/>
          <w:szCs w:val="24"/>
        </w:rPr>
        <w:t xml:space="preserve"> w śmiertelności po 2 latach pomiędzy grupą pacjentów poddanych podstawowej </w:t>
      </w:r>
      <w:r w:rsidR="00B82397">
        <w:rPr>
          <w:rFonts w:ascii="Times New Roman" w:hAnsi="Times New Roman" w:cs="Times New Roman"/>
          <w:bCs/>
          <w:sz w:val="24"/>
          <w:szCs w:val="24"/>
        </w:rPr>
        <w:t xml:space="preserve">diagnostyce, a grupą </w:t>
      </w:r>
      <w:r w:rsidR="00D2293C">
        <w:rPr>
          <w:rFonts w:ascii="Times New Roman" w:hAnsi="Times New Roman" w:cs="Times New Roman"/>
          <w:bCs/>
          <w:sz w:val="24"/>
          <w:szCs w:val="24"/>
        </w:rPr>
        <w:t>intensywnie diagnozowaną (</w:t>
      </w:r>
      <w:r w:rsidR="00A1467B">
        <w:rPr>
          <w:rFonts w:ascii="Times New Roman" w:hAnsi="Times New Roman" w:cs="Times New Roman"/>
          <w:bCs/>
          <w:sz w:val="24"/>
          <w:szCs w:val="24"/>
        </w:rPr>
        <w:t>50</w:t>
      </w:r>
      <w:r w:rsidR="00D2293C">
        <w:rPr>
          <w:rFonts w:ascii="Times New Roman" w:hAnsi="Times New Roman" w:cs="Times New Roman"/>
          <w:bCs/>
          <w:sz w:val="24"/>
          <w:szCs w:val="24"/>
        </w:rPr>
        <w:t>).</w:t>
      </w:r>
      <w:r w:rsidR="00C71619">
        <w:rPr>
          <w:rFonts w:ascii="Times New Roman" w:hAnsi="Times New Roman" w:cs="Times New Roman"/>
          <w:bCs/>
          <w:sz w:val="24"/>
          <w:szCs w:val="24"/>
        </w:rPr>
        <w:t xml:space="preserve"> Problem ten wymaga dalszych badań.</w:t>
      </w:r>
    </w:p>
    <w:p w:rsidR="00E614F2" w:rsidRPr="00E614F2" w:rsidRDefault="00E614F2" w:rsidP="00F0511B">
      <w:pPr>
        <w:autoSpaceDE w:val="0"/>
        <w:autoSpaceDN w:val="0"/>
        <w:adjustRightInd w:val="0"/>
        <w:spacing w:after="0" w:line="240" w:lineRule="auto"/>
        <w:jc w:val="both"/>
        <w:rPr>
          <w:rFonts w:ascii="AdvOT3c2d9f11" w:hAnsi="AdvOT3c2d9f11" w:cs="AdvOT3c2d9f11"/>
          <w:color w:val="000000"/>
          <w:sz w:val="18"/>
          <w:szCs w:val="18"/>
        </w:rPr>
      </w:pPr>
    </w:p>
    <w:p w:rsidR="00E614F2" w:rsidRPr="00E614F2" w:rsidRDefault="00E614F2" w:rsidP="00F0511B">
      <w:pPr>
        <w:autoSpaceDE w:val="0"/>
        <w:autoSpaceDN w:val="0"/>
        <w:adjustRightInd w:val="0"/>
        <w:spacing w:after="0" w:line="240" w:lineRule="auto"/>
        <w:jc w:val="both"/>
        <w:rPr>
          <w:rFonts w:ascii="AdvOT3c2d9f11" w:hAnsi="AdvOT3c2d9f11" w:cs="AdvOT3c2d9f11"/>
          <w:color w:val="000000"/>
          <w:sz w:val="18"/>
          <w:szCs w:val="18"/>
        </w:rPr>
      </w:pPr>
    </w:p>
    <w:p w:rsidR="00E614F2" w:rsidRPr="00E614F2" w:rsidRDefault="00E614F2" w:rsidP="005C10E2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E614F2" w:rsidRPr="00E614F2" w:rsidRDefault="00E614F2" w:rsidP="005C10E2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6A4EFF" w:rsidRDefault="006A4EF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7A63F3" w:rsidRP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63F3" w:rsidRPr="007A63F3" w:rsidRDefault="007A63F3" w:rsidP="00D46B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3F3">
        <w:rPr>
          <w:rFonts w:ascii="Times New Roman" w:hAnsi="Times New Roman" w:cs="Times New Roman"/>
          <w:sz w:val="24"/>
          <w:szCs w:val="24"/>
        </w:rPr>
        <w:lastRenderedPageBreak/>
        <w:t>Piśmiennictwo</w:t>
      </w:r>
    </w:p>
    <w:p w:rsidR="007A63F3" w:rsidRPr="007A63F3" w:rsidRDefault="007A63F3" w:rsidP="00D46B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Sørensen HT, Mellemkjaer L, Olsen JH, Baron JA. Prognosis of cancers associated with venous thromboembolism. </w:t>
      </w:r>
      <w:r w:rsidRPr="007A63F3">
        <w:rPr>
          <w:rFonts w:ascii="Times New Roman" w:hAnsi="Times New Roman"/>
          <w:iCs/>
          <w:sz w:val="24"/>
          <w:szCs w:val="24"/>
        </w:rPr>
        <w:t xml:space="preserve">N Engl J Med. </w:t>
      </w:r>
      <w:r w:rsidRPr="007A63F3">
        <w:rPr>
          <w:rFonts w:ascii="Times New Roman" w:hAnsi="Times New Roman"/>
          <w:sz w:val="24"/>
          <w:szCs w:val="24"/>
        </w:rPr>
        <w:t>2000; 343: 1846-1850.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Khorana AA, Francis CW, Culakova E, et al. Thromboembolism is a leading cause of death in cancer patients receiving outpatient chemotherapy. J Thromb Haemost. 2007; 5: 632-634.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Khorana AA. Venous thromboembolism and prognosis in cancer. </w:t>
      </w:r>
      <w:r w:rsidRPr="007A63F3">
        <w:rPr>
          <w:rFonts w:ascii="Times New Roman" w:hAnsi="Times New Roman"/>
          <w:iCs/>
          <w:sz w:val="24"/>
          <w:szCs w:val="24"/>
        </w:rPr>
        <w:t xml:space="preserve">Thromb Res. </w:t>
      </w:r>
      <w:r w:rsidRPr="007A63F3">
        <w:rPr>
          <w:rFonts w:ascii="Times New Roman" w:hAnsi="Times New Roman"/>
          <w:sz w:val="24"/>
          <w:szCs w:val="24"/>
        </w:rPr>
        <w:t>2010; 125: 490-493.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Thaler J, Ay C, Mackman N, et al. Microparticle-associated tissue factor activity, venous thromboembolism and mortality in pancreatic, gastric, colorectal and brain cancer. J Thromb Haemost. 2012; 10: 1363-1370.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Walker AJ, Card TR, West J, et al. Incidence of venous thromboembolism in patients with cancer - a cohort study using linked United Kingdom databases. Eur J Cancer 2013; 49: 1404-1413.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bCs/>
          <w:sz w:val="24"/>
          <w:szCs w:val="24"/>
        </w:rPr>
        <w:t xml:space="preserve"> </w:t>
      </w:r>
      <w:r w:rsidRPr="007A63F3">
        <w:rPr>
          <w:rFonts w:ascii="Times New Roman" w:hAnsi="Times New Roman"/>
          <w:bCs/>
          <w:sz w:val="24"/>
          <w:szCs w:val="24"/>
          <w:lang w:val="nl-NL"/>
        </w:rPr>
        <w:t xml:space="preserve">Blom JW, Vanderschoot JPM, Oostindier MJ, </w:t>
      </w:r>
      <w:r w:rsidRPr="007A63F3">
        <w:rPr>
          <w:rFonts w:ascii="Times New Roman" w:hAnsi="Times New Roman"/>
          <w:noProof/>
          <w:sz w:val="24"/>
          <w:szCs w:val="24"/>
        </w:rPr>
        <w:t xml:space="preserve">et al. </w:t>
      </w:r>
      <w:r w:rsidRPr="007A63F3">
        <w:rPr>
          <w:rFonts w:ascii="Times New Roman" w:hAnsi="Times New Roman"/>
          <w:bCs/>
          <w:sz w:val="24"/>
          <w:szCs w:val="24"/>
          <w:lang w:val="nl-NL"/>
        </w:rPr>
        <w:t xml:space="preserve">Incidence of venous thrombosis in a large cohort of 66 329 cancer patients: results of a record linkage study. </w:t>
      </w:r>
      <w:r w:rsidRPr="007A63F3">
        <w:rPr>
          <w:rFonts w:ascii="Times New Roman" w:hAnsi="Times New Roman"/>
          <w:bCs/>
          <w:sz w:val="24"/>
          <w:szCs w:val="24"/>
        </w:rPr>
        <w:t>J Thromb Haemost. 2006; 4: 529-35.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 Haddad TC, Greeno EW. Chemotherapy-induced thrombosis. Thromb Res. 2006; 118: 555-568.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Prandoni P, Lensing AW, Piccioli A, et al. Recurrent venous thromboembolism and bleeding complications during anticoagulant treatment in patients with cancer and venous thrombosis. </w:t>
      </w:r>
      <w:r w:rsidRPr="007A63F3">
        <w:rPr>
          <w:rFonts w:ascii="Times New Roman" w:hAnsi="Times New Roman"/>
          <w:iCs/>
          <w:sz w:val="24"/>
          <w:szCs w:val="24"/>
        </w:rPr>
        <w:t xml:space="preserve">Blood </w:t>
      </w:r>
      <w:r w:rsidRPr="007A63F3">
        <w:rPr>
          <w:rFonts w:ascii="Times New Roman" w:hAnsi="Times New Roman"/>
          <w:sz w:val="24"/>
          <w:szCs w:val="24"/>
        </w:rPr>
        <w:t>2002;100: 3484-3488.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noProof/>
          <w:sz w:val="24"/>
          <w:szCs w:val="24"/>
          <w:lang w:val="da-DK"/>
        </w:rPr>
        <w:t xml:space="preserve">Chew HK, Wun T, Harvey D, </w:t>
      </w:r>
      <w:r w:rsidRPr="007A63F3">
        <w:rPr>
          <w:rFonts w:ascii="Times New Roman" w:hAnsi="Times New Roman"/>
          <w:sz w:val="24"/>
          <w:szCs w:val="24"/>
        </w:rPr>
        <w:t>et al</w:t>
      </w:r>
      <w:r w:rsidRPr="007A63F3">
        <w:rPr>
          <w:rFonts w:ascii="Times New Roman" w:hAnsi="Times New Roman"/>
          <w:noProof/>
          <w:sz w:val="24"/>
          <w:szCs w:val="24"/>
        </w:rPr>
        <w:t xml:space="preserve">. Incidence of venous thromboembolism and its effect on survival among patients with common cancers. </w:t>
      </w:r>
      <w:r w:rsidRPr="007A63F3">
        <w:rPr>
          <w:rFonts w:ascii="Times New Roman" w:hAnsi="Times New Roman"/>
          <w:noProof/>
          <w:sz w:val="24"/>
          <w:szCs w:val="24"/>
          <w:lang w:val="da-DK"/>
        </w:rPr>
        <w:t>Arch Intern Med. 2006; 166:458-464.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bCs/>
          <w:sz w:val="24"/>
          <w:szCs w:val="24"/>
        </w:rPr>
        <w:t>Khorana AA. Cancer-associated thrombosis: updates and controversies. Hematology Am Soc Hematol Edu Program. 2012; 626-630.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O’Connell CL, Boswell WD, Duddalwar V, et al. Unsuspected pulmonary emboli in cancer patients: clinical correlates and relevance. </w:t>
      </w:r>
      <w:r w:rsidRPr="007A63F3">
        <w:rPr>
          <w:rFonts w:ascii="Times New Roman" w:hAnsi="Times New Roman"/>
          <w:iCs/>
          <w:sz w:val="24"/>
          <w:szCs w:val="24"/>
        </w:rPr>
        <w:t xml:space="preserve">J Clin Oncol. </w:t>
      </w:r>
      <w:r w:rsidRPr="007A63F3">
        <w:rPr>
          <w:rFonts w:ascii="Times New Roman" w:hAnsi="Times New Roman"/>
          <w:sz w:val="24"/>
          <w:szCs w:val="24"/>
        </w:rPr>
        <w:t>2006; 24: 4928-4932.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Gosselin MV, Rubin GD, Leung AN, et al. Unsuspected pulmonary embolism: prospective detection on routine helical CT scans. </w:t>
      </w:r>
      <w:r w:rsidRPr="007A63F3">
        <w:rPr>
          <w:rFonts w:ascii="Times New Roman" w:hAnsi="Times New Roman"/>
          <w:iCs/>
          <w:sz w:val="24"/>
          <w:szCs w:val="24"/>
        </w:rPr>
        <w:t xml:space="preserve">Radiology </w:t>
      </w:r>
      <w:r w:rsidRPr="007A63F3">
        <w:rPr>
          <w:rFonts w:ascii="Times New Roman" w:hAnsi="Times New Roman"/>
          <w:sz w:val="24"/>
          <w:szCs w:val="24"/>
        </w:rPr>
        <w:t>1998; 208: 209-215.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Storto ML, Di Credico A, Guido F, et al. Incidental detection of pulmonary emboli on routine MDCT of the chest. </w:t>
      </w:r>
      <w:r w:rsidRPr="007A63F3">
        <w:rPr>
          <w:rFonts w:ascii="Times New Roman" w:hAnsi="Times New Roman"/>
          <w:iCs/>
          <w:sz w:val="24"/>
          <w:szCs w:val="24"/>
        </w:rPr>
        <w:t xml:space="preserve">AJR Am J Roentgenol. </w:t>
      </w:r>
      <w:r w:rsidRPr="007A63F3">
        <w:rPr>
          <w:rFonts w:ascii="Times New Roman" w:hAnsi="Times New Roman"/>
          <w:sz w:val="24"/>
          <w:szCs w:val="24"/>
        </w:rPr>
        <w:t>2005;184: 264-267.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lastRenderedPageBreak/>
        <w:t xml:space="preserve">O’Connell C, Razavi P, Ghalichi M, et al. Unsuspected pulmonary emboli adversely impact survival in patients with cancer undergoing routine staging multi-row detector computed tomography scanning. </w:t>
      </w:r>
      <w:r w:rsidRPr="007A63F3">
        <w:rPr>
          <w:rFonts w:ascii="Times New Roman" w:hAnsi="Times New Roman"/>
          <w:iCs/>
          <w:sz w:val="24"/>
          <w:szCs w:val="24"/>
        </w:rPr>
        <w:t xml:space="preserve">J Thromb Haemost. </w:t>
      </w:r>
      <w:r w:rsidRPr="007A63F3">
        <w:rPr>
          <w:rFonts w:ascii="Times New Roman" w:hAnsi="Times New Roman"/>
          <w:sz w:val="24"/>
          <w:szCs w:val="24"/>
        </w:rPr>
        <w:t>2011; 9: 305-311.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The Breast International Group (BIG) 1-98 Collaborative Group. A comparison of letrozole and tamoxifen in post-menopausal women with early breast cancer. N Engl J Med. 2005; 353: 2747-2757.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Style w:val="Pogrubienie"/>
          <w:rFonts w:ascii="Times New Roman" w:hAnsi="Times New Roman"/>
          <w:sz w:val="24"/>
          <w:szCs w:val="24"/>
        </w:rPr>
        <w:t>Nalluri SR, Chu D, Keresztes R, et al. Risk of venous thromboembolism with the angiogenesis inhibitor bevacizumab in cancer patients: a meta-analysis</w:t>
      </w:r>
      <w:r w:rsidRPr="007A63F3">
        <w:rPr>
          <w:rFonts w:ascii="Times New Roman" w:hAnsi="Times New Roman"/>
          <w:sz w:val="24"/>
          <w:szCs w:val="24"/>
        </w:rPr>
        <w:t xml:space="preserve">. </w:t>
      </w:r>
      <w:r w:rsidRPr="007A63F3">
        <w:rPr>
          <w:rFonts w:ascii="Times New Roman" w:hAnsi="Times New Roman"/>
          <w:iCs/>
          <w:sz w:val="24"/>
          <w:szCs w:val="24"/>
        </w:rPr>
        <w:t>JAMA</w:t>
      </w:r>
      <w:r w:rsidRPr="007A63F3">
        <w:rPr>
          <w:rFonts w:ascii="Times New Roman" w:hAnsi="Times New Roman"/>
          <w:sz w:val="24"/>
          <w:szCs w:val="24"/>
        </w:rPr>
        <w:t xml:space="preserve"> 2008; 300: 2277-2285.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Bohlius J, Wilson J, Seidenfeld J, et al. Recombinant human erythropoietins and cancer patients: updated meta-analysis of 57 studies including 9353 patients. J Natl Cancer Inst. 2006; 98: 708-714.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  <w:lang w:val="pl-PL"/>
        </w:rPr>
        <w:t xml:space="preserve">Seng S, Liu Z, Chiu SK, et al. </w:t>
      </w:r>
      <w:r w:rsidRPr="007A63F3">
        <w:rPr>
          <w:rFonts w:ascii="Times New Roman" w:hAnsi="Times New Roman"/>
          <w:sz w:val="24"/>
          <w:szCs w:val="24"/>
        </w:rPr>
        <w:t>Risk of venous thromboembolism in patients with cancer treated with cisplatin: a systematic review and meta-analysis. J Clin Oncol. 10.1200/JCO.2012.42.4358.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  <w:lang w:val="nl-NL"/>
        </w:rPr>
        <w:t xml:space="preserve">Van Rooden CJ, Tesselaar ME, Osanto S, et al. </w:t>
      </w:r>
      <w:r w:rsidRPr="007A63F3">
        <w:rPr>
          <w:rFonts w:ascii="Times New Roman" w:hAnsi="Times New Roman"/>
          <w:sz w:val="24"/>
          <w:szCs w:val="24"/>
        </w:rPr>
        <w:t>Deep vein thrombosis associated with central venous catheters: a review. J Thromb Haemost. 2005; 3: 2409-2419.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Khorana AA, Kuderer NM, Culakova E, et al. Development and validation of a predictive model for chemotherapy-associated thrombosis. Blood 2008; 111: 4902-4907.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Ay C, Dunkler D, Marosi C, et al. Prediction of venous thromboembolism in cancer patients. Blood 2010; 116: 5377-5382.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George DJ, Agnelli G, Fisher W, et al. Venous thromboembolism (VTE) prevention with semuloparin in cancer patients initiating chemotherapy: benefit-risk assessment by VTE risk in SAVE-ONCO [abstr.]. </w:t>
      </w:r>
      <w:r w:rsidRPr="007A63F3">
        <w:rPr>
          <w:rFonts w:ascii="Times New Roman" w:hAnsi="Times New Roman"/>
          <w:iCs/>
          <w:sz w:val="24"/>
          <w:szCs w:val="24"/>
        </w:rPr>
        <w:t xml:space="preserve">Blood (ASH Annual Meeting Abstracts). </w:t>
      </w:r>
      <w:r w:rsidRPr="007A63F3">
        <w:rPr>
          <w:rFonts w:ascii="Times New Roman" w:hAnsi="Times New Roman"/>
          <w:sz w:val="24"/>
          <w:szCs w:val="24"/>
        </w:rPr>
        <w:t>2011; 118: 206.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Verso M, Agnelli G, Barni S, et al. A modified Khorana risk assessment score for venous thromboembolism in cancer patients receiving chemotherapy: the Protecht score. </w:t>
      </w:r>
      <w:r w:rsidRPr="007A63F3">
        <w:rPr>
          <w:rFonts w:ascii="Times New Roman" w:hAnsi="Times New Roman"/>
          <w:iCs/>
          <w:sz w:val="24"/>
          <w:szCs w:val="24"/>
        </w:rPr>
        <w:t xml:space="preserve">Intern Emerg Med. </w:t>
      </w:r>
      <w:r w:rsidRPr="007A63F3">
        <w:rPr>
          <w:rFonts w:ascii="Times New Roman" w:hAnsi="Times New Roman"/>
          <w:sz w:val="24"/>
          <w:szCs w:val="24"/>
        </w:rPr>
        <w:t>2012; 7: 291-292.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Stender MT, Frokjaer JB, Larsen TB, et al. Preoperative plasma D-dimer is a predictor of postoperative deep venous thrombosis in colorectal cancer patients: a clinical, prospective cohort study with one-year follow-up. </w:t>
      </w:r>
      <w:r w:rsidRPr="007A63F3">
        <w:rPr>
          <w:rFonts w:ascii="Times New Roman" w:hAnsi="Times New Roman"/>
          <w:iCs/>
          <w:sz w:val="24"/>
          <w:szCs w:val="24"/>
        </w:rPr>
        <w:t xml:space="preserve">Dis Colon Rectum </w:t>
      </w:r>
      <w:r w:rsidRPr="007A63F3">
        <w:rPr>
          <w:rFonts w:ascii="Times New Roman" w:hAnsi="Times New Roman"/>
          <w:sz w:val="24"/>
          <w:szCs w:val="24"/>
        </w:rPr>
        <w:t>2009; 52: 446-451.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lastRenderedPageBreak/>
        <w:t xml:space="preserve">Ay C, Vormittag R, Dunkler D, et al. D-dimer and prothrombin fragment 1+ 2 predict venous thromboembolism in patients with cancer: results from the Vienna Cancer and Thrombosis Study. </w:t>
      </w:r>
      <w:r w:rsidRPr="007A63F3">
        <w:rPr>
          <w:rFonts w:ascii="Times New Roman" w:hAnsi="Times New Roman"/>
          <w:iCs/>
          <w:sz w:val="24"/>
          <w:szCs w:val="24"/>
        </w:rPr>
        <w:t xml:space="preserve">J Clin Oncol. </w:t>
      </w:r>
      <w:r w:rsidRPr="007A63F3">
        <w:rPr>
          <w:rFonts w:ascii="Times New Roman" w:hAnsi="Times New Roman"/>
          <w:sz w:val="24"/>
          <w:szCs w:val="24"/>
        </w:rPr>
        <w:t>2009; 27: 4124-4129.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Khorana AA, Francis CW, Menzies KE et al. Plasma tissue factor may be predictive of venous thromboembolism in pancreatic cancer. J Thromb Haemost. 2008; 6: 1983-1895.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Thaler J, Ay C, Mackman N, et al. Microparticles-associated tissue factor activity and occurrence of venous thromboembolism in brain, gastrointestinal and pancreatic cancer. J Thromb Haemost. 2012; 10: 1363-1370.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noProof/>
          <w:sz w:val="24"/>
          <w:szCs w:val="24"/>
          <w:lang w:val="nb-NO"/>
        </w:rPr>
        <w:t xml:space="preserve">Kahn SR, Lim W, Dunn A i wsp. </w:t>
      </w:r>
      <w:r w:rsidRPr="007A63F3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7A63F3">
        <w:rPr>
          <w:rFonts w:ascii="Times New Roman" w:hAnsi="Times New Roman"/>
          <w:sz w:val="24"/>
          <w:szCs w:val="24"/>
        </w:rPr>
        <w:t>Prevention of VTE in nonsurgical patients. Antithrombotic therapy and prevention of thrombosis, 9th ed: American College of Chest Physicians Evidence-Based Clinical Practice Guidelines. Chest 2012</w:t>
      </w:r>
      <w:r w:rsidRPr="007A63F3">
        <w:rPr>
          <w:rFonts w:ascii="Times New Roman" w:hAnsi="Times New Roman"/>
          <w:noProof/>
          <w:sz w:val="24"/>
          <w:szCs w:val="24"/>
        </w:rPr>
        <w:t>;141:S195-226.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Lyman GH,  Khorana AA, Kuderer NM, et al. Venous thromboembolism prophylaxis and treatment in patients with cancer: American Society of Clinical Oncology Clinical Practice Guideline Update. J Clin Oncol. 2013.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Farge D, Debourdeaux B, Beckers M, et al. International clinical practice guidelines for the treatment and prophylaxis of thromboembolism in patients with cancer. J Thromb Haemost. 2013; 11: 56-70. 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noProof/>
          <w:sz w:val="24"/>
          <w:szCs w:val="24"/>
          <w:lang w:val="da-DK"/>
        </w:rPr>
        <w:t xml:space="preserve">Di Nisio M, Porreca E, Ferrante N, et al. </w:t>
      </w:r>
      <w:r w:rsidRPr="007A63F3">
        <w:rPr>
          <w:rFonts w:ascii="Times New Roman" w:hAnsi="Times New Roman"/>
          <w:sz w:val="24"/>
          <w:szCs w:val="24"/>
        </w:rPr>
        <w:t xml:space="preserve">Primary prophylaxis for venous thromboembolism in ambulatory cancer patients receiving chemotherapy. </w:t>
      </w:r>
      <w:hyperlink r:id="rId10" w:history="1">
        <w:r w:rsidRPr="007A63F3">
          <w:rPr>
            <w:rStyle w:val="Hipercze"/>
            <w:rFonts w:ascii="Times New Roman" w:hAnsi="Times New Roman"/>
            <w:sz w:val="24"/>
            <w:szCs w:val="24"/>
          </w:rPr>
          <w:t>Cochrane database of systematic reviews.</w:t>
        </w:r>
      </w:hyperlink>
      <w:r w:rsidRPr="007A63F3">
        <w:rPr>
          <w:rFonts w:ascii="Times New Roman" w:hAnsi="Times New Roman"/>
          <w:sz w:val="24"/>
          <w:szCs w:val="24"/>
        </w:rPr>
        <w:t xml:space="preserve"> 01/2012; 2:CD008500. DOI:10.1002/14651858. CD008500.pub2.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Agnelli G, George DJ, Kakkar AK, et al. Semuloparin for thromboprophylaxis in patients receiving chemotherapy for cancer. N Eng J Med. 2012; 366: 601-609.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Debourdeaux B, Farge D, Beckers M, et al. International clinical practice guidelines for the treatment and prophylaxis of thrombosis associated with central venous catheters in patients with cancer. J Thromb Haemost. 2013; 11: 71-80.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 xml:space="preserve">Hutten BA, Prins MH, Gent M, et al. Incidence of recurrent thromboembolic and bleeding complications among patients with venous thromboembolism in relation to both malignancy and achieved international normalized ratio: a retrospective analysis. J Clin Oncol. 2000; 18: 3078-3083. </w:t>
      </w:r>
    </w:p>
    <w:p w:rsidR="007A63F3" w:rsidRPr="007A63F3" w:rsidRDefault="007A63F3" w:rsidP="007A63F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3F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Prandoni P, Lensing AG, Piccioli A, </w:t>
      </w:r>
      <w:r w:rsidRPr="007A63F3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Pr="007A63F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63F3">
        <w:rPr>
          <w:rFonts w:ascii="Times New Roman" w:hAnsi="Times New Roman" w:cs="Times New Roman"/>
          <w:sz w:val="24"/>
          <w:szCs w:val="24"/>
          <w:lang w:val="en-US"/>
        </w:rPr>
        <w:t>Recurrent venous thromboembolism and bleeding complications during anticoagulant treatment in patients with cancer and venous thrombosis. Blood 2002; 100: 3484-3488.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bCs/>
          <w:sz w:val="24"/>
          <w:szCs w:val="24"/>
        </w:rPr>
        <w:t xml:space="preserve">Louzada ML. Predicting venous thromboembolism recurrence risk in patients with cancer. A validation study. </w:t>
      </w:r>
      <w:r w:rsidRPr="007A63F3">
        <w:rPr>
          <w:rFonts w:ascii="Times New Roman" w:hAnsi="Times New Roman"/>
          <w:sz w:val="24"/>
          <w:szCs w:val="24"/>
        </w:rPr>
        <w:t xml:space="preserve">Blood (ASH Annual Meeting Abstracts) 2012; 120: 394. </w:t>
      </w:r>
    </w:p>
    <w:p w:rsidR="007A63F3" w:rsidRPr="007A63F3" w:rsidRDefault="007A63F3" w:rsidP="007A63F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3F3">
        <w:rPr>
          <w:rFonts w:ascii="Times New Roman" w:hAnsi="Times New Roman" w:cs="Times New Roman"/>
          <w:sz w:val="24"/>
          <w:szCs w:val="24"/>
          <w:lang w:val="en-US"/>
        </w:rPr>
        <w:t xml:space="preserve">Hull RD, Pineo GF, Brant RF, et al. Long-term low-molecular-weight heparin versus usual care in proximal-vein thrombosis patients with cancer. Am J Med. 2006; 119: 1062-1072. </w:t>
      </w:r>
    </w:p>
    <w:p w:rsidR="007A63F3" w:rsidRPr="007A63F3" w:rsidRDefault="007A63F3" w:rsidP="007A63F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3F3">
        <w:rPr>
          <w:rFonts w:ascii="Times New Roman" w:hAnsi="Times New Roman" w:cs="Times New Roman"/>
          <w:sz w:val="24"/>
          <w:szCs w:val="24"/>
          <w:lang w:val="en-US"/>
        </w:rPr>
        <w:t xml:space="preserve">Meyer G, Marjanovic Z, Valcke J, et al. Comparison of low-molecular-weight heparin and warfarin for the secondary prevention of venous thromboembolism in patients with cancer: a randomized controlled study. Arch Int Med. 2002; 162: 1729-1735. </w:t>
      </w:r>
    </w:p>
    <w:p w:rsidR="007A63F3" w:rsidRPr="007A63F3" w:rsidRDefault="007A63F3" w:rsidP="007A63F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3F3">
        <w:rPr>
          <w:rFonts w:ascii="Times New Roman" w:hAnsi="Times New Roman" w:cs="Times New Roman"/>
          <w:sz w:val="24"/>
          <w:szCs w:val="24"/>
          <w:lang w:val="de-DE"/>
        </w:rPr>
        <w:t xml:space="preserve">Deitcher SR, Kessler CM, Merli G, </w:t>
      </w:r>
      <w:r w:rsidRPr="007A63F3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Pr="007A63F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7A63F3">
        <w:rPr>
          <w:rFonts w:ascii="Times New Roman" w:hAnsi="Times New Roman" w:cs="Times New Roman"/>
          <w:sz w:val="24"/>
          <w:szCs w:val="24"/>
          <w:lang w:val="en-US"/>
        </w:rPr>
        <w:t>Secondary prevention of venous thromboembolic events in patients with active cancer: enoxaparin alone versus initial enoxaparin followed by warfarin for a 180-day period. Clin Applied Thromb Hemost. 2006; 12: 389-396.</w:t>
      </w:r>
    </w:p>
    <w:p w:rsidR="007A63F3" w:rsidRPr="007A63F3" w:rsidRDefault="007A63F3" w:rsidP="007A63F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3F3">
        <w:rPr>
          <w:rFonts w:ascii="Times New Roman" w:hAnsi="Times New Roman" w:cs="Times New Roman"/>
          <w:sz w:val="24"/>
          <w:szCs w:val="24"/>
          <w:lang w:val="en-US"/>
        </w:rPr>
        <w:t xml:space="preserve"> Schulman S, Kearon C, Kakkar AK, et al. Dabigatran versus warfarin in the treatment of acute venous thromboembolism. </w:t>
      </w:r>
      <w:r w:rsidRPr="007A63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Engl J Med. </w:t>
      </w:r>
      <w:r w:rsidRPr="007A63F3">
        <w:rPr>
          <w:rFonts w:ascii="Times New Roman" w:hAnsi="Times New Roman" w:cs="Times New Roman"/>
          <w:sz w:val="24"/>
          <w:szCs w:val="24"/>
          <w:lang w:val="en-US"/>
        </w:rPr>
        <w:t>2009; 361: 2342-2352.</w:t>
      </w:r>
    </w:p>
    <w:p w:rsidR="007A63F3" w:rsidRPr="007A63F3" w:rsidRDefault="007A63F3" w:rsidP="007A63F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3F3">
        <w:rPr>
          <w:rFonts w:ascii="Times New Roman" w:hAnsi="Times New Roman" w:cs="Times New Roman"/>
          <w:sz w:val="24"/>
          <w:szCs w:val="24"/>
          <w:lang w:val="en-US"/>
        </w:rPr>
        <w:t xml:space="preserve">Büller HR, Prins MH, Lensin AW, et al; EINSTEIN-PE Investigators. Oral rivaroxaban for the treatment of symptomatic pulmonary embolism. </w:t>
      </w:r>
      <w:r w:rsidRPr="007A63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Engl J Med. </w:t>
      </w:r>
      <w:r w:rsidRPr="007A63F3">
        <w:rPr>
          <w:rFonts w:ascii="Times New Roman" w:hAnsi="Times New Roman" w:cs="Times New Roman"/>
          <w:sz w:val="24"/>
          <w:szCs w:val="24"/>
          <w:lang w:val="en-US"/>
        </w:rPr>
        <w:t>2012; 366: 1287-1297.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Cohen AT, Spiro TE, Büller HR, et al.  Rivaroxaban for thromboprophylaxis in acutely ill medical patients.  N Engl J Med. 2013; 368: 513–523.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Van der Hulle T, den Exter PL, Kooiman J, et al. Meta-analysis of efficacy and safety of new oral anticoagulants in patients with cancer-associated acute venous thromboembolism. J Thromb Haemost. 2014; 12: 1116-1120.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bCs/>
          <w:sz w:val="24"/>
          <w:szCs w:val="24"/>
        </w:rPr>
        <w:t xml:space="preserve">Short NJ, Connors JM. </w:t>
      </w:r>
      <w:r w:rsidRPr="007A63F3">
        <w:rPr>
          <w:rFonts w:ascii="Times New Roman" w:hAnsi="Times New Roman"/>
          <w:sz w:val="24"/>
          <w:szCs w:val="24"/>
        </w:rPr>
        <w:t xml:space="preserve">New oral anticoagulants and the cancer patient. </w:t>
      </w:r>
      <w:r w:rsidRPr="007A63F3">
        <w:rPr>
          <w:rFonts w:ascii="Times New Roman" w:hAnsi="Times New Roman"/>
          <w:bCs/>
          <w:sz w:val="24"/>
          <w:szCs w:val="24"/>
        </w:rPr>
        <w:t>The Oncologist 2014; 19: 82-93.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Prandoni P, Casiglia E, Tikhonoff V, et al. Calisto Investigators. The risk of subsequent cancer and arterial cardiovascular events in patients with superficial vein thrombosis in the legs. Blood 2011; 118: 4719-4722.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Sørensen HT, Sværke C, Farkas DK, et al. Superficial and deep venous thrombosis, pulmonary embolism and subsequent risk of cancer. Eur J Cancer 2012; 48: 586-593.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lastRenderedPageBreak/>
        <w:t xml:space="preserve">Murchison </w:t>
      </w:r>
      <w:r w:rsidRPr="007A63F3">
        <w:rPr>
          <w:rFonts w:ascii="Times New Roman" w:hAnsi="Times New Roman"/>
          <w:color w:val="000000"/>
          <w:sz w:val="24"/>
          <w:szCs w:val="24"/>
          <w:lang w:val="en"/>
        </w:rPr>
        <w:t>JT</w:t>
      </w:r>
      <w:hyperlink r:id="rId11" w:anchor="aff1" w:tooltip="affiliated with 1" w:history="1"/>
      <w:r w:rsidRPr="007A63F3"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 </w:t>
      </w:r>
      <w:r w:rsidRPr="007A63F3">
        <w:rPr>
          <w:rFonts w:ascii="Times New Roman" w:hAnsi="Times New Roman"/>
          <w:color w:val="000000"/>
          <w:sz w:val="24"/>
          <w:szCs w:val="24"/>
          <w:lang w:val="en"/>
        </w:rPr>
        <w:t>, Wylie</w:t>
      </w:r>
      <w:r w:rsidRPr="007A63F3"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 </w:t>
      </w:r>
      <w:r w:rsidRPr="007A63F3">
        <w:rPr>
          <w:rFonts w:ascii="Times New Roman" w:hAnsi="Times New Roman"/>
          <w:color w:val="000000"/>
          <w:sz w:val="24"/>
          <w:szCs w:val="24"/>
          <w:lang w:val="en"/>
        </w:rPr>
        <w:t>L, Stockton DL. Excess risk of cancer in patients with primary venous thromboembolism: a national, population-based cohort study.</w:t>
      </w:r>
      <w:r w:rsidRPr="007A63F3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7A63F3">
        <w:rPr>
          <w:rFonts w:ascii="Times New Roman" w:eastAsiaTheme="minorEastAsia" w:hAnsi="Times New Roman"/>
          <w:bCs/>
          <w:sz w:val="24"/>
          <w:szCs w:val="24"/>
        </w:rPr>
        <w:t>Br J Cancer 2004; 91:92-95.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Times New Roman" w:eastAsiaTheme="minorHAnsi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Carrier M, Le Gal G, Wells PS, et al. Systematic review: the Trousseau syndrome revisited: should we screen extensively for cancer in patients with venous thromboembolism? Ann Intern Med. 2008; 149: 323-333.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Van Doormaal FF, Terpstra W, Van Der Griend R, et al. Is extensive screening for cancer in idiopathic venous thromboembolism warranted? J Thromb Haemost. 2011;9: 79-84.</w:t>
      </w:r>
    </w:p>
    <w:p w:rsidR="007A63F3" w:rsidRPr="007A63F3" w:rsidRDefault="007A63F3" w:rsidP="007A63F3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7A63F3">
        <w:rPr>
          <w:rFonts w:ascii="Times New Roman" w:hAnsi="Times New Roman"/>
          <w:sz w:val="24"/>
          <w:szCs w:val="24"/>
        </w:rPr>
        <w:t>Piccioli A, Lensing AW, Prins MH, et al; SOMIT Investigators Group. Extensive screening for occult malignant disease in idiopathic venous thromboembolism: a prospective randomized clinical trial. J Thromb Haemost. 2004; 2: 884-889.</w:t>
      </w:r>
    </w:p>
    <w:p w:rsidR="007A63F3" w:rsidRDefault="007A63F3" w:rsidP="007A63F3">
      <w:pPr>
        <w:autoSpaceDE w:val="0"/>
        <w:autoSpaceDN w:val="0"/>
        <w:adjustRightInd w:val="0"/>
        <w:rPr>
          <w:lang w:val="en-US"/>
        </w:rPr>
      </w:pPr>
    </w:p>
    <w:p w:rsidR="007A63F3" w:rsidRDefault="007A63F3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</w:t>
      </w:r>
      <w:r w:rsidRPr="000D1D58">
        <w:rPr>
          <w:rFonts w:ascii="Times New Roman" w:hAnsi="Times New Roman" w:cs="Times New Roman"/>
          <w:sz w:val="24"/>
          <w:szCs w:val="24"/>
        </w:rPr>
        <w:t xml:space="preserve"> 1. Skala ryzyka powikłań zakrzepowych u pacjentów </w:t>
      </w:r>
      <w:r>
        <w:rPr>
          <w:rFonts w:ascii="Times New Roman" w:hAnsi="Times New Roman" w:cs="Times New Roman"/>
          <w:sz w:val="24"/>
          <w:szCs w:val="24"/>
        </w:rPr>
        <w:t>rozpoczynających</w:t>
      </w:r>
    </w:p>
    <w:p w:rsidR="001A2ABF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ambulatoryjną chemioterapię</w:t>
      </w:r>
      <w:r w:rsidRPr="000D1D58">
        <w:rPr>
          <w:rFonts w:ascii="Times New Roman" w:hAnsi="Times New Roman" w:cs="Times New Roman"/>
          <w:sz w:val="24"/>
          <w:szCs w:val="24"/>
        </w:rPr>
        <w:t xml:space="preserve"> z pow</w:t>
      </w:r>
      <w:r>
        <w:rPr>
          <w:rFonts w:ascii="Times New Roman" w:hAnsi="Times New Roman" w:cs="Times New Roman"/>
          <w:sz w:val="24"/>
          <w:szCs w:val="24"/>
        </w:rPr>
        <w:t xml:space="preserve">odu choroby nowotworowej - </w:t>
      </w:r>
      <w:r w:rsidRPr="000D1D58">
        <w:rPr>
          <w:rFonts w:ascii="Times New Roman" w:hAnsi="Times New Roman" w:cs="Times New Roman"/>
          <w:sz w:val="24"/>
          <w:szCs w:val="24"/>
        </w:rPr>
        <w:t>wg</w:t>
      </w:r>
      <w:r>
        <w:rPr>
          <w:rFonts w:ascii="Times New Roman" w:hAnsi="Times New Roman" w:cs="Times New Roman"/>
          <w:sz w:val="24"/>
          <w:szCs w:val="24"/>
        </w:rPr>
        <w:t xml:space="preserve"> Khorana (19</w:t>
      </w:r>
      <w:r w:rsidRPr="000D1D58">
        <w:rPr>
          <w:rFonts w:ascii="Times New Roman" w:hAnsi="Times New Roman" w:cs="Times New Roman"/>
          <w:sz w:val="24"/>
          <w:szCs w:val="24"/>
        </w:rPr>
        <w:t>)</w:t>
      </w:r>
    </w:p>
    <w:p w:rsidR="001A2ABF" w:rsidRPr="007B4580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4580">
        <w:rPr>
          <w:rFonts w:ascii="Times New Roman" w:hAnsi="Times New Roman" w:cs="Times New Roman"/>
          <w:sz w:val="24"/>
          <w:szCs w:val="24"/>
          <w:lang w:val="en-US"/>
        </w:rPr>
        <w:t xml:space="preserve">Tab.1. The venous thromboembolism </w:t>
      </w:r>
      <w:r w:rsidR="00606BCC">
        <w:rPr>
          <w:rFonts w:ascii="Times New Roman" w:hAnsi="Times New Roman" w:cs="Times New Roman"/>
          <w:sz w:val="24"/>
          <w:szCs w:val="24"/>
          <w:lang w:val="en-US"/>
        </w:rPr>
        <w:t xml:space="preserve">Khorana </w:t>
      </w:r>
      <w:r w:rsidRPr="007B4580">
        <w:rPr>
          <w:rFonts w:ascii="Times New Roman" w:hAnsi="Times New Roman" w:cs="Times New Roman"/>
          <w:sz w:val="24"/>
          <w:szCs w:val="24"/>
          <w:lang w:val="en-US"/>
        </w:rPr>
        <w:t xml:space="preserve">risk score model for </w:t>
      </w:r>
      <w:r>
        <w:rPr>
          <w:rFonts w:ascii="Times New Roman" w:hAnsi="Times New Roman" w:cs="Times New Roman"/>
          <w:sz w:val="24"/>
          <w:szCs w:val="24"/>
          <w:lang w:val="en-US"/>
        </w:rPr>
        <w:t>ambulatory cancer patients initiating chemotherapy</w:t>
      </w:r>
      <w:r w:rsidR="00606BCC">
        <w:rPr>
          <w:rFonts w:ascii="Times New Roman" w:hAnsi="Times New Roman" w:cs="Times New Roman"/>
          <w:sz w:val="24"/>
          <w:szCs w:val="24"/>
          <w:lang w:val="en-US"/>
        </w:rPr>
        <w:t xml:space="preserve"> (19)</w:t>
      </w:r>
    </w:p>
    <w:p w:rsidR="001A2ABF" w:rsidRPr="007B4580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page" w:horzAnchor="margin" w:tblpY="3877"/>
        <w:tblW w:w="0" w:type="auto"/>
        <w:tblLook w:val="04A0" w:firstRow="1" w:lastRow="0" w:firstColumn="1" w:lastColumn="0" w:noHBand="0" w:noVBand="1"/>
      </w:tblPr>
      <w:tblGrid>
        <w:gridCol w:w="7086"/>
        <w:gridCol w:w="1728"/>
      </w:tblGrid>
      <w:tr w:rsidR="001A2ABF" w:rsidRPr="000D1D58" w:rsidTr="00F20F2A">
        <w:trPr>
          <w:trHeight w:val="841"/>
        </w:trPr>
        <w:tc>
          <w:tcPr>
            <w:tcW w:w="7086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Charakterystyka pacjenta</w:t>
            </w:r>
          </w:p>
        </w:tc>
        <w:tc>
          <w:tcPr>
            <w:tcW w:w="1728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1A2ABF" w:rsidRPr="000D1D58" w:rsidTr="00F20F2A">
        <w:trPr>
          <w:trHeight w:val="1850"/>
        </w:trPr>
        <w:tc>
          <w:tcPr>
            <w:tcW w:w="7086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</w:t>
            </w: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okalizacja nowotworu</w:t>
            </w: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      Bardzo duże ryzyko (żołądek, trzustka)</w:t>
            </w: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      Duże ryzyko (płuca, chłoniaki, narządy rodne,</w:t>
            </w: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       pęcherz moczowy)</w:t>
            </w:r>
          </w:p>
        </w:tc>
        <w:tc>
          <w:tcPr>
            <w:tcW w:w="1728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2ABF" w:rsidRPr="000D1D58" w:rsidRDefault="001A2ABF" w:rsidP="00606BC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ABF" w:rsidRPr="000D1D58" w:rsidTr="00F20F2A">
        <w:trPr>
          <w:trHeight w:val="1000"/>
        </w:trPr>
        <w:tc>
          <w:tcPr>
            <w:tcW w:w="7086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</w:t>
            </w: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czba płytek krwi przed chemioterapią</w:t>
            </w: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      ≥350 000/mm</w:t>
            </w:r>
            <w:r w:rsidRPr="00E664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8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A2ABF" w:rsidRPr="000D1D58" w:rsidTr="00F20F2A">
        <w:trPr>
          <w:trHeight w:val="728"/>
        </w:trPr>
        <w:tc>
          <w:tcPr>
            <w:tcW w:w="7086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</w:t>
            </w: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czba leukocytów przed chemioterapią &gt;11 000/mm</w:t>
            </w:r>
            <w:r w:rsidRPr="000D1D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8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ABF" w:rsidRPr="000D1D58" w:rsidTr="00F20F2A">
        <w:tc>
          <w:tcPr>
            <w:tcW w:w="7086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ężenie hemoglobiny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 chemioterapią </w:t>
            </w: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 xml:space="preserve">&lt;10 g/dl  </w:t>
            </w: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i/l lub planowane </w:t>
            </w: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stosowanie erytropoetyny</w:t>
            </w:r>
          </w:p>
        </w:tc>
        <w:tc>
          <w:tcPr>
            <w:tcW w:w="1728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ABF" w:rsidRPr="000D1D58" w:rsidTr="00F20F2A">
        <w:trPr>
          <w:trHeight w:val="640"/>
        </w:trPr>
        <w:tc>
          <w:tcPr>
            <w:tcW w:w="7086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</w:t>
            </w:r>
            <w:r w:rsidRPr="000D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 </w:t>
            </w:r>
            <w:r w:rsidRPr="00B228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(body mass index)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≥35 kg/m</w:t>
            </w:r>
            <w:r w:rsidRPr="000D1D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(</w:t>
            </w:r>
          </w:p>
        </w:tc>
        <w:tc>
          <w:tcPr>
            <w:tcW w:w="1728" w:type="dxa"/>
          </w:tcPr>
          <w:p w:rsidR="001A2ABF" w:rsidRPr="000D1D58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A2ABF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Ocena:</w:t>
      </w:r>
    </w:p>
    <w:p w:rsidR="001A2ABF" w:rsidRPr="000D1D58" w:rsidRDefault="001A2ABF" w:rsidP="00606BCC">
      <w:pPr>
        <w:spacing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606BC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t>0 punktów – ryzyko małe</w:t>
      </w:r>
    </w:p>
    <w:p w:rsidR="001A2ABF" w:rsidRPr="000D1D58" w:rsidRDefault="001A2ABF" w:rsidP="00606BCC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</w:t>
      </w:r>
      <w:r w:rsidRPr="000D1D58">
        <w:rPr>
          <w:rFonts w:ascii="Times New Roman" w:hAnsi="Times New Roman"/>
          <w:sz w:val="24"/>
          <w:szCs w:val="24"/>
          <w:lang w:val="pl-PL"/>
        </w:rPr>
        <w:t>1-2 punkty – ryzyko średnie</w:t>
      </w: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D1D58">
        <w:rPr>
          <w:rFonts w:ascii="Times New Roman" w:hAnsi="Times New Roman"/>
          <w:sz w:val="24"/>
          <w:szCs w:val="24"/>
        </w:rPr>
        <w:t>≥3 punkty – ryzyko duże</w:t>
      </w: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ABF" w:rsidRPr="000D1D58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ABF" w:rsidRPr="000D1D58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Pr="000D1D58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/>
    <w:p w:rsidR="001A2ABF" w:rsidRDefault="001A2ABF" w:rsidP="001A2ABF">
      <w:pPr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8D1F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Pr="0071600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6007">
        <w:rPr>
          <w:rFonts w:ascii="Times New Roman" w:hAnsi="Times New Roman" w:cs="Times New Roman"/>
          <w:sz w:val="24"/>
          <w:szCs w:val="24"/>
        </w:rPr>
        <w:t xml:space="preserve">Dawki </w:t>
      </w:r>
      <w:r>
        <w:rPr>
          <w:rFonts w:ascii="Times New Roman" w:hAnsi="Times New Roman" w:cs="Times New Roman"/>
          <w:sz w:val="24"/>
          <w:szCs w:val="24"/>
        </w:rPr>
        <w:t>heparyn drobnocząsteczkowych</w:t>
      </w:r>
      <w:r w:rsidRPr="0071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fondaparynuksu </w:t>
      </w:r>
      <w:r w:rsidRPr="00716007">
        <w:rPr>
          <w:rFonts w:ascii="Times New Roman" w:hAnsi="Times New Roman" w:cs="Times New Roman"/>
          <w:sz w:val="24"/>
          <w:szCs w:val="24"/>
        </w:rPr>
        <w:t>stosowane w leczeniu początkowym zakrzepicy żył głębokich i zatorowości płucnej niewysokiego ryzyka</w:t>
      </w:r>
    </w:p>
    <w:p w:rsidR="001A2ABF" w:rsidRPr="00721D75" w:rsidRDefault="001A2ABF" w:rsidP="008D1F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1D75">
        <w:rPr>
          <w:rFonts w:ascii="Times New Roman" w:hAnsi="Times New Roman" w:cs="Times New Roman"/>
          <w:sz w:val="24"/>
          <w:szCs w:val="24"/>
          <w:lang w:val="en-US"/>
        </w:rPr>
        <w:t>Tab. 2. Treatment of acute deep vein thrombosis and low-risk pulmonary embolism with low-molecular-weight heparin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fondaparinux</w:t>
      </w:r>
    </w:p>
    <w:tbl>
      <w:tblPr>
        <w:tblpPr w:leftFromText="141" w:rightFromText="141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722"/>
      </w:tblGrid>
      <w:tr w:rsidR="001A2ABF" w:rsidRPr="00716007" w:rsidTr="00F20F2A"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Rodzaj  leku</w:t>
            </w:r>
          </w:p>
        </w:tc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Dawki lecznicze</w:t>
            </w:r>
          </w:p>
        </w:tc>
      </w:tr>
      <w:tr w:rsidR="001A2ABF" w:rsidRPr="00716007" w:rsidTr="00F20F2A"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Dalteparyna</w:t>
            </w:r>
          </w:p>
        </w:tc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100 j.m./kg co 12 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</w:p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200 j.m./kg co 24 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</w:p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(pojedyncza dawka maks. 18 000 j.m.)</w:t>
            </w:r>
          </w:p>
        </w:tc>
      </w:tr>
      <w:tr w:rsidR="001A2ABF" w:rsidRPr="00716007" w:rsidTr="00F20F2A"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Enoksaparyna</w:t>
            </w:r>
          </w:p>
        </w:tc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1 mg/kg co 12 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</w:p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1,5 mg/kg co 24 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</w:p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(pojedyncza dawka maks. 180 mg)</w:t>
            </w:r>
          </w:p>
        </w:tc>
      </w:tr>
      <w:tr w:rsidR="001A2ABF" w:rsidRPr="00716007" w:rsidTr="00F20F2A"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Nadroparyna</w:t>
            </w:r>
          </w:p>
        </w:tc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86 j.m./kg co 12 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</w:p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171 j.m./kg co 24 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</w:p>
        </w:tc>
      </w:tr>
      <w:tr w:rsidR="001A2ABF" w:rsidRPr="00716007" w:rsidTr="00F20F2A"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Heparyna niefrakcjonowana</w:t>
            </w:r>
          </w:p>
        </w:tc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Bolus  80 j.m./kg, nast. 18 j.m./kg/h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i.v</w:t>
            </w:r>
          </w:p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(modyfikacja dawki w zależności od APTT: 1,5 – 2,5 wartości kontrolnej).</w:t>
            </w:r>
          </w:p>
        </w:tc>
      </w:tr>
      <w:tr w:rsidR="001A2ABF" w:rsidRPr="00716007" w:rsidTr="00F20F2A"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Fondaparynuks</w:t>
            </w:r>
          </w:p>
        </w:tc>
        <w:tc>
          <w:tcPr>
            <w:tcW w:w="0" w:type="auto"/>
          </w:tcPr>
          <w:p w:rsidR="001A2ABF" w:rsidRPr="00716007" w:rsidRDefault="001A2ABF" w:rsidP="00F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Dawka zależna od masy ciała: &lt;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716007">
                <w:rPr>
                  <w:rFonts w:ascii="Times New Roman" w:hAnsi="Times New Roman" w:cs="Times New Roman"/>
                  <w:sz w:val="24"/>
                  <w:szCs w:val="24"/>
                </w:rPr>
                <w:t>50 kg</w:t>
              </w:r>
            </w:smartTag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 – 5,0 mg, 50–100 kg – 7,5 mg, &gt;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16007">
                <w:rPr>
                  <w:rFonts w:ascii="Times New Roman" w:hAnsi="Times New Roman" w:cs="Times New Roman"/>
                  <w:sz w:val="24"/>
                  <w:szCs w:val="24"/>
                </w:rPr>
                <w:t>100 kg</w:t>
              </w:r>
            </w:smartTag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 – 10 mg. </w:t>
            </w:r>
            <w:r w:rsidRPr="00716007">
              <w:rPr>
                <w:rFonts w:ascii="Times New Roman" w:hAnsi="Times New Roman" w:cs="Times New Roman"/>
                <w:i/>
                <w:sz w:val="24"/>
                <w:szCs w:val="24"/>
              </w:rPr>
              <w:t>s.c.</w:t>
            </w: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 xml:space="preserve"> co 24h </w:t>
            </w:r>
          </w:p>
        </w:tc>
      </w:tr>
    </w:tbl>
    <w:p w:rsidR="001A2ABF" w:rsidRPr="000B6314" w:rsidRDefault="001A2ABF" w:rsidP="001A2ABF">
      <w:pPr>
        <w:rPr>
          <w:rFonts w:ascii="Times New Roman" w:hAnsi="Times New Roman" w:cs="Times New Roman"/>
          <w:sz w:val="24"/>
          <w:szCs w:val="24"/>
        </w:rPr>
      </w:pPr>
    </w:p>
    <w:p w:rsidR="001A2ABF" w:rsidRPr="000B6314" w:rsidRDefault="001A2ABF" w:rsidP="001A2ABF">
      <w:pPr>
        <w:rPr>
          <w:rFonts w:ascii="Times New Roman" w:hAnsi="Times New Roman" w:cs="Times New Roman"/>
          <w:sz w:val="24"/>
          <w:szCs w:val="24"/>
        </w:rPr>
      </w:pPr>
    </w:p>
    <w:p w:rsidR="001A2ABF" w:rsidRPr="00716007" w:rsidRDefault="001A2ABF" w:rsidP="001A2ABF">
      <w:pPr>
        <w:autoSpaceDE w:val="0"/>
        <w:autoSpaceDN w:val="0"/>
        <w:adjustRightInd w:val="0"/>
        <w:spacing w:after="0" w:line="240" w:lineRule="auto"/>
        <w:rPr>
          <w:rFonts w:ascii="Times New Roman" w:eastAsia="FrutigerNextLTW1G-BoldCn" w:hAnsi="Times New Roman" w:cs="Times New Roman"/>
          <w:b/>
          <w:bCs/>
          <w:sz w:val="24"/>
          <w:szCs w:val="24"/>
        </w:rPr>
      </w:pPr>
    </w:p>
    <w:p w:rsidR="001A2ABF" w:rsidRPr="00716007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BCC" w:rsidRDefault="00606BCC" w:rsidP="001A2ABF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606BCC" w:rsidRDefault="00606BCC" w:rsidP="00123494">
      <w:pPr>
        <w:rPr>
          <w:rFonts w:ascii="Times New Roman" w:hAnsi="Times New Roman" w:cs="Times New Roman"/>
          <w:sz w:val="24"/>
          <w:szCs w:val="24"/>
        </w:rPr>
      </w:pPr>
    </w:p>
    <w:p w:rsidR="00123494" w:rsidRDefault="00123494" w:rsidP="00123494">
      <w:pPr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8D1F5B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16007">
        <w:rPr>
          <w:rFonts w:ascii="Times New Roman" w:hAnsi="Times New Roman" w:cs="Times New Roman"/>
          <w:sz w:val="24"/>
          <w:szCs w:val="24"/>
        </w:rPr>
        <w:lastRenderedPageBreak/>
        <w:t>Tab</w:t>
      </w: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Pr="007160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6007">
        <w:rPr>
          <w:rFonts w:ascii="Times New Roman" w:hAnsi="Times New Roman" w:cs="Times New Roman"/>
          <w:sz w:val="24"/>
          <w:szCs w:val="24"/>
        </w:rPr>
        <w:t>Dawkowanie leków fibrynolitycznych stosowanych w zatorowości płucnej wysokiego ryzyka i w wybranych przypadkach rozległej proksymalnej zakrzepicy żył głębokich</w:t>
      </w:r>
    </w:p>
    <w:p w:rsidR="001A2ABF" w:rsidRPr="00D13C65" w:rsidRDefault="001A2ABF" w:rsidP="008D1F5B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D13C65">
        <w:rPr>
          <w:rFonts w:ascii="Times New Roman" w:hAnsi="Times New Roman" w:cs="Times New Roman"/>
          <w:sz w:val="24"/>
          <w:szCs w:val="24"/>
          <w:lang w:val="en-US"/>
        </w:rPr>
        <w:t xml:space="preserve">Tab.3. </w:t>
      </w:r>
      <w:r>
        <w:rPr>
          <w:rFonts w:ascii="Times New Roman" w:hAnsi="Times New Roman" w:cs="Times New Roman"/>
          <w:sz w:val="24"/>
          <w:szCs w:val="24"/>
          <w:lang w:val="en-US"/>
        </w:rPr>
        <w:t>The f</w:t>
      </w:r>
      <w:r w:rsidRPr="00D13C65">
        <w:rPr>
          <w:rFonts w:ascii="Times New Roman" w:hAnsi="Times New Roman" w:cs="Times New Roman"/>
          <w:sz w:val="24"/>
          <w:szCs w:val="24"/>
          <w:lang w:val="en-US"/>
        </w:rPr>
        <w:t xml:space="preserve">ibrinolytic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agents’ dosage in the </w:t>
      </w:r>
      <w:r w:rsidRPr="00D13C65">
        <w:rPr>
          <w:rFonts w:ascii="Times New Roman" w:hAnsi="Times New Roman" w:cs="Times New Roman"/>
          <w:sz w:val="24"/>
          <w:szCs w:val="24"/>
          <w:lang w:val="en-US"/>
        </w:rPr>
        <w:t xml:space="preserve">treatment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high-risk pulmonary embolism or selective cases of </w:t>
      </w:r>
      <w:r w:rsidRPr="00D13C65">
        <w:rPr>
          <w:rFonts w:ascii="Times New Roman" w:hAnsi="Times New Roman" w:cs="Times New Roman"/>
          <w:sz w:val="24"/>
          <w:szCs w:val="24"/>
          <w:lang w:val="en-US"/>
        </w:rPr>
        <w:t xml:space="preserve">proximal deep vein thrombosis </w:t>
      </w:r>
    </w:p>
    <w:p w:rsidR="001A2ABF" w:rsidRPr="00D13C65" w:rsidRDefault="001A2ABF" w:rsidP="0012349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452"/>
        <w:gridCol w:w="2793"/>
      </w:tblGrid>
      <w:tr w:rsidR="001A2ABF" w:rsidRPr="00716007" w:rsidTr="00F20F2A">
        <w:tc>
          <w:tcPr>
            <w:tcW w:w="1985" w:type="dxa"/>
          </w:tcPr>
          <w:p w:rsidR="001A2ABF" w:rsidRPr="00716007" w:rsidRDefault="001A2ABF" w:rsidP="00F2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</w:p>
        </w:tc>
        <w:tc>
          <w:tcPr>
            <w:tcW w:w="2552" w:type="dxa"/>
          </w:tcPr>
          <w:p w:rsidR="001A2ABF" w:rsidRPr="00716007" w:rsidRDefault="001A2ABF" w:rsidP="00F20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Schemat 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przyspieszony</w:t>
            </w:r>
          </w:p>
          <w:p w:rsidR="001A2ABF" w:rsidRDefault="001A2ABF" w:rsidP="00F20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2ABF" w:rsidRPr="00716007" w:rsidRDefault="001A2ABF" w:rsidP="00F20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(leki podawane </w:t>
            </w:r>
            <w:r w:rsidRPr="00716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i.v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452" w:type="dxa"/>
          </w:tcPr>
          <w:p w:rsidR="001A2ABF" w:rsidRPr="00716007" w:rsidRDefault="001A2ABF" w:rsidP="00F20F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Schemat 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standardowy</w:t>
            </w:r>
          </w:p>
          <w:p w:rsidR="001A2ABF" w:rsidRPr="00716007" w:rsidRDefault="001A2ABF" w:rsidP="00F20F2A">
            <w:pPr>
              <w:spacing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(leki podawane </w:t>
            </w:r>
            <w:r w:rsidRPr="00716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i.v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793" w:type="dxa"/>
          </w:tcPr>
          <w:p w:rsidR="001A2ABF" w:rsidRPr="00716007" w:rsidRDefault="001A2ABF" w:rsidP="00F20F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alsze leczenie:</w:t>
            </w:r>
          </w:p>
          <w:p w:rsidR="001A2ABF" w:rsidRPr="00716007" w:rsidRDefault="001A2ABF" w:rsidP="00F20F2A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Heparyna 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niefrakcjonowana</w:t>
            </w:r>
          </w:p>
          <w:p w:rsidR="001A2ABF" w:rsidRPr="00716007" w:rsidRDefault="001A2ABF" w:rsidP="00F20F2A">
            <w:pPr>
              <w:spacing w:after="0"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(UFH)</w:t>
            </w:r>
            <w:r w:rsidRPr="00144AF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podawana </w:t>
            </w:r>
            <w:r w:rsidRPr="00716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i.v.</w:t>
            </w:r>
          </w:p>
        </w:tc>
      </w:tr>
      <w:tr w:rsidR="001A2ABF" w:rsidRPr="00716007" w:rsidTr="00F20F2A">
        <w:trPr>
          <w:trHeight w:val="1949"/>
        </w:trPr>
        <w:tc>
          <w:tcPr>
            <w:tcW w:w="1985" w:type="dxa"/>
          </w:tcPr>
          <w:p w:rsidR="001A2ABF" w:rsidRPr="001A2ABF" w:rsidRDefault="001A2ABF" w:rsidP="00F20F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F" w:rsidRPr="006E00E5" w:rsidRDefault="001A2ABF" w:rsidP="00F20F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0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Alteplaza</w:t>
            </w:r>
          </w:p>
          <w:p w:rsidR="001A2ABF" w:rsidRPr="006E00E5" w:rsidRDefault="001A2ABF" w:rsidP="00F2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0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(r-tPA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6E00E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###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1A2ABF" w:rsidRPr="002B5FD7" w:rsidRDefault="001A2ABF" w:rsidP="00F20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5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 mg/kg./15 min.</w:t>
            </w:r>
          </w:p>
          <w:p w:rsidR="001A2ABF" w:rsidRPr="002B5FD7" w:rsidRDefault="001A2ABF" w:rsidP="00F20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(maks. 50 mg)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1A2ABF" w:rsidRPr="00716007" w:rsidRDefault="001A2ABF" w:rsidP="00F20F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100 mg/ 2 h</w:t>
            </w:r>
          </w:p>
        </w:tc>
        <w:tc>
          <w:tcPr>
            <w:tcW w:w="2793" w:type="dxa"/>
          </w:tcPr>
          <w:p w:rsidR="001A2ABF" w:rsidRPr="00716007" w:rsidRDefault="001A2ABF" w:rsidP="00F20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UFH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bolus</w:t>
            </w:r>
            <w:r w:rsidRPr="007160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A2ABF" w:rsidRPr="00716007" w:rsidRDefault="001A2ABF" w:rsidP="00F20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80 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.m./kg, nast.18 j.m. j.m./kg/ h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A2ABF" w:rsidRPr="00716007" w:rsidRDefault="001A2ABF" w:rsidP="00F20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 kontrolą 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APTT</w:t>
            </w:r>
            <w:r w:rsidRPr="000770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##</w:t>
            </w:r>
            <w:r w:rsidRPr="0071600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2ABF" w:rsidRPr="00716007" w:rsidRDefault="008D1F5B" w:rsidP="008D1F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(1,5 </w:t>
            </w:r>
            <w:r w:rsidR="001A2ABF" w:rsidRPr="007160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F" w:rsidRPr="00716007">
              <w:rPr>
                <w:rFonts w:ascii="Times New Roman" w:hAnsi="Times New Roman" w:cs="Times New Roman"/>
                <w:sz w:val="24"/>
                <w:szCs w:val="24"/>
              </w:rPr>
              <w:t>2,5 wartości kontrolnej)</w:t>
            </w:r>
          </w:p>
        </w:tc>
      </w:tr>
      <w:tr w:rsidR="001A2ABF" w:rsidRPr="00716007" w:rsidTr="00F20F2A">
        <w:trPr>
          <w:trHeight w:val="780"/>
        </w:trPr>
        <w:tc>
          <w:tcPr>
            <w:tcW w:w="1985" w:type="dxa"/>
          </w:tcPr>
          <w:p w:rsidR="001A2ABF" w:rsidRPr="00716007" w:rsidRDefault="001A2ABF" w:rsidP="00F2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Streptokinaza</w:t>
            </w:r>
          </w:p>
        </w:tc>
        <w:tc>
          <w:tcPr>
            <w:tcW w:w="2552" w:type="dxa"/>
          </w:tcPr>
          <w:p w:rsidR="001A2ABF" w:rsidRDefault="001A2ABF" w:rsidP="00F2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NextLTW1G-BoldCn" w:eastAsia="FrutigerNextLTW1G-BoldCn" w:cs="FrutigerNextLTW1G-BoldCn"/>
                <w:b/>
                <w:bCs/>
                <w:sz w:val="17"/>
                <w:szCs w:val="17"/>
              </w:rPr>
            </w:pPr>
          </w:p>
          <w:p w:rsidR="001A2ABF" w:rsidRDefault="001A2ABF" w:rsidP="00F2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NextLTW1G-RegularCn" w:eastAsia="FrutigerNextLTW1G-BoldCn" w:hAnsi="FrutigerNextLTW1G-RegularCn" w:cs="FrutigerNextLTW1G-RegularCn"/>
                <w:sz w:val="17"/>
                <w:szCs w:val="17"/>
              </w:rPr>
            </w:pPr>
            <w:r>
              <w:rPr>
                <w:rFonts w:ascii="FrutigerNextLTW1G-RegularCn" w:eastAsia="FrutigerNextLTW1G-BoldCn" w:hAnsi="FrutigerNextLTW1G-RegularCn" w:cs="FrutigerNextLTW1G-RegularCn"/>
                <w:sz w:val="17"/>
                <w:szCs w:val="17"/>
              </w:rPr>
              <w:t>:</w:t>
            </w:r>
          </w:p>
          <w:p w:rsidR="001A2ABF" w:rsidRPr="00CE17D6" w:rsidRDefault="001A2ABF" w:rsidP="00F20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NextLTW1G-BoldCn" w:hAnsi="Times New Roman" w:cs="Times New Roman"/>
                <w:sz w:val="24"/>
                <w:szCs w:val="24"/>
              </w:rPr>
            </w:pPr>
            <w:r>
              <w:rPr>
                <w:rFonts w:ascii="FrutigerNextLTW1G-RegularCn" w:eastAsia="FrutigerNextLTW1G-BoldCn" w:hAnsi="FrutigerNextLTW1G-RegularCn" w:cs="FrutigerNextLTW1G-RegularCn"/>
                <w:sz w:val="17"/>
                <w:szCs w:val="17"/>
              </w:rPr>
              <w:t xml:space="preserve"> </w:t>
            </w:r>
            <w:r w:rsidRPr="00CE17D6">
              <w:rPr>
                <w:rFonts w:ascii="Times New Roman" w:eastAsia="FrutigerNextLTW1G-BoldCn" w:hAnsi="Times New Roman" w:cs="Times New Roman"/>
                <w:sz w:val="24"/>
                <w:szCs w:val="24"/>
              </w:rPr>
              <w:t>1,5 mln j.m.</w:t>
            </w:r>
            <w:r w:rsidRPr="00CE17D6">
              <w:rPr>
                <w:rFonts w:ascii="Times New Roman" w:eastAsia="FrutigerNextLTW1G-BoldCn" w:hAnsi="Times New Roman" w:cs="Times New Roman"/>
                <w:i/>
                <w:sz w:val="24"/>
                <w:szCs w:val="24"/>
              </w:rPr>
              <w:t xml:space="preserve"> i.v</w:t>
            </w:r>
            <w:r w:rsidR="008D1F5B">
              <w:rPr>
                <w:rFonts w:ascii="Times New Roman" w:eastAsia="FrutigerNextLTW1G-BoldCn" w:hAnsi="Times New Roman" w:cs="Times New Roman"/>
                <w:sz w:val="24"/>
                <w:szCs w:val="24"/>
              </w:rPr>
              <w:t>. /</w:t>
            </w:r>
            <w:r w:rsidRPr="00CE17D6">
              <w:rPr>
                <w:rFonts w:ascii="Times New Roman" w:eastAsia="FrutigerNextLTW1G-BoldCn" w:hAnsi="Times New Roman" w:cs="Times New Roman"/>
                <w:sz w:val="24"/>
                <w:szCs w:val="24"/>
              </w:rPr>
              <w:t xml:space="preserve"> 2 h</w:t>
            </w:r>
          </w:p>
          <w:p w:rsidR="001A2ABF" w:rsidRPr="00CE17D6" w:rsidRDefault="001A2ABF" w:rsidP="00F20F2A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FrutigerNextLTW1G-RegularCn" w:eastAsia="FrutigerNextLTW1G-BoldCn" w:hAnsi="FrutigerNextLTW1G-RegularCn" w:cs="FrutigerNextLTW1G-RegularCn"/>
                <w:sz w:val="17"/>
                <w:szCs w:val="17"/>
              </w:rPr>
              <w:t xml:space="preserve">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1A2ABF" w:rsidRPr="008D1F5B" w:rsidRDefault="001A2ABF" w:rsidP="008D1F5B">
            <w:pPr>
              <w:spacing w:after="0" w:line="240" w:lineRule="auto"/>
              <w:rPr>
                <w:rFonts w:ascii="Times New Roman" w:eastAsia="FrutigerNextLTW1G-BoldCn" w:hAnsi="Times New Roman" w:cs="Times New Roman"/>
                <w:sz w:val="24"/>
                <w:szCs w:val="24"/>
              </w:rPr>
            </w:pPr>
            <w:r w:rsidRPr="00CE17D6">
              <w:rPr>
                <w:rFonts w:ascii="Times New Roman" w:eastAsia="FrutigerNextLTW1G-BoldCn" w:hAnsi="Times New Roman" w:cs="Times New Roman"/>
                <w:sz w:val="24"/>
                <w:szCs w:val="24"/>
              </w:rPr>
              <w:t xml:space="preserve">250 000 j.m. </w:t>
            </w:r>
            <w:r w:rsidRPr="00CE17D6">
              <w:rPr>
                <w:rFonts w:ascii="Times New Roman" w:eastAsia="FrutigerNextLTW1G-BoldCn" w:hAnsi="Times New Roman" w:cs="Times New Roman"/>
                <w:i/>
                <w:sz w:val="24"/>
                <w:szCs w:val="24"/>
              </w:rPr>
              <w:t>i.v.</w:t>
            </w:r>
            <w:r w:rsidR="008D1F5B">
              <w:rPr>
                <w:rFonts w:ascii="Times New Roman" w:eastAsia="FrutigerNextLTW1G-BoldC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FrutigerNextLTW1G-BoldCn" w:hAnsi="Times New Roman" w:cs="Times New Roman"/>
                <w:sz w:val="24"/>
                <w:szCs w:val="24"/>
              </w:rPr>
              <w:t xml:space="preserve">30 min, </w:t>
            </w:r>
            <w:r w:rsidRPr="00CE17D6">
              <w:rPr>
                <w:rFonts w:ascii="Times New Roman" w:eastAsia="FrutigerNextLTW1G-BoldCn" w:hAnsi="Times New Roman" w:cs="Times New Roman"/>
                <w:sz w:val="24"/>
                <w:szCs w:val="24"/>
              </w:rPr>
              <w:t xml:space="preserve">następnie 100 000 j.m./h </w:t>
            </w:r>
            <w:r w:rsidR="008D1F5B">
              <w:rPr>
                <w:rFonts w:ascii="Times New Roman" w:eastAsia="FrutigerNextLTW1G-BoldCn" w:hAnsi="Times New Roman" w:cs="Times New Roman"/>
                <w:sz w:val="24"/>
                <w:szCs w:val="24"/>
              </w:rPr>
              <w:t xml:space="preserve">/ </w:t>
            </w:r>
            <w:r w:rsidRPr="00CE17D6">
              <w:rPr>
                <w:rFonts w:ascii="Times New Roman" w:eastAsia="FrutigerNextLTW1G-BoldCn" w:hAnsi="Times New Roman" w:cs="Times New Roman"/>
                <w:sz w:val="24"/>
                <w:szCs w:val="24"/>
              </w:rPr>
              <w:t>12–24 h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A2ABF" w:rsidRPr="00077035" w:rsidRDefault="001A2ABF" w:rsidP="00F20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35">
              <w:rPr>
                <w:rFonts w:ascii="Times New Roman" w:hAnsi="Times New Roman" w:cs="Times New Roman"/>
                <w:bCs/>
                <w:sz w:val="24"/>
                <w:szCs w:val="24"/>
              </w:rPr>
              <w:t>UF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77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bolus 80 j.m./kg, </w:t>
            </w:r>
          </w:p>
          <w:p w:rsidR="001A2ABF" w:rsidRPr="008B4335" w:rsidRDefault="001A2ABF" w:rsidP="00F20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335">
              <w:rPr>
                <w:rFonts w:ascii="Times New Roman" w:hAnsi="Times New Roman" w:cs="Times New Roman"/>
                <w:bCs/>
                <w:sz w:val="24"/>
                <w:szCs w:val="24"/>
              </w:rPr>
              <w:t>nast.18 j.m./kg/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8B4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A2ABF" w:rsidRPr="008B4335" w:rsidRDefault="001A2ABF" w:rsidP="00F20F2A">
            <w:pPr>
              <w:spacing w:after="0"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 kontrolą </w:t>
            </w:r>
            <w:r w:rsidRPr="008B4335">
              <w:rPr>
                <w:rFonts w:ascii="Times New Roman" w:hAnsi="Times New Roman" w:cs="Times New Roman"/>
                <w:bCs/>
                <w:sz w:val="24"/>
                <w:szCs w:val="24"/>
              </w:rPr>
              <w:t>APTT:</w:t>
            </w:r>
          </w:p>
          <w:p w:rsidR="001A2ABF" w:rsidRPr="008B4335" w:rsidRDefault="001A2ABF" w:rsidP="00F20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33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– 2,5 wartości kontrolnej)</w:t>
            </w:r>
          </w:p>
          <w:p w:rsidR="001A2ABF" w:rsidRPr="00716007" w:rsidRDefault="001A2ABF" w:rsidP="00F20F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2ABF" w:rsidRPr="001A2ABF" w:rsidRDefault="001A2ABF" w:rsidP="001A2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1F5B">
        <w:rPr>
          <w:rFonts w:ascii="Times New Roman" w:hAnsi="Times New Roman" w:cs="Times New Roman"/>
          <w:sz w:val="24"/>
          <w:szCs w:val="24"/>
          <w:vertAlign w:val="superscript"/>
        </w:rPr>
        <w:t xml:space="preserve"># </w:t>
      </w:r>
      <w:r w:rsidRPr="008D1F5B">
        <w:rPr>
          <w:rFonts w:ascii="Times New Roman" w:hAnsi="Times New Roman" w:cs="Times New Roman"/>
          <w:sz w:val="24"/>
          <w:szCs w:val="24"/>
        </w:rPr>
        <w:t>UFH – unfractionated hepari</w:t>
      </w:r>
      <w:r w:rsidRPr="001A2ABF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A2ABF" w:rsidRPr="001A2ABF" w:rsidRDefault="001A2ABF" w:rsidP="001A2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A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##</w:t>
      </w:r>
      <w:r w:rsidRPr="001A2ABF">
        <w:rPr>
          <w:rFonts w:ascii="Times New Roman" w:hAnsi="Times New Roman" w:cs="Times New Roman"/>
          <w:sz w:val="24"/>
          <w:szCs w:val="24"/>
          <w:lang w:val="en-US"/>
        </w:rPr>
        <w:t xml:space="preserve"> APTT – activated partial thromboplastin time (czas częściowej tromboplastyny po aktywacji)</w:t>
      </w:r>
    </w:p>
    <w:p w:rsidR="001A2ABF" w:rsidRPr="00807364" w:rsidRDefault="001A2ABF" w:rsidP="001A2ABF">
      <w:pPr>
        <w:jc w:val="both"/>
        <w:rPr>
          <w:rFonts w:ascii="Times New Roman" w:hAnsi="Times New Roman" w:cs="Times New Roman"/>
          <w:sz w:val="24"/>
          <w:szCs w:val="24"/>
        </w:rPr>
      </w:pPr>
      <w:r w:rsidRPr="00807364">
        <w:rPr>
          <w:rFonts w:ascii="Times New Roman" w:hAnsi="Times New Roman" w:cs="Times New Roman"/>
          <w:sz w:val="24"/>
          <w:szCs w:val="24"/>
          <w:vertAlign w:val="superscript"/>
        </w:rPr>
        <w:t>###</w:t>
      </w:r>
      <w:r w:rsidRPr="00807364">
        <w:rPr>
          <w:rFonts w:ascii="Times New Roman" w:hAnsi="Times New Roman" w:cs="Times New Roman"/>
          <w:sz w:val="24"/>
          <w:szCs w:val="24"/>
        </w:rPr>
        <w:t xml:space="preserve"> recombinant tissue-type plasminogen activator (rekombinowany tkankowy aktywator plazminogenu)</w:t>
      </w:r>
    </w:p>
    <w:p w:rsidR="001A2ABF" w:rsidRPr="00716007" w:rsidRDefault="001A2ABF" w:rsidP="001A2A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07">
        <w:rPr>
          <w:rFonts w:ascii="Times New Roman" w:hAnsi="Times New Roman" w:cs="Times New Roman"/>
          <w:sz w:val="24"/>
          <w:szCs w:val="24"/>
        </w:rPr>
        <w:t>*</w:t>
      </w:r>
      <w:r w:rsidRPr="00716007">
        <w:rPr>
          <w:rFonts w:ascii="Times New Roman" w:hAnsi="Times New Roman" w:cs="Times New Roman"/>
          <w:bCs/>
          <w:sz w:val="24"/>
          <w:szCs w:val="24"/>
        </w:rPr>
        <w:t xml:space="preserve"> Zdania ekspertów odnośni</w:t>
      </w:r>
      <w:r>
        <w:rPr>
          <w:rFonts w:ascii="Times New Roman" w:hAnsi="Times New Roman" w:cs="Times New Roman"/>
          <w:bCs/>
          <w:sz w:val="24"/>
          <w:szCs w:val="24"/>
        </w:rPr>
        <w:t>e do jednoczesnego podawania UFH</w:t>
      </w:r>
      <w:r w:rsidRPr="00716007">
        <w:rPr>
          <w:rFonts w:ascii="Times New Roman" w:hAnsi="Times New Roman" w:cs="Times New Roman"/>
          <w:bCs/>
          <w:sz w:val="24"/>
          <w:szCs w:val="24"/>
        </w:rPr>
        <w:t xml:space="preserve"> i rtPA są podzielone – w niektórych krajach wyma</w:t>
      </w:r>
      <w:r>
        <w:rPr>
          <w:rFonts w:ascii="Times New Roman" w:hAnsi="Times New Roman" w:cs="Times New Roman"/>
          <w:bCs/>
          <w:sz w:val="24"/>
          <w:szCs w:val="24"/>
        </w:rPr>
        <w:t>ga się wstrzymania podawania UFH</w:t>
      </w:r>
      <w:r w:rsidRPr="00716007">
        <w:rPr>
          <w:rFonts w:ascii="Times New Roman" w:hAnsi="Times New Roman" w:cs="Times New Roman"/>
          <w:bCs/>
          <w:sz w:val="24"/>
          <w:szCs w:val="24"/>
        </w:rPr>
        <w:t xml:space="preserve"> podczas wlewu rtPA, natomiast w innych krajach oba leki podaje się równocześnie.  </w:t>
      </w:r>
    </w:p>
    <w:p w:rsidR="001A2ABF" w:rsidRDefault="001A2ABF" w:rsidP="001A2A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 Podawanie UFH</w:t>
      </w:r>
      <w:r w:rsidRPr="00716007">
        <w:rPr>
          <w:rFonts w:ascii="Times New Roman" w:hAnsi="Times New Roman" w:cs="Times New Roman"/>
          <w:bCs/>
          <w:sz w:val="24"/>
          <w:szCs w:val="24"/>
        </w:rPr>
        <w:t xml:space="preserve"> można </w:t>
      </w:r>
      <w:r w:rsidRPr="00716007">
        <w:rPr>
          <w:rFonts w:ascii="Times New Roman" w:hAnsi="Times New Roman" w:cs="Times New Roman"/>
          <w:iCs/>
          <w:sz w:val="24"/>
          <w:szCs w:val="24"/>
        </w:rPr>
        <w:t xml:space="preserve">rozpocząć </w:t>
      </w:r>
      <w:r w:rsidRPr="00716007">
        <w:rPr>
          <w:rFonts w:ascii="Times New Roman" w:hAnsi="Times New Roman" w:cs="Times New Roman"/>
          <w:bCs/>
          <w:sz w:val="24"/>
          <w:szCs w:val="24"/>
        </w:rPr>
        <w:t>przed rozpoczęciem leczenia streptokinazą lub urokinazą albo jednocześnie z nim; u chory</w:t>
      </w:r>
      <w:r>
        <w:rPr>
          <w:rFonts w:ascii="Times New Roman" w:hAnsi="Times New Roman" w:cs="Times New Roman"/>
          <w:bCs/>
          <w:sz w:val="24"/>
          <w:szCs w:val="24"/>
        </w:rPr>
        <w:t>ch otrzymujących ciągły wlew UFH</w:t>
      </w:r>
      <w:r w:rsidRPr="00716007">
        <w:rPr>
          <w:rFonts w:ascii="Times New Roman" w:hAnsi="Times New Roman" w:cs="Times New Roman"/>
          <w:bCs/>
          <w:sz w:val="24"/>
          <w:szCs w:val="24"/>
        </w:rPr>
        <w:t xml:space="preserve"> można go wstrzymać podczas wlewu leku trombolitycznego albo kontynuować wg dotychczasowego schematu.</w:t>
      </w:r>
    </w:p>
    <w:p w:rsidR="00606BCC" w:rsidRDefault="00606BCC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6BCC" w:rsidRDefault="00606BCC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1F5B" w:rsidRDefault="008D1F5B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 4. Skala oceny ryzyka nawrotu żylnej choroby zakrzepowo-zatorowej u chorych na nowotwory złośliwe wg Louzada (34)</w:t>
      </w:r>
    </w:p>
    <w:p w:rsidR="001A2ABF" w:rsidRPr="00AF683A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83A">
        <w:rPr>
          <w:rFonts w:ascii="Times New Roman" w:hAnsi="Times New Roman" w:cs="Times New Roman"/>
          <w:sz w:val="24"/>
          <w:szCs w:val="24"/>
          <w:lang w:val="en-US"/>
        </w:rPr>
        <w:t xml:space="preserve">Tab. 4. </w:t>
      </w:r>
      <w:r w:rsidRPr="007B45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Louzada prognostic </w:t>
      </w:r>
      <w:r w:rsidRPr="007B4580">
        <w:rPr>
          <w:rFonts w:ascii="Times New Roman" w:hAnsi="Times New Roman" w:cs="Times New Roman"/>
          <w:sz w:val="24"/>
          <w:szCs w:val="24"/>
          <w:lang w:val="en-US"/>
        </w:rPr>
        <w:t>risk s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7B4580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prediction of recurrent venous thromboembolism in patients with cancer-associated thrombosis</w:t>
      </w:r>
      <w:r w:rsidR="008D1F5B">
        <w:rPr>
          <w:rFonts w:ascii="Times New Roman" w:hAnsi="Times New Roman" w:cs="Times New Roman"/>
          <w:sz w:val="24"/>
          <w:szCs w:val="24"/>
          <w:lang w:val="en-US"/>
        </w:rPr>
        <w:t xml:space="preserve"> (34)</w:t>
      </w:r>
    </w:p>
    <w:p w:rsidR="001A2ABF" w:rsidRPr="00AF683A" w:rsidRDefault="001A2ABF" w:rsidP="00606B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209"/>
      </w:tblGrid>
      <w:tr w:rsidR="001A2ABF" w:rsidTr="00F20F2A">
        <w:tc>
          <w:tcPr>
            <w:tcW w:w="5353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Czynnik ryzyka</w:t>
            </w:r>
          </w:p>
        </w:tc>
        <w:tc>
          <w:tcPr>
            <w:tcW w:w="1209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1A2ABF" w:rsidTr="00F20F2A">
        <w:tc>
          <w:tcPr>
            <w:tcW w:w="5353" w:type="dxa"/>
          </w:tcPr>
          <w:p w:rsidR="001A2ABF" w:rsidRDefault="001A2ABF" w:rsidP="008D1F5B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 Płeć żeńska</w:t>
            </w:r>
          </w:p>
        </w:tc>
        <w:tc>
          <w:tcPr>
            <w:tcW w:w="1209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1A2ABF" w:rsidTr="00F20F2A">
        <w:tc>
          <w:tcPr>
            <w:tcW w:w="5353" w:type="dxa"/>
          </w:tcPr>
          <w:p w:rsidR="001A2ABF" w:rsidRDefault="001A2ABF" w:rsidP="008D1F5B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Rak płuca</w:t>
            </w:r>
          </w:p>
        </w:tc>
        <w:tc>
          <w:tcPr>
            <w:tcW w:w="1209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ABF" w:rsidTr="00F20F2A">
        <w:tc>
          <w:tcPr>
            <w:tcW w:w="5353" w:type="dxa"/>
          </w:tcPr>
          <w:p w:rsidR="001A2ABF" w:rsidRDefault="001A2ABF" w:rsidP="008D1F5B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Rak piersi</w:t>
            </w:r>
          </w:p>
        </w:tc>
        <w:tc>
          <w:tcPr>
            <w:tcW w:w="1209" w:type="dxa"/>
          </w:tcPr>
          <w:p w:rsidR="001A2ABF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1A2ABF" w:rsidRPr="00D56073" w:rsidTr="00F20F2A">
        <w:tc>
          <w:tcPr>
            <w:tcW w:w="5353" w:type="dxa"/>
          </w:tcPr>
          <w:p w:rsidR="001A2ABF" w:rsidRPr="00D56073" w:rsidRDefault="001A2ABF" w:rsidP="008D1F5B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D5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 okres I</w:t>
            </w:r>
          </w:p>
          <w:p w:rsidR="001A2ABF" w:rsidRPr="00D56073" w:rsidRDefault="001A2ABF" w:rsidP="008D1F5B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(( (tumour-node-me</w:t>
            </w:r>
            <w:r w:rsidRPr="00D5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r w:rsidRPr="00D5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classification)</w:t>
            </w:r>
          </w:p>
        </w:tc>
        <w:tc>
          <w:tcPr>
            <w:tcW w:w="1209" w:type="dxa"/>
          </w:tcPr>
          <w:p w:rsidR="001A2ABF" w:rsidRPr="00D56073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</w:tr>
      <w:tr w:rsidR="001A2ABF" w:rsidRPr="00D56073" w:rsidTr="00F20F2A">
        <w:tc>
          <w:tcPr>
            <w:tcW w:w="5353" w:type="dxa"/>
          </w:tcPr>
          <w:p w:rsidR="001A2ABF" w:rsidRPr="00D56073" w:rsidRDefault="001A2ABF" w:rsidP="008D1F5B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07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</w:t>
            </w:r>
            <w:r w:rsidRPr="00D56073">
              <w:rPr>
                <w:rFonts w:ascii="Times New Roman" w:hAnsi="Times New Roman" w:cs="Times New Roman"/>
                <w:sz w:val="24"/>
                <w:szCs w:val="24"/>
              </w:rPr>
              <w:t>zebyta żylna choroba zakrzepowo-zatorowa</w:t>
            </w:r>
          </w:p>
        </w:tc>
        <w:tc>
          <w:tcPr>
            <w:tcW w:w="1209" w:type="dxa"/>
          </w:tcPr>
          <w:p w:rsidR="001A2ABF" w:rsidRPr="00D56073" w:rsidRDefault="001A2ABF" w:rsidP="00606BCC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2ABF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Pr="00E0790F" w:rsidRDefault="001A2ABF" w:rsidP="008D1F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90F">
        <w:rPr>
          <w:rFonts w:ascii="Times New Roman" w:hAnsi="Times New Roman" w:cs="Times New Roman"/>
          <w:bCs/>
          <w:sz w:val="24"/>
          <w:szCs w:val="24"/>
        </w:rPr>
        <w:t>Ocena</w:t>
      </w:r>
    </w:p>
    <w:p w:rsidR="001A2ABF" w:rsidRPr="00E0790F" w:rsidRDefault="001A2ABF" w:rsidP="008D1F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90F">
        <w:rPr>
          <w:rFonts w:ascii="Times New Roman" w:hAnsi="Times New Roman" w:cs="Times New Roman"/>
          <w:bCs/>
          <w:sz w:val="24"/>
          <w:szCs w:val="24"/>
        </w:rPr>
        <w:t>≤ 0 - małe ryzyko nawrotu</w:t>
      </w:r>
    </w:p>
    <w:p w:rsidR="001A2ABF" w:rsidRPr="00E0790F" w:rsidRDefault="001A2ABF" w:rsidP="008D1F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90F">
        <w:rPr>
          <w:rFonts w:ascii="Times New Roman" w:hAnsi="Times New Roman" w:cs="Times New Roman"/>
          <w:bCs/>
          <w:sz w:val="24"/>
          <w:szCs w:val="24"/>
        </w:rPr>
        <w:t xml:space="preserve">≥1 – duże ryzyko nawrotu </w:t>
      </w:r>
    </w:p>
    <w:p w:rsidR="001A2ABF" w:rsidRPr="00E0790F" w:rsidRDefault="001A2ABF" w:rsidP="008D1F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ABF" w:rsidRPr="00A87A96" w:rsidRDefault="001A2ABF" w:rsidP="008D1F5B">
      <w:pPr>
        <w:spacing w:line="360" w:lineRule="auto"/>
        <w:jc w:val="both"/>
        <w:rPr>
          <w:bCs/>
        </w:rPr>
      </w:pPr>
    </w:p>
    <w:p w:rsidR="001A2ABF" w:rsidRPr="00A87A96" w:rsidRDefault="001A2ABF" w:rsidP="001A2ABF">
      <w:pPr>
        <w:jc w:val="both"/>
        <w:rPr>
          <w:bCs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Default="001A2ABF" w:rsidP="001A2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ABF" w:rsidRPr="00624304" w:rsidRDefault="001A2ABF" w:rsidP="006A4EFF">
      <w:pPr>
        <w:autoSpaceDE w:val="0"/>
        <w:autoSpaceDN w:val="0"/>
        <w:adjustRightInd w:val="0"/>
        <w:spacing w:after="0" w:line="240" w:lineRule="auto"/>
        <w:rPr>
          <w:rFonts w:ascii="AdvOT3c2d9f11" w:hAnsi="AdvOT3c2d9f11" w:cs="AdvOT3c2d9f11"/>
          <w:color w:val="000000"/>
          <w:sz w:val="18"/>
          <w:szCs w:val="18"/>
        </w:rPr>
      </w:pPr>
    </w:p>
    <w:sectPr w:rsidR="001A2ABF" w:rsidRPr="00624304" w:rsidSect="00316C01">
      <w:head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6C" w:rsidRDefault="00533B6C" w:rsidP="00316C01">
      <w:pPr>
        <w:spacing w:after="0" w:line="240" w:lineRule="auto"/>
      </w:pPr>
      <w:r>
        <w:separator/>
      </w:r>
    </w:p>
  </w:endnote>
  <w:endnote w:type="continuationSeparator" w:id="0">
    <w:p w:rsidR="00533B6C" w:rsidRDefault="00533B6C" w:rsidP="0031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 Pro Greek MP">
    <w:altName w:val="Century Schoolbook Pro Greek MP"/>
    <w:panose1 w:val="00000000000000000000"/>
    <w:charset w:val="00"/>
    <w:family w:val="roman"/>
    <w:notTrueType/>
    <w:pitch w:val="variable"/>
    <w:sig w:usb0="00000007" w:usb1="4807205A" w:usb2="00000010" w:usb3="00000000" w:csb0="0002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TT7b515d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NextLTW1G-Bold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SchbookEU-Norm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3c2d9f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NextLTW1G-Regular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6C" w:rsidRDefault="00533B6C" w:rsidP="00316C01">
      <w:pPr>
        <w:spacing w:after="0" w:line="240" w:lineRule="auto"/>
      </w:pPr>
      <w:r>
        <w:separator/>
      </w:r>
    </w:p>
  </w:footnote>
  <w:footnote w:type="continuationSeparator" w:id="0">
    <w:p w:rsidR="00533B6C" w:rsidRDefault="00533B6C" w:rsidP="0031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1124"/>
      <w:docPartObj>
        <w:docPartGallery w:val="Page Numbers (Top of Page)"/>
        <w:docPartUnique/>
      </w:docPartObj>
    </w:sdtPr>
    <w:sdtEndPr/>
    <w:sdtContent>
      <w:p w:rsidR="00316C01" w:rsidRDefault="00316C0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12">
          <w:rPr>
            <w:noProof/>
          </w:rPr>
          <w:t>23</w:t>
        </w:r>
        <w:r>
          <w:fldChar w:fldCharType="end"/>
        </w:r>
      </w:p>
    </w:sdtContent>
  </w:sdt>
  <w:p w:rsidR="00316C01" w:rsidRDefault="00316C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223"/>
    <w:multiLevelType w:val="hybridMultilevel"/>
    <w:tmpl w:val="99B8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A89"/>
    <w:multiLevelType w:val="hybridMultilevel"/>
    <w:tmpl w:val="942CC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1"/>
    <w:rsid w:val="00036620"/>
    <w:rsid w:val="00052EF4"/>
    <w:rsid w:val="000A19CD"/>
    <w:rsid w:val="000B4692"/>
    <w:rsid w:val="00123494"/>
    <w:rsid w:val="0015304E"/>
    <w:rsid w:val="001668C6"/>
    <w:rsid w:val="0019152B"/>
    <w:rsid w:val="00197D40"/>
    <w:rsid w:val="001A2ABF"/>
    <w:rsid w:val="001B78FA"/>
    <w:rsid w:val="001F7579"/>
    <w:rsid w:val="00203501"/>
    <w:rsid w:val="0021166E"/>
    <w:rsid w:val="00230203"/>
    <w:rsid w:val="00261D6D"/>
    <w:rsid w:val="002669C1"/>
    <w:rsid w:val="00280A1A"/>
    <w:rsid w:val="002A4975"/>
    <w:rsid w:val="002D146F"/>
    <w:rsid w:val="002F3E21"/>
    <w:rsid w:val="00300E2F"/>
    <w:rsid w:val="00312DA7"/>
    <w:rsid w:val="00316C01"/>
    <w:rsid w:val="00362D35"/>
    <w:rsid w:val="00362F04"/>
    <w:rsid w:val="00367029"/>
    <w:rsid w:val="003913E9"/>
    <w:rsid w:val="003B1E91"/>
    <w:rsid w:val="003E42D0"/>
    <w:rsid w:val="004132D9"/>
    <w:rsid w:val="00442398"/>
    <w:rsid w:val="004D20B3"/>
    <w:rsid w:val="004E3F91"/>
    <w:rsid w:val="004F7D1E"/>
    <w:rsid w:val="00520713"/>
    <w:rsid w:val="005220F2"/>
    <w:rsid w:val="00525F94"/>
    <w:rsid w:val="00533B6C"/>
    <w:rsid w:val="0053587A"/>
    <w:rsid w:val="00556E30"/>
    <w:rsid w:val="005711AE"/>
    <w:rsid w:val="00575623"/>
    <w:rsid w:val="0058346F"/>
    <w:rsid w:val="005C10E2"/>
    <w:rsid w:val="0060002F"/>
    <w:rsid w:val="0060157B"/>
    <w:rsid w:val="00606BCC"/>
    <w:rsid w:val="00624304"/>
    <w:rsid w:val="00634429"/>
    <w:rsid w:val="00641854"/>
    <w:rsid w:val="00654411"/>
    <w:rsid w:val="0066593A"/>
    <w:rsid w:val="00685016"/>
    <w:rsid w:val="00694855"/>
    <w:rsid w:val="006A4EFF"/>
    <w:rsid w:val="00703EA3"/>
    <w:rsid w:val="0077518E"/>
    <w:rsid w:val="00786614"/>
    <w:rsid w:val="007A63F3"/>
    <w:rsid w:val="00810053"/>
    <w:rsid w:val="0084391E"/>
    <w:rsid w:val="00843F0D"/>
    <w:rsid w:val="008B0506"/>
    <w:rsid w:val="008D1F5B"/>
    <w:rsid w:val="008D6D04"/>
    <w:rsid w:val="0092130E"/>
    <w:rsid w:val="0096522C"/>
    <w:rsid w:val="00965312"/>
    <w:rsid w:val="009A2671"/>
    <w:rsid w:val="009D3FD7"/>
    <w:rsid w:val="009F037E"/>
    <w:rsid w:val="00A00E4D"/>
    <w:rsid w:val="00A04E4B"/>
    <w:rsid w:val="00A1467B"/>
    <w:rsid w:val="00A260D9"/>
    <w:rsid w:val="00A6609B"/>
    <w:rsid w:val="00A73C50"/>
    <w:rsid w:val="00A74A12"/>
    <w:rsid w:val="00A839AA"/>
    <w:rsid w:val="00A8743C"/>
    <w:rsid w:val="00AA2F78"/>
    <w:rsid w:val="00AE0346"/>
    <w:rsid w:val="00B27B5D"/>
    <w:rsid w:val="00B82397"/>
    <w:rsid w:val="00BB3422"/>
    <w:rsid w:val="00BB5CA7"/>
    <w:rsid w:val="00BD6EBE"/>
    <w:rsid w:val="00BD742A"/>
    <w:rsid w:val="00C06EFC"/>
    <w:rsid w:val="00C10DC0"/>
    <w:rsid w:val="00C127CB"/>
    <w:rsid w:val="00C211FA"/>
    <w:rsid w:val="00C71619"/>
    <w:rsid w:val="00CB6E5A"/>
    <w:rsid w:val="00D008D7"/>
    <w:rsid w:val="00D2293C"/>
    <w:rsid w:val="00D25210"/>
    <w:rsid w:val="00D34193"/>
    <w:rsid w:val="00D36A57"/>
    <w:rsid w:val="00D46BD8"/>
    <w:rsid w:val="00DC481D"/>
    <w:rsid w:val="00DD572F"/>
    <w:rsid w:val="00E219E2"/>
    <w:rsid w:val="00E534AB"/>
    <w:rsid w:val="00E614F2"/>
    <w:rsid w:val="00EE77A8"/>
    <w:rsid w:val="00F0511B"/>
    <w:rsid w:val="00F21FA0"/>
    <w:rsid w:val="00F42DC7"/>
    <w:rsid w:val="00F7565C"/>
    <w:rsid w:val="00F86DF7"/>
    <w:rsid w:val="00F96657"/>
    <w:rsid w:val="00FC0479"/>
    <w:rsid w:val="00FC3AB1"/>
    <w:rsid w:val="00FC4D56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72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03501"/>
    <w:rPr>
      <w:i/>
      <w:iCs/>
    </w:rPr>
  </w:style>
  <w:style w:type="paragraph" w:customStyle="1" w:styleId="ListParagraph1">
    <w:name w:val="List Paragraph1"/>
    <w:basedOn w:val="Normalny"/>
    <w:uiPriority w:val="99"/>
    <w:rsid w:val="00203501"/>
    <w:pPr>
      <w:ind w:left="720"/>
      <w:contextualSpacing/>
    </w:pPr>
    <w:rPr>
      <w:rFonts w:ascii="Calibri" w:eastAsia="Times New Roman" w:hAnsi="Calibri" w:cs="Times New Roman"/>
      <w:lang w:val="en-CA"/>
    </w:rPr>
  </w:style>
  <w:style w:type="paragraph" w:styleId="Akapitzlist">
    <w:name w:val="List Paragraph"/>
    <w:basedOn w:val="Normalny"/>
    <w:uiPriority w:val="99"/>
    <w:qFormat/>
    <w:rsid w:val="00C06EFC"/>
    <w:pPr>
      <w:spacing w:line="36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80A1A"/>
    <w:pPr>
      <w:autoSpaceDE w:val="0"/>
      <w:autoSpaceDN w:val="0"/>
      <w:adjustRightInd w:val="0"/>
      <w:spacing w:after="0" w:line="240" w:lineRule="auto"/>
    </w:pPr>
    <w:rPr>
      <w:rFonts w:ascii="Century Schoolbook Pro Greek MP" w:hAnsi="Century Schoolbook Pro Greek MP" w:cs="Century Schoolbook Pro Greek MP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8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C01"/>
  </w:style>
  <w:style w:type="paragraph" w:styleId="Stopka">
    <w:name w:val="footer"/>
    <w:basedOn w:val="Normalny"/>
    <w:link w:val="StopkaZnak"/>
    <w:uiPriority w:val="99"/>
    <w:unhideWhenUsed/>
    <w:rsid w:val="0031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C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7D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4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A63F3"/>
    <w:rPr>
      <w:b/>
      <w:bCs/>
    </w:rPr>
  </w:style>
  <w:style w:type="table" w:styleId="Tabela-Siatka">
    <w:name w:val="Table Grid"/>
    <w:basedOn w:val="Standardowy"/>
    <w:uiPriority w:val="59"/>
    <w:rsid w:val="001A2ABF"/>
    <w:pPr>
      <w:spacing w:after="0" w:line="240" w:lineRule="auto"/>
      <w:ind w:left="1429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572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03501"/>
    <w:rPr>
      <w:i/>
      <w:iCs/>
    </w:rPr>
  </w:style>
  <w:style w:type="paragraph" w:customStyle="1" w:styleId="ListParagraph1">
    <w:name w:val="List Paragraph1"/>
    <w:basedOn w:val="Normalny"/>
    <w:uiPriority w:val="99"/>
    <w:rsid w:val="00203501"/>
    <w:pPr>
      <w:ind w:left="720"/>
      <w:contextualSpacing/>
    </w:pPr>
    <w:rPr>
      <w:rFonts w:ascii="Calibri" w:eastAsia="Times New Roman" w:hAnsi="Calibri" w:cs="Times New Roman"/>
      <w:lang w:val="en-CA"/>
    </w:rPr>
  </w:style>
  <w:style w:type="paragraph" w:styleId="Akapitzlist">
    <w:name w:val="List Paragraph"/>
    <w:basedOn w:val="Normalny"/>
    <w:uiPriority w:val="99"/>
    <w:qFormat/>
    <w:rsid w:val="00C06EFC"/>
    <w:pPr>
      <w:spacing w:line="36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80A1A"/>
    <w:pPr>
      <w:autoSpaceDE w:val="0"/>
      <w:autoSpaceDN w:val="0"/>
      <w:adjustRightInd w:val="0"/>
      <w:spacing w:after="0" w:line="240" w:lineRule="auto"/>
    </w:pPr>
    <w:rPr>
      <w:rFonts w:ascii="Century Schoolbook Pro Greek MP" w:hAnsi="Century Schoolbook Pro Greek MP" w:cs="Century Schoolbook Pro Greek MP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8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C01"/>
  </w:style>
  <w:style w:type="paragraph" w:styleId="Stopka">
    <w:name w:val="footer"/>
    <w:basedOn w:val="Normalny"/>
    <w:link w:val="StopkaZnak"/>
    <w:uiPriority w:val="99"/>
    <w:unhideWhenUsed/>
    <w:rsid w:val="0031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C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7D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4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A63F3"/>
    <w:rPr>
      <w:b/>
      <w:bCs/>
    </w:rPr>
  </w:style>
  <w:style w:type="table" w:styleId="Tabela-Siatka">
    <w:name w:val="Table Grid"/>
    <w:basedOn w:val="Standardowy"/>
    <w:uiPriority w:val="59"/>
    <w:rsid w:val="001A2ABF"/>
    <w:pPr>
      <w:spacing w:after="0" w:line="240" w:lineRule="auto"/>
      <w:ind w:left="1429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ure.com/bjc/journal/v91/n1/full/6601964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esearchgate.net/journal/1469-493X_Cochrane_database_of_systematic_reviews_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.zawilska@inter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F51E-2DCA-487F-BE91-C41BD3C9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6940</Words>
  <Characters>41641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2</cp:revision>
  <cp:lastPrinted>2014-08-02T11:26:00Z</cp:lastPrinted>
  <dcterms:created xsi:type="dcterms:W3CDTF">2014-08-23T13:29:00Z</dcterms:created>
  <dcterms:modified xsi:type="dcterms:W3CDTF">2014-08-23T13:29:00Z</dcterms:modified>
</cp:coreProperties>
</file>