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E3" w:rsidRDefault="000536E3" w:rsidP="00055919">
      <w:pPr>
        <w:pStyle w:val="Bezodstpw"/>
        <w:jc w:val="center"/>
        <w:rPr>
          <w:b/>
          <w:sz w:val="36"/>
          <w:szCs w:val="36"/>
        </w:rPr>
      </w:pPr>
      <w:r w:rsidRPr="00055919">
        <w:rPr>
          <w:b/>
          <w:sz w:val="36"/>
          <w:szCs w:val="36"/>
        </w:rPr>
        <w:t>Bezpieczne leczenie przeciwzakrzepowe – uwagi lekarza praktyka</w:t>
      </w:r>
    </w:p>
    <w:p w:rsidR="000536E3" w:rsidRDefault="000536E3" w:rsidP="00055919">
      <w:pPr>
        <w:pStyle w:val="Bezodstpw"/>
        <w:jc w:val="center"/>
        <w:rPr>
          <w:b/>
          <w:sz w:val="36"/>
          <w:szCs w:val="36"/>
        </w:rPr>
      </w:pPr>
    </w:p>
    <w:p w:rsidR="000536E3" w:rsidRDefault="000536E3" w:rsidP="00753373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W</w:t>
      </w:r>
      <w:r w:rsidRPr="00252E86">
        <w:rPr>
          <w:b/>
          <w:sz w:val="24"/>
        </w:rPr>
        <w:t>prowadzenie</w:t>
      </w:r>
    </w:p>
    <w:p w:rsidR="000536E3" w:rsidRPr="00252E86" w:rsidRDefault="000536E3" w:rsidP="00753373">
      <w:pPr>
        <w:pStyle w:val="Bezodstpw"/>
        <w:jc w:val="center"/>
        <w:rPr>
          <w:b/>
          <w:sz w:val="24"/>
        </w:rPr>
      </w:pPr>
    </w:p>
    <w:p w:rsidR="000536E3" w:rsidRPr="00252E86" w:rsidRDefault="000536E3" w:rsidP="00252E86">
      <w:pPr>
        <w:pStyle w:val="Bezodstpw"/>
        <w:ind w:firstLine="708"/>
        <w:rPr>
          <w:szCs w:val="24"/>
        </w:rPr>
      </w:pPr>
      <w:r w:rsidRPr="00252E86">
        <w:rPr>
          <w:szCs w:val="24"/>
        </w:rPr>
        <w:t>Zapewnienie bezpieczeństwa terapii przeciwkrzepliwej stało się niezmiernej wagi wyzwaniem wobec bardzo dużej  i stale  rosnącej populacji chorych wymagającej takiego postępowania .</w:t>
      </w:r>
    </w:p>
    <w:p w:rsidR="000536E3" w:rsidRDefault="000536E3" w:rsidP="005A7AD4">
      <w:pPr>
        <w:pStyle w:val="Bezodstpw"/>
        <w:jc w:val="both"/>
      </w:pPr>
      <w:r>
        <w:t xml:space="preserve">70 % pacjentów wymagających stałej antykoagulacji to osoby z różnymi formami migotania przedsionków (FA). Arytmia ta,  jakkolwiek nie zagrażająca bezpośrednio życiu niesie jednak znaczne ryzyko tzw. zatorowości obwodowej, w tym 20 % ryzyko niedokrwiennego udaru mózgu ze wszystkimi  tego konsekwencjami.    Szacuje się ,że w Polsce dotyka ona około 400 -  600 000 osób, tj. 5-10 % populacji ludzi starszych. </w:t>
      </w:r>
      <w:r w:rsidRPr="00487F28">
        <w:rPr>
          <w:rFonts w:ascii="Calibri Light" w:hAnsi="Calibri Light" w:cs="Calibri Light"/>
          <w:color w:val="000000"/>
          <w:shd w:val="clear" w:color="auto" w:fill="FFFFFF"/>
        </w:rPr>
        <w:t xml:space="preserve">Statystyki wskazują, że w ogólnej populacji arytmia ta występuje z częstością 1 proc., ale po 65. roku życia dotyczy </w:t>
      </w:r>
      <w:r>
        <w:rPr>
          <w:rFonts w:ascii="Calibri Light" w:hAnsi="Calibri Light" w:cs="Calibri Light"/>
          <w:color w:val="000000"/>
          <w:shd w:val="clear" w:color="auto" w:fill="FFFFFF"/>
        </w:rPr>
        <w:t xml:space="preserve"> już </w:t>
      </w:r>
      <w:r w:rsidRPr="00487F28">
        <w:rPr>
          <w:rFonts w:ascii="Calibri Light" w:hAnsi="Calibri Light" w:cs="Calibri Light"/>
          <w:color w:val="000000"/>
          <w:shd w:val="clear" w:color="auto" w:fill="FFFFFF"/>
        </w:rPr>
        <w:t>4 proc., a po 80. roku życia już co 10-tej osoby</w:t>
      </w:r>
      <w:r>
        <w:rPr>
          <w:rFonts w:ascii="Calibri Light" w:hAnsi="Calibri Light" w:cs="Calibri Light"/>
          <w:color w:val="000000"/>
          <w:shd w:val="clear" w:color="auto" w:fill="FFFFFF"/>
        </w:rPr>
        <w:t>.</w:t>
      </w:r>
      <w:r w:rsidRPr="00487F28">
        <w:rPr>
          <w:rStyle w:val="apple-converted-space"/>
          <w:rFonts w:ascii="Calibri Light" w:hAnsi="Calibri Light" w:cs="Calibri Light"/>
          <w:color w:val="000000"/>
          <w:shd w:val="clear" w:color="auto" w:fill="FFFFFF"/>
        </w:rPr>
        <w:t> </w:t>
      </w:r>
      <w:r w:rsidRPr="00487F28">
        <w:rPr>
          <w:rFonts w:ascii="Calibri Light" w:hAnsi="Calibri Light" w:cs="Calibri Light"/>
          <w:color w:val="000000"/>
        </w:rPr>
        <w:br/>
      </w:r>
      <w:r>
        <w:rPr>
          <w:rFonts w:ascii="Calibri Light" w:hAnsi="Calibri Light" w:cs="Calibri Light"/>
          <w:color w:val="000000"/>
          <w:shd w:val="clear" w:color="auto" w:fill="FFFFFF"/>
        </w:rPr>
        <w:t xml:space="preserve">Tak duża częstość występowania pozornie łagodnej arytmii u starszych pacjentów  związana jest z tym, że,   </w:t>
      </w:r>
      <w:r w:rsidRPr="00487F28">
        <w:rPr>
          <w:rFonts w:ascii="Calibri Light" w:hAnsi="Calibri Light" w:cs="Calibri Light"/>
          <w:color w:val="000000"/>
          <w:shd w:val="clear" w:color="auto" w:fill="FFFFFF"/>
        </w:rPr>
        <w:t>wraz z wiekiem rośnie częstość występowania schorzeń, które niekorzystnie wpływają na przebudowę mięśnia sercowego.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t xml:space="preserve"> </w:t>
      </w:r>
    </w:p>
    <w:p w:rsidR="000536E3" w:rsidRDefault="000536E3" w:rsidP="005A7AD4">
      <w:pPr>
        <w:pStyle w:val="Bezodstpw"/>
        <w:jc w:val="both"/>
      </w:pPr>
      <w:r>
        <w:t>Zauważyć należy, że zastosowanie antykoagulacji  w tej grupie pacjentów, mimo istniejących wskazań do leczenia ma jednak charakter elektywny, po uwzględnieniu ryzyka powikłań krwotocznych; nie wszyscy pacjenci będą poddawani tej terapii.</w:t>
      </w:r>
    </w:p>
    <w:p w:rsidR="000536E3" w:rsidRDefault="000536E3" w:rsidP="005A7AD4">
      <w:pPr>
        <w:pStyle w:val="Bezodstpw"/>
        <w:jc w:val="both"/>
      </w:pPr>
      <w:r>
        <w:t>Inaczej wygląda sytuacja drugiej pod względem liczebności  grupy chorych wymagających stałej bądź okresowej antykoagulacji – obarczonych żylną chorobą zakrzepowo- zatorową (ŻChZz). W naszym kraju jest to około 56-57  tys. przypadków zakrzepicy żył głębokich i 35-36 tys. przypadków zatorowości płucnej ( dane szacunkowe Unii Europejskiej). To rozpoznanie nie pozostawia wyboru i praktycznie,  poza pacjentami z bezpośrednim ryzykiem krwawienia  pozostali muszą być poddani  stałej lub okresowej antykoagulacji z uwagi na zagrożenie życia, jakie niesie za sobą  to rozpoznanie.</w:t>
      </w:r>
    </w:p>
    <w:p w:rsidR="000536E3" w:rsidRDefault="000536E3" w:rsidP="005A7AD4">
      <w:pPr>
        <w:pStyle w:val="Bezodstpw"/>
        <w:jc w:val="both"/>
      </w:pPr>
      <w:r>
        <w:t>Ważność i skalę problemu żylnej choroby zakrzepowo-zatorowej wskazuje fakt ustanowienia przez Międzynarodowe Towarzystwo Skaz Krwotocznych i Zakrzepicy (ISTH) 13 października każdego roku jako Światowego Dnia Zakrzepicy. Wg danych Towarzystwa rocznie z powodu tej choroby umiera w Europie 500 000 osób; za 10 % zgonów szpitalnych jest odpowiedzialna żylna choroba zakrzepowo- zatorowa.</w:t>
      </w:r>
    </w:p>
    <w:p w:rsidR="000536E3" w:rsidRDefault="000536E3" w:rsidP="005A7AD4">
      <w:pPr>
        <w:pStyle w:val="Bezodstpw"/>
        <w:jc w:val="both"/>
      </w:pPr>
      <w:r>
        <w:t xml:space="preserve">Zdecydowanie mniejszą zdecydowanie grupę stanowią pacjenci obarczeni  trombofilią , z wszczepionymi sztucznymi zastawkami serca,  niektórymi rodzajami protez naczyniowych, obecnością skrzeplin w lewej komorze serca, czy rzadziej – zakrzepicą tętniczą kończyn dolnych, stenozą mitralną przy zachowanym rytmie zatokowym gdy występowały epizody zakrzepowo-zatorowe w wywiadzie . </w:t>
      </w:r>
    </w:p>
    <w:p w:rsidR="000536E3" w:rsidRDefault="000536E3" w:rsidP="005A7AD4">
      <w:pPr>
        <w:pStyle w:val="Bezodstpw"/>
        <w:jc w:val="both"/>
      </w:pPr>
    </w:p>
    <w:p w:rsidR="000536E3" w:rsidRDefault="000536E3" w:rsidP="005A7AD4">
      <w:pPr>
        <w:pStyle w:val="Bezodstpw"/>
        <w:jc w:val="both"/>
      </w:pPr>
    </w:p>
    <w:p w:rsidR="000536E3" w:rsidRDefault="000536E3" w:rsidP="008542F0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Leki </w:t>
      </w:r>
      <w:r w:rsidRPr="00BA3268">
        <w:rPr>
          <w:b/>
          <w:bCs/>
        </w:rPr>
        <w:t xml:space="preserve"> zarejestrowane w Polsce w leczeniu ŻChZz oraz prewencji zatorowości u chorych z FA</w:t>
      </w:r>
      <w:r>
        <w:rPr>
          <w:b/>
          <w:bCs/>
        </w:rPr>
        <w:t xml:space="preserve"> ( migotaniem przedsionków)</w:t>
      </w:r>
    </w:p>
    <w:p w:rsidR="000536E3" w:rsidRPr="00BA3268" w:rsidRDefault="000536E3" w:rsidP="00BA3268">
      <w:pPr>
        <w:pStyle w:val="Bezodstpw"/>
        <w:numPr>
          <w:ilvl w:val="0"/>
          <w:numId w:val="14"/>
        </w:numPr>
        <w:jc w:val="both"/>
        <w:rPr>
          <w:lang w:val="en-US"/>
        </w:rPr>
      </w:pPr>
      <w:r w:rsidRPr="00BA3268">
        <w:t xml:space="preserve">Bezpośredni antagoniści trombiny i cz. </w:t>
      </w:r>
      <w:r w:rsidRPr="00BA3268">
        <w:rPr>
          <w:lang w:val="en-US"/>
        </w:rPr>
        <w:t>X ( DOAC, NOAC – direct oral anticoagulants, new oral anticoagulants) dabigatran</w:t>
      </w:r>
      <w:r>
        <w:rPr>
          <w:lang w:val="en-US"/>
        </w:rPr>
        <w:t xml:space="preserve"> (“gatrany”)</w:t>
      </w:r>
      <w:r w:rsidRPr="00BA3268">
        <w:rPr>
          <w:lang w:val="en-US"/>
        </w:rPr>
        <w:t>, rywaroksaban, apiksaban</w:t>
      </w:r>
      <w:r>
        <w:rPr>
          <w:lang w:val="en-US"/>
        </w:rPr>
        <w:t>, edoksaban (“ksabany”)</w:t>
      </w:r>
    </w:p>
    <w:p w:rsidR="000536E3" w:rsidRDefault="000536E3" w:rsidP="00BA3268">
      <w:pPr>
        <w:pStyle w:val="Bezodstpw"/>
        <w:numPr>
          <w:ilvl w:val="0"/>
          <w:numId w:val="14"/>
        </w:numPr>
        <w:jc w:val="both"/>
      </w:pPr>
      <w:r w:rsidRPr="00BA3268">
        <w:t>VKA, DA – anatgoniści wit.</w:t>
      </w:r>
      <w:r>
        <w:t xml:space="preserve"> K </w:t>
      </w:r>
      <w:r w:rsidRPr="00BA3268">
        <w:t xml:space="preserve"> – acenokumarol, warfaryna</w:t>
      </w:r>
      <w:r>
        <w:t>.</w:t>
      </w:r>
    </w:p>
    <w:p w:rsidR="000536E3" w:rsidRPr="00BA3268" w:rsidRDefault="000536E3" w:rsidP="002E2C7A">
      <w:pPr>
        <w:pStyle w:val="Bezodstpw"/>
        <w:ind w:left="720"/>
        <w:jc w:val="both"/>
      </w:pPr>
      <w:r>
        <w:t>W praktyce polscy lekarze mogą także zetknąć się z pacjentami, przede wszystkim pochodzącymi z Europy Zachodniej ( Niemcy),  którzy są leczeni niezajestrowaną w kraju  bardzo długo działającą pochodną kumaryny ( okres półtrwania 14 dni) – fenprokumonem o nazwie handlowej Marcumar.</w:t>
      </w:r>
    </w:p>
    <w:p w:rsidR="000536E3" w:rsidRPr="00BA3268" w:rsidRDefault="000536E3" w:rsidP="00BA3268">
      <w:pPr>
        <w:pStyle w:val="Bezodstpw"/>
        <w:numPr>
          <w:ilvl w:val="0"/>
          <w:numId w:val="14"/>
        </w:numPr>
        <w:jc w:val="both"/>
      </w:pPr>
      <w:r w:rsidRPr="00BA3268">
        <w:t>Fondaparynuks</w:t>
      </w:r>
    </w:p>
    <w:p w:rsidR="000536E3" w:rsidRPr="00BA3268" w:rsidRDefault="000536E3" w:rsidP="00BA3268">
      <w:pPr>
        <w:pStyle w:val="Bezodstpw"/>
        <w:numPr>
          <w:ilvl w:val="0"/>
          <w:numId w:val="14"/>
        </w:numPr>
        <w:jc w:val="both"/>
      </w:pPr>
      <w:r w:rsidRPr="00BA3268">
        <w:t>Heparyny drobnocząsteczkowe ( LMWH, HDCz)</w:t>
      </w:r>
    </w:p>
    <w:p w:rsidR="000536E3" w:rsidRPr="00BA3268" w:rsidRDefault="000536E3" w:rsidP="00BA3268">
      <w:pPr>
        <w:pStyle w:val="Bezodstpw"/>
        <w:numPr>
          <w:ilvl w:val="0"/>
          <w:numId w:val="14"/>
        </w:numPr>
        <w:jc w:val="both"/>
      </w:pPr>
      <w:r w:rsidRPr="00BA3268">
        <w:t>Heparyna niefrakcjonowana  (HNF, UFH)</w:t>
      </w:r>
    </w:p>
    <w:p w:rsidR="000536E3" w:rsidRPr="00BA3268" w:rsidRDefault="000536E3" w:rsidP="00F34027">
      <w:pPr>
        <w:pStyle w:val="Bezodstpw"/>
        <w:ind w:left="360"/>
        <w:jc w:val="both"/>
      </w:pPr>
      <w:r>
        <w:lastRenderedPageBreak/>
        <w:t>Obecnie podnosi się możliwość stosowania  w</w:t>
      </w:r>
      <w:r w:rsidRPr="00BA3268">
        <w:t xml:space="preserve"> </w:t>
      </w:r>
      <w:r>
        <w:t xml:space="preserve"> prewencji wtórnej ŻChZz</w:t>
      </w:r>
      <w:r w:rsidRPr="00BA3268">
        <w:t xml:space="preserve"> </w:t>
      </w:r>
      <w:r>
        <w:t>w szczególnych uwarunkowaniach klinicznych kwasu acetylosalicylowego i sulodeksydu.</w:t>
      </w:r>
    </w:p>
    <w:p w:rsidR="000536E3" w:rsidRDefault="000536E3" w:rsidP="005A7AD4">
      <w:pPr>
        <w:pStyle w:val="Bezodstpw"/>
        <w:jc w:val="both"/>
      </w:pPr>
      <w:r>
        <w:t>Opracowanie niniejsze obejmuje standardowe  leki stosowane przede wszystkim w terapii przewlekłej.</w:t>
      </w:r>
    </w:p>
    <w:p w:rsidR="000536E3" w:rsidRDefault="000536E3" w:rsidP="00BC0DB5">
      <w:pPr>
        <w:pStyle w:val="Bezodstpw"/>
        <w:ind w:left="360"/>
        <w:rPr>
          <w:sz w:val="24"/>
        </w:rPr>
      </w:pPr>
      <w:r w:rsidRPr="00BC0DB5">
        <w:rPr>
          <w:b/>
          <w:sz w:val="24"/>
        </w:rPr>
        <w:t>Warunki do zachowania optymalnego bezpieczeństwa terapii przeciwkrzepliwej leżą tak po stronie lekarza jak i pacjenta</w:t>
      </w:r>
      <w:r>
        <w:rPr>
          <w:sz w:val="24"/>
        </w:rPr>
        <w:t xml:space="preserve">. </w:t>
      </w:r>
    </w:p>
    <w:p w:rsidR="000536E3" w:rsidRPr="00284237" w:rsidRDefault="000536E3" w:rsidP="00BC0DB5">
      <w:pPr>
        <w:pStyle w:val="Bezodstpw"/>
        <w:ind w:left="360"/>
        <w:rPr>
          <w:sz w:val="32"/>
        </w:rPr>
      </w:pPr>
    </w:p>
    <w:p w:rsidR="000536E3" w:rsidRPr="00284237" w:rsidRDefault="000536E3" w:rsidP="00196712">
      <w:pPr>
        <w:pStyle w:val="Bezodstpw"/>
        <w:ind w:left="1070"/>
        <w:rPr>
          <w:b/>
          <w:sz w:val="32"/>
        </w:rPr>
      </w:pPr>
      <w:r w:rsidRPr="00284237">
        <w:rPr>
          <w:b/>
          <w:sz w:val="32"/>
        </w:rPr>
        <w:t xml:space="preserve">Lekarz musi wspólnie z chorym podjąć decyzję </w:t>
      </w:r>
      <w:r w:rsidRPr="00284237">
        <w:rPr>
          <w:b/>
          <w:sz w:val="32"/>
          <w:u w:val="single"/>
        </w:rPr>
        <w:t>czy włączyć</w:t>
      </w:r>
      <w:r w:rsidRPr="00284237">
        <w:rPr>
          <w:b/>
          <w:sz w:val="32"/>
        </w:rPr>
        <w:t xml:space="preserve"> leczenie przeciwzakrzepowe ? </w:t>
      </w:r>
    </w:p>
    <w:p w:rsidR="000536E3" w:rsidRDefault="000536E3" w:rsidP="005A7AD4">
      <w:pPr>
        <w:pStyle w:val="Bezodstpw"/>
        <w:ind w:left="720"/>
        <w:jc w:val="both"/>
        <w:rPr>
          <w:sz w:val="24"/>
        </w:rPr>
      </w:pPr>
      <w:r>
        <w:rPr>
          <w:sz w:val="24"/>
        </w:rPr>
        <w:t xml:space="preserve">Dotyczy to sytuacji gdzie taki wybór jest fakultatywny; a więc przede wszystkim najliczniejszej grupy pacjentów z różnymi formami migotania przedsionków. W powzięciu decyzji tej może  pomóc oparcie się z jednej strony na skali ryzyka zatorowości obwodowej ( w tym najpopularniejszej CHA2DS2 - VASc, z drugiej natomiast – ryzyka powikłań krwotocznych  ( dotychczas najczęściej stosowana HAS-BLED) Należy zauważyć, że nie można tymi kategoriami posłużyć się w przypadku zakrzepicy żył głębokich i jej najpoważniejszego powikłania – zatorowości płucnej, gdzie od podjęcia leczenia mogą zwolnić jedynie bezwzględne przeciwwskazania, po rozważeniu – jaka decyzja niesie za sobą większe ryzyko dla chorego i nie można tu ekstrapolować skal dedykowanych dla chorych z migotaniem przedsionków, jakkolwiek można i należy minimalizować ryzyko powikłań. </w:t>
      </w:r>
    </w:p>
    <w:p w:rsidR="000536E3" w:rsidRDefault="000536E3" w:rsidP="005A7AD4">
      <w:pPr>
        <w:pStyle w:val="Bezodstpw"/>
        <w:ind w:left="720"/>
        <w:jc w:val="both"/>
        <w:rPr>
          <w:sz w:val="24"/>
        </w:rPr>
      </w:pPr>
      <w:r>
        <w:rPr>
          <w:sz w:val="24"/>
        </w:rPr>
        <w:t>W przypadku żylnej choroby zakrzepowo- zatorowej możliwe jest natomiast posłużenie się skalą VTE-BLEED identyfikującą pacjentów obciążonych kilkakrotnie wyższym ryzykiem krwawienia podczas leczenia przewlekłego celem optymalizacji terapii (1)</w:t>
      </w:r>
    </w:p>
    <w:p w:rsidR="000536E3" w:rsidRDefault="000536E3" w:rsidP="001632FB">
      <w:pPr>
        <w:pStyle w:val="Bezodstpw"/>
        <w:ind w:left="350"/>
        <w:jc w:val="center"/>
        <w:rPr>
          <w:sz w:val="24"/>
        </w:rPr>
      </w:pPr>
      <w:r w:rsidRPr="00B4082E">
        <w:rPr>
          <w:b/>
          <w:sz w:val="24"/>
        </w:rPr>
        <w:t>Lekarz musi dokonać wyboru optymalnego dla sytuacji pacjenta leku</w:t>
      </w:r>
      <w:r>
        <w:rPr>
          <w:sz w:val="24"/>
        </w:rPr>
        <w:t xml:space="preserve">  </w:t>
      </w:r>
      <w:r w:rsidRPr="00BC0DB5">
        <w:rPr>
          <w:b/>
          <w:sz w:val="24"/>
        </w:rPr>
        <w:t>i dawki</w:t>
      </w:r>
    </w:p>
    <w:p w:rsidR="000536E3" w:rsidRDefault="000536E3" w:rsidP="009E0AD3">
      <w:pPr>
        <w:pStyle w:val="Bezodstpw"/>
        <w:ind w:left="350"/>
        <w:rPr>
          <w:sz w:val="24"/>
        </w:rPr>
      </w:pPr>
      <w:r w:rsidRPr="009E0AD3">
        <w:rPr>
          <w:bCs/>
          <w:sz w:val="24"/>
        </w:rPr>
        <w:t>Od 2009 roku wg ustaleń</w:t>
      </w:r>
      <w:r>
        <w:rPr>
          <w:b/>
          <w:bCs/>
          <w:sz w:val="24"/>
        </w:rPr>
        <w:t xml:space="preserve"> </w:t>
      </w:r>
      <w:r w:rsidRPr="009E0AD3">
        <w:rPr>
          <w:sz w:val="24"/>
        </w:rPr>
        <w:t>Europejskiego Towarzystwa Kardiologicznego ( ESC) i Amerykańskiego Towarzystwa Lekarzy Klatki Piersiowej (ACCP)</w:t>
      </w:r>
      <w:r>
        <w:rPr>
          <w:sz w:val="24"/>
        </w:rPr>
        <w:t xml:space="preserve"> -2016 -  lekami pierwszego wyboru zarówno w migotaniu przedsionków jak i ŻChZZ są leki z grupy NOAC, DOAC (2) – udokumentowana podobna skuteczność jak VKA przy  redukcji do 40 % powikłań krwotocznych, stałe działanie, brak konieczności kontroli parametrów krzepnięcia, stosunkowo niewiele interakcji. Należy uwzględnić tu szereg uwarunkowań : </w:t>
      </w:r>
    </w:p>
    <w:p w:rsidR="000536E3" w:rsidRDefault="000536E3" w:rsidP="00170D22">
      <w:pPr>
        <w:pStyle w:val="Bezodstpw"/>
        <w:ind w:left="1070"/>
        <w:jc w:val="both"/>
        <w:rPr>
          <w:sz w:val="24"/>
        </w:rPr>
      </w:pPr>
    </w:p>
    <w:p w:rsidR="000536E3" w:rsidRDefault="000536E3" w:rsidP="00C24678">
      <w:pPr>
        <w:pStyle w:val="Bezodstpw"/>
        <w:numPr>
          <w:ilvl w:val="0"/>
          <w:numId w:val="9"/>
        </w:numPr>
        <w:jc w:val="both"/>
        <w:rPr>
          <w:sz w:val="24"/>
        </w:rPr>
      </w:pPr>
      <w:r w:rsidRPr="00170D22">
        <w:rPr>
          <w:b/>
          <w:sz w:val="24"/>
        </w:rPr>
        <w:t>konieczność wyłączenia pacjentów u których NOAC na obecnym etapie wiedzy są przeciwwskazane</w:t>
      </w:r>
      <w:r>
        <w:rPr>
          <w:sz w:val="24"/>
        </w:rPr>
        <w:t xml:space="preserve"> </w:t>
      </w:r>
      <w:r w:rsidRPr="00170D22">
        <w:rPr>
          <w:b/>
          <w:sz w:val="24"/>
        </w:rPr>
        <w:t>bądź niewskazane</w:t>
      </w:r>
      <w:r>
        <w:rPr>
          <w:sz w:val="24"/>
        </w:rPr>
        <w:t xml:space="preserve"> tj. :</w:t>
      </w:r>
    </w:p>
    <w:p w:rsidR="000536E3" w:rsidRDefault="000536E3" w:rsidP="00170D22">
      <w:pPr>
        <w:pStyle w:val="Bezodstpw"/>
        <w:numPr>
          <w:ilvl w:val="2"/>
          <w:numId w:val="8"/>
        </w:numPr>
        <w:ind w:left="851" w:hanging="142"/>
        <w:jc w:val="both"/>
      </w:pPr>
      <w:r>
        <w:t>pacjenci, którzy potencjalnie mogą wymagać leczenia trombolitycznego z powodu       masywnej zatorowości płucnej, rozległej zakrzepicy żylnej lub udaru niedokrwiennego mózgu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t>chorzy z zakrzepicą tętniczą, także w wywiadzie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t>pacjenci z umiarkowanym i ciężkim zwężeniem lewego ujścia żylnego ( mitralnego) – zwykle poreumatycznym.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t>Chorzy z mechaniczną protezą zastawkową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t>Zmienia się obecnie podejście do pacjentów z tzw 2 typem choroby zastawkowej serca (VHD) tj. z niedomykalnością mitralną, po zabiegu naprawczym zastawki mitralnej, ze zwężeniem/ niedomykalnością zastawki aortalnej, zwężeniem/ niedomykalnością zastawki trójdzielnej oraz tętnicy płucnej, po przezskórnym wszczepieniu zastawki aortalnej (TAVI)- pacjenci z takim problemami byli włączani do badań klinicznych z NOAC i u większości z nich można je zastosować.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lastRenderedPageBreak/>
        <w:t>Akceptowane jest  już leczenie NOAC u pacjentów po wszczepieniu zastawki biologicznej w pozycji mitralnej, jeżeli wyjściowo stwierdzono  zwyrodnieniową niedomykalność zastawki a także po implantacji zastawki biologicznej pozycji aortalnej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t>pacjenci z zespołem antyfosfolipidowym i innymi trombofiliami – tutaj jednak zdania hematologów są rozbieżne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t>osoby poniżej 18 r.ż ( brak badań)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t xml:space="preserve">pacjenci z chorobą nowotworową ( lekiem pierwszego wyboru pozostają HDCz, jakkolwiek wyniki trwających badań wskazują, że zalecenie to może się zmienić 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 w:rsidRPr="00474708">
        <w:t>pacjentki w ciąży i karmiące</w:t>
      </w:r>
      <w:r>
        <w:t xml:space="preserve"> ( leki przechodzą przez barierę łożyskową i do mleka matki)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t>pacjenci z niewydolnością nerek  i granicą GFR poniżej 15ml/min( ksabany) i 30 ml/min ( dabigatran)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t>pacjenci z ciężkim uszkodzeniem wątroby przebiegającym z koagulopatią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t>osoby nie akceptujące ze względów finansowych NOAC – w naszym kraju częściowa refundacja dotyczy jedynie chorych z ŻChZZ; leki te są bezpłatne dla chorych po 75 r.ż z tym rozpoznaniem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t>nie ma wskazań do zmiany leczenia z VKA dla pacjentów ze stabilnym INR, pozostających w TTR (</w:t>
      </w:r>
      <w:r w:rsidRPr="00565C16">
        <w:rPr>
          <w:rFonts w:ascii="Tahoma" w:hAnsi="Tahoma" w:cs="Tahoma"/>
          <w:sz w:val="20"/>
        </w:rPr>
        <w:t>czas utrzymywania się wartości międzynarodowego współczynnika znormalizowanego (INR) w przedziale terapeutycznym</w:t>
      </w:r>
      <w:r w:rsidRPr="00565C16">
        <w:rPr>
          <w:sz w:val="20"/>
        </w:rPr>
        <w:t xml:space="preserve"> )</w:t>
      </w:r>
      <w:r w:rsidRPr="00A23CE9">
        <w:rPr>
          <w:sz w:val="20"/>
        </w:rPr>
        <w:t xml:space="preserve"> </w:t>
      </w:r>
      <w:r>
        <w:rPr>
          <w:rFonts w:cs="Calibri"/>
        </w:rPr>
        <w:t>≥</w:t>
      </w:r>
      <w:r>
        <w:t xml:space="preserve"> 70%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t>Chorzy, którzy będą leczenia lekami mogącymi wejść w interakcję z NOAC -  nie ma możliwości kontrolowania skuteczności a przede wszystkim bezpieczeństwa leczenia</w:t>
      </w:r>
    </w:p>
    <w:p w:rsidR="000536E3" w:rsidRDefault="000536E3" w:rsidP="00BC0DB5">
      <w:pPr>
        <w:pStyle w:val="Bezodstpw"/>
        <w:numPr>
          <w:ilvl w:val="0"/>
          <w:numId w:val="8"/>
        </w:numPr>
        <w:jc w:val="both"/>
      </w:pPr>
      <w:r>
        <w:t>Chorzy, których waga przekracza 120 kg – brak danych o skuteczności leków (3,4)</w:t>
      </w:r>
    </w:p>
    <w:p w:rsidR="000536E3" w:rsidRDefault="000536E3" w:rsidP="002D58B8">
      <w:pPr>
        <w:pStyle w:val="Bezodstpw"/>
        <w:ind w:left="1080"/>
        <w:jc w:val="both"/>
      </w:pPr>
    </w:p>
    <w:p w:rsidR="000536E3" w:rsidRDefault="000536E3" w:rsidP="00003BCB">
      <w:pPr>
        <w:pStyle w:val="Bezodstpw"/>
        <w:ind w:left="1080"/>
        <w:jc w:val="both"/>
      </w:pPr>
      <w:r>
        <w:t>Szczególną korzyść mogą odnieść pacjenci z n</w:t>
      </w:r>
      <w:r w:rsidRPr="00003BCB">
        <w:t>iestabilnym INR</w:t>
      </w:r>
      <w:r>
        <w:t>, p</w:t>
      </w:r>
      <w:r w:rsidRPr="00003BCB">
        <w:t>roblemami z kontrolą laboratoryjną</w:t>
      </w:r>
      <w:r>
        <w:t>, poddani</w:t>
      </w:r>
      <w:r w:rsidRPr="00003BCB">
        <w:t xml:space="preserve"> polifarmakoterapii</w:t>
      </w:r>
      <w:r>
        <w:t>, z</w:t>
      </w:r>
      <w:r w:rsidRPr="00003BCB">
        <w:t>e zwiększonym ryzykiem krwawienia</w:t>
      </w:r>
      <w:r>
        <w:t>.</w:t>
      </w:r>
      <w:r w:rsidRPr="00003BCB">
        <w:t xml:space="preserve">  </w:t>
      </w:r>
    </w:p>
    <w:p w:rsidR="000536E3" w:rsidRDefault="000536E3" w:rsidP="00BA1309">
      <w:pPr>
        <w:pStyle w:val="Bezodstpw"/>
        <w:ind w:left="1800"/>
        <w:jc w:val="both"/>
      </w:pPr>
    </w:p>
    <w:p w:rsidR="000536E3" w:rsidRDefault="000536E3" w:rsidP="00BA1309">
      <w:pPr>
        <w:pStyle w:val="Bezodstpw"/>
        <w:numPr>
          <w:ilvl w:val="0"/>
          <w:numId w:val="9"/>
        </w:numPr>
        <w:jc w:val="both"/>
        <w:rPr>
          <w:sz w:val="24"/>
        </w:rPr>
      </w:pPr>
      <w:r>
        <w:rPr>
          <w:b/>
          <w:sz w:val="24"/>
        </w:rPr>
        <w:t xml:space="preserve">Konieczność wykonania panelu badań przed rozpoczęciem leczenia – </w:t>
      </w:r>
      <w:r>
        <w:rPr>
          <w:sz w:val="24"/>
        </w:rPr>
        <w:t>w</w:t>
      </w:r>
      <w:r w:rsidRPr="0099029A">
        <w:rPr>
          <w:sz w:val="24"/>
        </w:rPr>
        <w:t xml:space="preserve"> przypadku NOAC</w:t>
      </w:r>
      <w:r>
        <w:rPr>
          <w:b/>
          <w:sz w:val="24"/>
        </w:rPr>
        <w:t xml:space="preserve"> </w:t>
      </w:r>
      <w:r w:rsidRPr="00D150F0">
        <w:rPr>
          <w:sz w:val="24"/>
        </w:rPr>
        <w:t>minimum to morfologia z oceną ilości płytek, stężenie i klirens kreatyniny, podstawowe testy czynności wątroby</w:t>
      </w:r>
      <w:r>
        <w:rPr>
          <w:sz w:val="24"/>
        </w:rPr>
        <w:t xml:space="preserve"> (3)</w:t>
      </w:r>
      <w:r w:rsidRPr="00D150F0">
        <w:rPr>
          <w:sz w:val="24"/>
        </w:rPr>
        <w:t>.</w:t>
      </w:r>
      <w:r>
        <w:rPr>
          <w:sz w:val="24"/>
        </w:rPr>
        <w:t xml:space="preserve"> </w:t>
      </w:r>
    </w:p>
    <w:p w:rsidR="000536E3" w:rsidRDefault="000536E3" w:rsidP="00C21F85">
      <w:pPr>
        <w:pStyle w:val="Bezodstpw"/>
        <w:ind w:left="1800"/>
        <w:jc w:val="both"/>
        <w:rPr>
          <w:sz w:val="24"/>
        </w:rPr>
      </w:pPr>
      <w:r>
        <w:rPr>
          <w:sz w:val="24"/>
        </w:rPr>
        <w:t>Należy zwrócić uwagę na ograniczoną wartość eGFR,  wyliczonego  przez laboratoria wyłącznie na podstawie  wieku, rasy  i płci  pacjenta wg wzoru MDRD. U większości chorych jest to wystarczające, jednak w populacji starszych osób, z małą masą mięśniową, rzeczywisty wynik bywa przeszacowany i należałoby oprzeć się o wzór Cockrofta  - Gaulta .</w:t>
      </w:r>
    </w:p>
    <w:p w:rsidR="000536E3" w:rsidRPr="00D150F0" w:rsidRDefault="000536E3" w:rsidP="0099029A">
      <w:pPr>
        <w:pStyle w:val="Bezodstpw"/>
        <w:ind w:left="1800"/>
        <w:jc w:val="both"/>
        <w:rPr>
          <w:sz w:val="24"/>
        </w:rPr>
      </w:pPr>
      <w:r>
        <w:rPr>
          <w:sz w:val="24"/>
        </w:rPr>
        <w:t>Każdy pacjent powinien mieć  oznaczoną</w:t>
      </w:r>
      <w:r w:rsidRPr="00D150F0">
        <w:rPr>
          <w:sz w:val="24"/>
        </w:rPr>
        <w:t xml:space="preserve"> grupę krwi </w:t>
      </w:r>
      <w:r>
        <w:rPr>
          <w:sz w:val="24"/>
        </w:rPr>
        <w:t>(2). W przypadku leczenia VKA – oczywiście wyjściowy czas protrombinowy jako wskaźnik INR</w:t>
      </w:r>
    </w:p>
    <w:p w:rsidR="000536E3" w:rsidRPr="005A7AD4" w:rsidRDefault="000536E3" w:rsidP="00170D22">
      <w:pPr>
        <w:pStyle w:val="Bezodstpw"/>
        <w:ind w:left="1440"/>
        <w:jc w:val="both"/>
        <w:rPr>
          <w:sz w:val="24"/>
        </w:rPr>
      </w:pPr>
    </w:p>
    <w:p w:rsidR="000536E3" w:rsidRDefault="000536E3" w:rsidP="00170D22">
      <w:pPr>
        <w:pStyle w:val="Bezodstpw"/>
        <w:numPr>
          <w:ilvl w:val="0"/>
          <w:numId w:val="9"/>
        </w:numPr>
        <w:jc w:val="both"/>
        <w:rPr>
          <w:sz w:val="24"/>
        </w:rPr>
      </w:pPr>
      <w:r>
        <w:rPr>
          <w:b/>
          <w:sz w:val="24"/>
        </w:rPr>
        <w:t>drogę</w:t>
      </w:r>
      <w:r w:rsidRPr="00D150F0">
        <w:rPr>
          <w:b/>
          <w:sz w:val="24"/>
        </w:rPr>
        <w:t xml:space="preserve"> eliminacji leków</w:t>
      </w:r>
      <w:r>
        <w:rPr>
          <w:sz w:val="24"/>
        </w:rPr>
        <w:t xml:space="preserve"> – przede wszystkim   ocena funkcji nerek ale też wątroby. Granicą zastosowania dabigatranu jest eGFR 30 ml/min, ksabanów ( rywaroksaban, apiksaban, edoksaban ) – 15ml/min; przy niższych wartościach zdecydowanie należy wybrać VKA ( eliminacja nerkowa poniżej 1%). U pacjentów z ciężkim uszkodzeniem wątroby, przebiegającym z koagulopatią NOAC są również p-wskazane.  (3)</w:t>
      </w:r>
    </w:p>
    <w:p w:rsidR="000536E3" w:rsidRDefault="000536E3" w:rsidP="00BA1309">
      <w:pPr>
        <w:pStyle w:val="Bezodstpw"/>
        <w:numPr>
          <w:ilvl w:val="0"/>
          <w:numId w:val="9"/>
        </w:numPr>
        <w:jc w:val="both"/>
        <w:rPr>
          <w:sz w:val="24"/>
        </w:rPr>
      </w:pPr>
      <w:r w:rsidRPr="00D150F0">
        <w:rPr>
          <w:b/>
          <w:sz w:val="24"/>
        </w:rPr>
        <w:t xml:space="preserve">interakcje leków </w:t>
      </w:r>
      <w:r>
        <w:rPr>
          <w:sz w:val="24"/>
        </w:rPr>
        <w:t xml:space="preserve">–  jest to zagadnienie wielkiej wagi , wbrew pozorom, nie tylko w przypadku leczenia VKA ale także NOAC. </w:t>
      </w:r>
    </w:p>
    <w:p w:rsidR="000536E3" w:rsidRDefault="000536E3" w:rsidP="002D58B8">
      <w:pPr>
        <w:pStyle w:val="Bezodstpw"/>
        <w:ind w:left="1800"/>
        <w:jc w:val="both"/>
        <w:rPr>
          <w:sz w:val="24"/>
        </w:rPr>
      </w:pPr>
      <w:r>
        <w:rPr>
          <w:sz w:val="24"/>
        </w:rPr>
        <w:t>Pochodne kumaryny metabolizowane są przez zespół enzymów cytochromu P450 i jego podjednostek – jest  to wspólny szlak metaboliczny większości leków. (5)</w:t>
      </w:r>
    </w:p>
    <w:p w:rsidR="000536E3" w:rsidRDefault="000536E3" w:rsidP="002D58B8">
      <w:pPr>
        <w:pStyle w:val="Bezodstpw"/>
        <w:ind w:left="1800"/>
        <w:jc w:val="both"/>
        <w:rPr>
          <w:sz w:val="24"/>
        </w:rPr>
      </w:pPr>
      <w:r>
        <w:rPr>
          <w:sz w:val="24"/>
        </w:rPr>
        <w:lastRenderedPageBreak/>
        <w:t>Metabolizm acenokumarolu i warfaryny przebiega podobnie ale nie identycznie pierwszy z nich jest substratem dla 1 enzymu CYP (CYP2C9), warfaryna dla 2 – CYP2C9 i CYP3A4. Dla warfaryny opisano ponad 200 interakcji. (5) W praktyce najistotniejsze leki/ grupy leków zwiększające aktywność antywitamin K to: allpurinol, anaboliki, androgeny, amiodaron, antybiotyki, w tym fluorochinolony, fibraty, nitroimidazole, kotrimoksazol, sulfonylomoczniki, hormony tarczycy, omeprazol, statyny, paracetamol, NLPZ, tramadol. Szczególnie należy zwrócić uwagę na możliwość poważnej,  dwupoziomowej interakcji preparatów tramadolu i paracetamolu istotnie zwiększającej  ryzyko krwawień.</w:t>
      </w:r>
    </w:p>
    <w:p w:rsidR="000536E3" w:rsidRDefault="000536E3" w:rsidP="002D58B8">
      <w:pPr>
        <w:pStyle w:val="Bezodstpw"/>
        <w:ind w:left="1800"/>
        <w:jc w:val="both"/>
        <w:rPr>
          <w:sz w:val="24"/>
        </w:rPr>
      </w:pPr>
      <w:r>
        <w:rPr>
          <w:sz w:val="24"/>
        </w:rPr>
        <w:t>Szereg leków zmniejsza siłę działania VKA – przede wszystkim karbamazepina, fenytoina, tiazydy, ale też diuretyki pętlowe, barbiturany, niektóre cytostatyki, antacida, preparaty dziurawca.</w:t>
      </w:r>
    </w:p>
    <w:p w:rsidR="000536E3" w:rsidRDefault="000536E3" w:rsidP="002D58B8">
      <w:pPr>
        <w:pStyle w:val="Bezodstpw"/>
        <w:ind w:left="1800"/>
        <w:jc w:val="both"/>
        <w:rPr>
          <w:sz w:val="24"/>
        </w:rPr>
      </w:pPr>
      <w:r>
        <w:rPr>
          <w:sz w:val="24"/>
        </w:rPr>
        <w:t>W przypadku NOAC leki będące silnymi inhibitorami glikoproteiny P i CYP3A4  mogą, zmniejszając eliminację NOAC, zwiększać ryzyko krwawienia, induktory natomiast powodować nieskuteczność antykoagulacji.</w:t>
      </w:r>
    </w:p>
    <w:p w:rsidR="000536E3" w:rsidRDefault="000536E3" w:rsidP="002D58B8">
      <w:pPr>
        <w:pStyle w:val="Bezodstpw"/>
        <w:ind w:left="1800"/>
        <w:jc w:val="both"/>
        <w:rPr>
          <w:sz w:val="24"/>
        </w:rPr>
      </w:pPr>
      <w:r>
        <w:rPr>
          <w:sz w:val="24"/>
        </w:rPr>
        <w:t>Ostatnio przewodnik ekspertów EHRA ( European Heart Rhytm Association) z 2018 roku zaleca zasady następujące:</w:t>
      </w:r>
    </w:p>
    <w:p w:rsidR="000536E3" w:rsidRDefault="000536E3" w:rsidP="002D58B8">
      <w:pPr>
        <w:pStyle w:val="Bezodstpw"/>
        <w:ind w:left="1800"/>
        <w:jc w:val="both"/>
        <w:rPr>
          <w:sz w:val="24"/>
        </w:rPr>
      </w:pPr>
      <w:r>
        <w:rPr>
          <w:sz w:val="24"/>
        </w:rPr>
        <w:t>- niestosowanie leków z grupy NOAC z : lekami przeciwwirusowymi, przeciwgrzybiczymi i antybiotykami: inhibitorami proteazy HIV, ketokonazolem, itrakonazolem worykonazolem, pozakonazolem, rifampicyną, onkologicznymi: winblastyną, doksorubicyną, imatynibem, kryzotynibem, wandetanibem, sunitynibem, arbirateronem, enzalutamidem, cyklosporyną ( dotyczy dabigatranu), deksametazonem, takrolimusem ( dotyczy głównie dabigatranu), przeciwpadaczkowymi: karbamazepiną, lewetyracetamem, fenobarbitalem, fenytoiną, kwasem walproinowym. Nie należy także łączyć ich z dronedaronem, w przypadku leczenia werapamilem ograniczyć dawkę dabigatranu (3,4)</w:t>
      </w:r>
    </w:p>
    <w:p w:rsidR="000536E3" w:rsidRDefault="000536E3" w:rsidP="002D58B8">
      <w:pPr>
        <w:pStyle w:val="Bezodstpw"/>
        <w:ind w:left="1800"/>
        <w:jc w:val="both"/>
        <w:rPr>
          <w:sz w:val="24"/>
        </w:rPr>
      </w:pPr>
      <w:r>
        <w:rPr>
          <w:sz w:val="24"/>
        </w:rPr>
        <w:t>Praktycznie jest przyjąć zasadę sprawdzenia każdego dodatkowego rzadziej zalecanego leku czy nie wchodzi w istotną klinicznie interakcję z lekami przeciwzakrzepowymi.</w:t>
      </w:r>
    </w:p>
    <w:p w:rsidR="000536E3" w:rsidRDefault="000536E3" w:rsidP="002D58B8">
      <w:pPr>
        <w:pStyle w:val="Bezodstpw"/>
        <w:ind w:left="1800"/>
        <w:jc w:val="both"/>
        <w:rPr>
          <w:sz w:val="24"/>
        </w:rPr>
      </w:pPr>
      <w:r>
        <w:rPr>
          <w:sz w:val="24"/>
        </w:rPr>
        <w:t>Należy tu zauważyć, że jakkolwiek opisane klinicznie istotne interakcje NOAC są  porównaniu z VKA stosunkowo nieliczne to jednak w praktyce mogą stwarzać większe zagrożenie krwawieniami lub nieskutecznością antykoagulacji, ponieważ nie dysponujemy możliwością pomiaru siły działania leku przeciwzakrzepowego w połączeniu z wchodzącym w interakcję , tak jak w przypadku VKA ( INR).</w:t>
      </w:r>
    </w:p>
    <w:p w:rsidR="000536E3" w:rsidRDefault="000536E3" w:rsidP="005A7AD4">
      <w:pPr>
        <w:pStyle w:val="Bezodstpw"/>
        <w:ind w:left="1440"/>
        <w:jc w:val="both"/>
        <w:rPr>
          <w:sz w:val="24"/>
        </w:rPr>
      </w:pPr>
      <w:r>
        <w:rPr>
          <w:sz w:val="24"/>
        </w:rPr>
        <w:t>Bardzo istotnym problemem jest konieczność jednoczesnego stosowania leków przeciwzakrzepowych i przeciwpłytkowych u chorych po interwencjach wewnątrznaczyniowych;  do niedawna zalecano unikanie jednoczesnego z NOAC stosowania prasugrelu i tikagreloru, obecnie zalecania zmieniają się  (3, 4 )</w:t>
      </w:r>
    </w:p>
    <w:p w:rsidR="000536E3" w:rsidRDefault="000536E3" w:rsidP="000634EA">
      <w:pPr>
        <w:pStyle w:val="Bezodstpw"/>
        <w:numPr>
          <w:ilvl w:val="0"/>
          <w:numId w:val="9"/>
        </w:numPr>
        <w:jc w:val="both"/>
        <w:rPr>
          <w:sz w:val="24"/>
        </w:rPr>
      </w:pPr>
      <w:r w:rsidRPr="00F476B4">
        <w:rPr>
          <w:b/>
          <w:sz w:val="24"/>
        </w:rPr>
        <w:t>koszt leczenia możliwy do zaakceptowania dla pacjenta</w:t>
      </w:r>
      <w:r w:rsidRPr="00F476B4">
        <w:rPr>
          <w:sz w:val="24"/>
        </w:rPr>
        <w:t xml:space="preserve">. Należy pamiętać, że w polskich uwarunkowaniach prawno- refundacyjnych miesięczny koszt leczenia lekiem z grupy NOAC największej grupy pacjentów wymagających antykoagulacji tj chorych z AF będzie </w:t>
      </w:r>
      <w:r w:rsidRPr="00F476B4">
        <w:rPr>
          <w:sz w:val="24"/>
        </w:rPr>
        <w:lastRenderedPageBreak/>
        <w:t xml:space="preserve">przekraczał 100 PLN vs kilkuzłotowy koszt leczenia VKA. 30 % refundacja dotyczy tylko chorych otrzymujących NOAC (dabigatran i rywaroksaban) w pierwotnej lub wtórnej profilaktyce ŻChZZ; koszty ponoszone przez pacjenta są jednak   nadal znaczne. Leki te są bezpłatne </w:t>
      </w:r>
      <w:r>
        <w:rPr>
          <w:sz w:val="24"/>
        </w:rPr>
        <w:t xml:space="preserve"> tylko </w:t>
      </w:r>
      <w:r w:rsidRPr="00F476B4">
        <w:rPr>
          <w:sz w:val="24"/>
        </w:rPr>
        <w:t xml:space="preserve">w w.w. wskazaniach dla chorych powyżej 75 r.ż Konieczne jest wcześniejsze ustalenie tego z pacjentem, wskazując jak długo chory powinien przyjmować lek. Zdarza się, że pacjent skrępowany swoją sytuacją finansową nie powie tego lekarzowi; z doświadczeń autorki wynika, że zdarzają się chorzy, którzy zaprzestają leczenia z powodów finansowych nie informując o tym lekarza. Od taktu,  doświadczenia i umiejętności rozmowy z pacjentem lekarza może więc zależeć bezpieczeństwo i  powodzenie  kuracji. </w:t>
      </w:r>
    </w:p>
    <w:p w:rsidR="000536E3" w:rsidRPr="00F476B4" w:rsidRDefault="000536E3" w:rsidP="000634EA">
      <w:pPr>
        <w:pStyle w:val="Bezodstpw"/>
        <w:numPr>
          <w:ilvl w:val="0"/>
          <w:numId w:val="9"/>
        </w:numPr>
        <w:jc w:val="both"/>
        <w:rPr>
          <w:sz w:val="24"/>
        </w:rPr>
      </w:pPr>
      <w:r w:rsidRPr="00F476B4">
        <w:rPr>
          <w:b/>
          <w:sz w:val="24"/>
        </w:rPr>
        <w:t>możliwość kontroli INR</w:t>
      </w:r>
      <w:r w:rsidRPr="00F476B4">
        <w:rPr>
          <w:sz w:val="24"/>
        </w:rPr>
        <w:t xml:space="preserve"> –  szczególnie ograniczona u  starszych osób, z gorszą sprawnością ruchową,  bez  dobrego dostępu do laboratorium, bądź przeciwnie – młodych, aktywnych, często wyjeżdżających. W przypadku niestabilności INR – jednak NOAC.</w:t>
      </w:r>
      <w:r>
        <w:rPr>
          <w:sz w:val="24"/>
        </w:rPr>
        <w:t xml:space="preserve"> Okazało się niestety, że samokontrola INR nie poprawia skuteczności i bezpieczeństwa terapii.</w:t>
      </w:r>
    </w:p>
    <w:p w:rsidR="000536E3" w:rsidRDefault="000536E3" w:rsidP="000560AB">
      <w:pPr>
        <w:pStyle w:val="Bezodstpw"/>
        <w:numPr>
          <w:ilvl w:val="0"/>
          <w:numId w:val="9"/>
        </w:numPr>
        <w:jc w:val="both"/>
        <w:rPr>
          <w:sz w:val="24"/>
        </w:rPr>
      </w:pPr>
      <w:r w:rsidRPr="00D91AB4">
        <w:rPr>
          <w:b/>
          <w:sz w:val="24"/>
        </w:rPr>
        <w:t>Należy jednak pamiętać, że pacjenci przyjmujący NOAC muszą być także poddawani regularnej kontroli laboratoryjnej</w:t>
      </w:r>
      <w:r>
        <w:rPr>
          <w:sz w:val="24"/>
        </w:rPr>
        <w:t xml:space="preserve"> – co najmniej raz w roku muszą być ocenione parametry czynności nerek i wątroby i stężenie hemoglobiny. Jeżeli klirens kreatyniny jest niższy  niż 60 ml/min należy przyjąć zasadą : odstęp w miesiącach = CrCl/10.Pacjenci starsi , powyżej 75 r.ż lub z zespołem kruchości, szczególnie leczenie dabigatranem powinni być badani co 6 miesięcy (4).</w:t>
      </w:r>
    </w:p>
    <w:p w:rsidR="000536E3" w:rsidRDefault="000536E3" w:rsidP="00BC1EC6">
      <w:pPr>
        <w:pStyle w:val="Bezodstpw"/>
        <w:ind w:left="1800"/>
        <w:jc w:val="both"/>
        <w:rPr>
          <w:sz w:val="24"/>
        </w:rPr>
      </w:pPr>
      <w:r>
        <w:rPr>
          <w:sz w:val="24"/>
        </w:rPr>
        <w:t>Z doświadczenia autorki wynika, że szczególną czujność należy zachować u pacjentów starszych, poddanych polifarmakoterapii, gdy łatwo o pogorszenie funkcji nerek po wpływem przyjmowanych leków  ( np.diuretyki, leki hipotensyjne), nasilenia niewydolności krążenia  lub nawet niedostatków opieki (odwodnienie)</w:t>
      </w:r>
    </w:p>
    <w:p w:rsidR="000536E3" w:rsidRDefault="000536E3" w:rsidP="000634EA">
      <w:pPr>
        <w:pStyle w:val="Bezodstpw"/>
        <w:numPr>
          <w:ilvl w:val="0"/>
          <w:numId w:val="9"/>
        </w:numPr>
        <w:jc w:val="both"/>
        <w:rPr>
          <w:sz w:val="24"/>
        </w:rPr>
      </w:pPr>
      <w:r w:rsidRPr="00BF7229">
        <w:rPr>
          <w:b/>
          <w:sz w:val="24"/>
        </w:rPr>
        <w:t>możliwość zniesienia działania leku</w:t>
      </w:r>
      <w:r w:rsidRPr="00BF7229">
        <w:rPr>
          <w:sz w:val="24"/>
        </w:rPr>
        <w:t xml:space="preserve"> w przypadku poważnego/zagrażającego życiu  krwawienia. Obecnie dostępny, nie we wszystkich szpitalach,  jest jedynie lek odwracający działanie dabigatranu – idarucizumab</w:t>
      </w:r>
      <w:r>
        <w:rPr>
          <w:sz w:val="24"/>
        </w:rPr>
        <w:t xml:space="preserve"> ( koszt podania leku ok. 8000-10000 PLN).</w:t>
      </w:r>
    </w:p>
    <w:p w:rsidR="000536E3" w:rsidRDefault="000536E3" w:rsidP="00284237">
      <w:pPr>
        <w:pStyle w:val="Bezodstpw"/>
        <w:ind w:left="1800"/>
        <w:jc w:val="both"/>
        <w:rPr>
          <w:sz w:val="24"/>
        </w:rPr>
      </w:pPr>
      <w:r>
        <w:rPr>
          <w:sz w:val="24"/>
        </w:rPr>
        <w:t>Ł</w:t>
      </w:r>
      <w:r w:rsidRPr="00BF7229">
        <w:rPr>
          <w:sz w:val="24"/>
        </w:rPr>
        <w:t>atwiej o dostęp do FFP</w:t>
      </w:r>
      <w:r>
        <w:rPr>
          <w:sz w:val="24"/>
        </w:rPr>
        <w:t xml:space="preserve"> ( świeżo mrożonego osocza)</w:t>
      </w:r>
      <w:r w:rsidRPr="00BF7229">
        <w:rPr>
          <w:sz w:val="24"/>
        </w:rPr>
        <w:t xml:space="preserve"> i </w:t>
      </w:r>
      <w:r>
        <w:rPr>
          <w:sz w:val="24"/>
        </w:rPr>
        <w:t>a</w:t>
      </w:r>
      <w:r w:rsidRPr="00BF7229">
        <w:rPr>
          <w:sz w:val="24"/>
        </w:rPr>
        <w:t>PCC</w:t>
      </w:r>
      <w:r>
        <w:rPr>
          <w:sz w:val="24"/>
        </w:rPr>
        <w:t>/PCC ( aktywowany/ koncentrat czynników zespołu protrombiny)</w:t>
      </w:r>
      <w:r w:rsidRPr="00BF7229">
        <w:rPr>
          <w:sz w:val="24"/>
        </w:rPr>
        <w:t xml:space="preserve"> przy przedawkowaniu VKA  i doustnych antagonistów czynnika X</w:t>
      </w:r>
      <w:r>
        <w:rPr>
          <w:sz w:val="24"/>
        </w:rPr>
        <w:t xml:space="preserve"> – w tym ostatnim przypadku jest to wskazanie pozarejestracyjne</w:t>
      </w:r>
      <w:r w:rsidRPr="00BF7229">
        <w:rPr>
          <w:sz w:val="24"/>
        </w:rPr>
        <w:t xml:space="preserve"> . </w:t>
      </w:r>
      <w:r>
        <w:rPr>
          <w:sz w:val="24"/>
        </w:rPr>
        <w:t xml:space="preserve">Warto </w:t>
      </w:r>
      <w:r w:rsidRPr="00BF7229">
        <w:rPr>
          <w:sz w:val="24"/>
        </w:rPr>
        <w:t>przypomnieć, że działanie witaminy K ujawnia się po 4-6 godzinach a</w:t>
      </w:r>
      <w:r>
        <w:rPr>
          <w:sz w:val="24"/>
        </w:rPr>
        <w:t xml:space="preserve"> </w:t>
      </w:r>
      <w:r w:rsidRPr="00BF7229">
        <w:rPr>
          <w:sz w:val="24"/>
        </w:rPr>
        <w:t xml:space="preserve">znosi </w:t>
      </w:r>
      <w:r>
        <w:rPr>
          <w:sz w:val="24"/>
        </w:rPr>
        <w:t xml:space="preserve">ona </w:t>
      </w:r>
      <w:r w:rsidRPr="00BF7229">
        <w:rPr>
          <w:sz w:val="24"/>
        </w:rPr>
        <w:t>działanie VKA</w:t>
      </w:r>
      <w:r>
        <w:rPr>
          <w:sz w:val="24"/>
        </w:rPr>
        <w:t xml:space="preserve"> dopiero </w:t>
      </w:r>
      <w:r w:rsidRPr="00BF7229">
        <w:rPr>
          <w:sz w:val="24"/>
        </w:rPr>
        <w:t xml:space="preserve"> po dobie.</w:t>
      </w:r>
    </w:p>
    <w:p w:rsidR="000536E3" w:rsidRPr="00956B0C" w:rsidRDefault="000536E3" w:rsidP="002105EE">
      <w:pPr>
        <w:pStyle w:val="Bezodstpw"/>
        <w:ind w:left="1800"/>
        <w:jc w:val="both"/>
        <w:rPr>
          <w:sz w:val="24"/>
        </w:rPr>
      </w:pPr>
      <w:r w:rsidRPr="00956B0C">
        <w:rPr>
          <w:sz w:val="24"/>
        </w:rPr>
        <w:t>Specyficznie znoszący działanie inhibitorów cz. Xa, łącznie z  heparynami andeksanet alfa</w:t>
      </w:r>
      <w:r>
        <w:rPr>
          <w:sz w:val="24"/>
        </w:rPr>
        <w:t xml:space="preserve"> ( „fałszywy” czynnika Xa)</w:t>
      </w:r>
      <w:r w:rsidRPr="00956B0C">
        <w:rPr>
          <w:sz w:val="24"/>
        </w:rPr>
        <w:t xml:space="preserve"> jest zarejestrowany przez FDA, trwa proces rejestracji w EMA</w:t>
      </w:r>
      <w:r>
        <w:rPr>
          <w:sz w:val="24"/>
        </w:rPr>
        <w:t>; przewidywany koszt leczenia będzie zapewne wyższy niż w przypadku idarucizumabu.</w:t>
      </w:r>
    </w:p>
    <w:p w:rsidR="000536E3" w:rsidRPr="000634EA" w:rsidRDefault="000536E3" w:rsidP="000634EA">
      <w:pPr>
        <w:pStyle w:val="Bezodstpw"/>
        <w:numPr>
          <w:ilvl w:val="0"/>
          <w:numId w:val="9"/>
        </w:numPr>
        <w:jc w:val="both"/>
        <w:rPr>
          <w:sz w:val="24"/>
        </w:rPr>
      </w:pPr>
      <w:r w:rsidRPr="00D150F0">
        <w:rPr>
          <w:b/>
          <w:sz w:val="24"/>
        </w:rPr>
        <w:t xml:space="preserve">dla chorych z czynną chorobą nowotworową, </w:t>
      </w:r>
      <w:r w:rsidRPr="000634EA">
        <w:rPr>
          <w:sz w:val="24"/>
        </w:rPr>
        <w:t>powikłaną ŻChZZ  lekiem z wyboru na obecnym etapie badań pozostają  HDCz.</w:t>
      </w:r>
    </w:p>
    <w:p w:rsidR="000536E3" w:rsidRDefault="000536E3" w:rsidP="000634EA">
      <w:pPr>
        <w:pStyle w:val="Bezodstpw"/>
        <w:numPr>
          <w:ilvl w:val="0"/>
          <w:numId w:val="9"/>
        </w:numPr>
        <w:jc w:val="both"/>
        <w:rPr>
          <w:b/>
          <w:sz w:val="24"/>
        </w:rPr>
      </w:pPr>
      <w:r w:rsidRPr="00D150F0">
        <w:rPr>
          <w:b/>
          <w:sz w:val="24"/>
        </w:rPr>
        <w:t>preferencje pacjenta</w:t>
      </w:r>
    </w:p>
    <w:p w:rsidR="000536E3" w:rsidRDefault="000536E3" w:rsidP="002C1348">
      <w:pPr>
        <w:pStyle w:val="Bezodstpw"/>
        <w:numPr>
          <w:ilvl w:val="0"/>
          <w:numId w:val="9"/>
        </w:numPr>
        <w:jc w:val="both"/>
        <w:rPr>
          <w:sz w:val="24"/>
        </w:rPr>
      </w:pPr>
      <w:r w:rsidRPr="00F476B4">
        <w:rPr>
          <w:b/>
          <w:sz w:val="24"/>
        </w:rPr>
        <w:lastRenderedPageBreak/>
        <w:t>W przypadku chorego z ŻChZz należy optymalnie określić czas leczenia</w:t>
      </w:r>
      <w:r>
        <w:rPr>
          <w:sz w:val="24"/>
        </w:rPr>
        <w:t>, biorąc pod uwagę zarówno prawdopodobieństwo nawrotu w przypadku zakończenia terapii:</w:t>
      </w:r>
    </w:p>
    <w:p w:rsidR="000536E3" w:rsidRDefault="000536E3" w:rsidP="002C1348">
      <w:pPr>
        <w:pStyle w:val="Bezodstpw"/>
        <w:ind w:left="1770"/>
        <w:jc w:val="both"/>
        <w:rPr>
          <w:sz w:val="24"/>
        </w:rPr>
      </w:pPr>
      <w:r>
        <w:rPr>
          <w:sz w:val="24"/>
        </w:rPr>
        <w:t>- ok. 1 % w 1 roku po operacji  i 0.5 % w latach następnych po 3-6           miesięcznym leczeniu zakrzepicy spowodowanej silnym czynnikiem ryzyka zakrzepowego jakim jest zabieg chirurgiczny</w:t>
      </w:r>
    </w:p>
    <w:p w:rsidR="000536E3" w:rsidRDefault="000536E3" w:rsidP="002C1348">
      <w:pPr>
        <w:pStyle w:val="Bezodstpw"/>
        <w:ind w:left="1770" w:firstLine="6"/>
        <w:jc w:val="both"/>
        <w:rPr>
          <w:sz w:val="24"/>
        </w:rPr>
      </w:pPr>
      <w:r>
        <w:rPr>
          <w:sz w:val="24"/>
        </w:rPr>
        <w:t>- ok. 5 % po roku i 2.5 % w kolejnych latach w przypadku słabszego    czynnika ryzyka ( unieruchomienie, wielogodzinna podróż samolotem, przyjmowanie estrogenów)</w:t>
      </w:r>
    </w:p>
    <w:p w:rsidR="000536E3" w:rsidRDefault="000536E3" w:rsidP="002C1348">
      <w:pPr>
        <w:pStyle w:val="Bezodstpw"/>
        <w:ind w:left="1770" w:firstLine="6"/>
        <w:jc w:val="both"/>
        <w:rPr>
          <w:sz w:val="24"/>
        </w:rPr>
      </w:pPr>
      <w:r>
        <w:rPr>
          <w:sz w:val="24"/>
        </w:rPr>
        <w:t>- 10 % po roku, 5% rocznie w kolejnych latach i 30 % po 8 latach w przypadku ŻChZz niesprowokowanej usuwalnym czynnikiem ryzyka ( szczególnie u chorych na nowotwory, z trombofilią lub po przebyciu 2 epizodów ŻChZz  jak i prawdopodobieństwo powikłań krwotocznych (1)</w:t>
      </w:r>
    </w:p>
    <w:p w:rsidR="000536E3" w:rsidRPr="00D150F0" w:rsidRDefault="000536E3" w:rsidP="005D4A9C">
      <w:pPr>
        <w:pStyle w:val="Bezodstpw"/>
        <w:ind w:left="1416"/>
        <w:jc w:val="both"/>
        <w:rPr>
          <w:b/>
          <w:sz w:val="24"/>
        </w:rPr>
      </w:pPr>
      <w:r>
        <w:rPr>
          <w:sz w:val="24"/>
        </w:rPr>
        <w:t xml:space="preserve">12.  </w:t>
      </w:r>
      <w:r w:rsidRPr="00284237">
        <w:rPr>
          <w:b/>
          <w:sz w:val="24"/>
        </w:rPr>
        <w:t>Dawkowanie</w:t>
      </w:r>
      <w:r>
        <w:rPr>
          <w:sz w:val="24"/>
        </w:rPr>
        <w:t xml:space="preserve"> – warto zwrócić uwagę, że zależy ono w przypadku NOAC nie tylko od wydolności nerek ale także od rozpoznania  ( np. migotanie przedsionków) a także fazy żylnej choroby zakrzepowo- zatorowej. Istotne jest być może przypomnienie, że rozpoczynanie leczenia VKA w przypadku migotania przedsionków nie wymaga wcześniejszego zastosowania „na zakładkę”  heparyn, tak jak ma to miejsce w przypadku ŻChZz. Krótka faza nadkrzepliwości  wywołana zahamowaniem syntezy białka C i S przed ujawnieniem działania przeciwzakrzepowego nie ma w przypadku tej arytmii istotnego znaczenia klinicznego w przeciwieństwie do zakrzepicy żylnej.</w:t>
      </w:r>
    </w:p>
    <w:p w:rsidR="000536E3" w:rsidRPr="00284237" w:rsidRDefault="000536E3" w:rsidP="003F053E">
      <w:pPr>
        <w:pStyle w:val="Bezodstpw"/>
        <w:ind w:left="350"/>
        <w:jc w:val="both"/>
        <w:rPr>
          <w:b/>
          <w:sz w:val="32"/>
        </w:rPr>
      </w:pPr>
      <w:r w:rsidRPr="00284237">
        <w:rPr>
          <w:b/>
          <w:sz w:val="32"/>
        </w:rPr>
        <w:t>Bezpieczeństwo terapii przeciwzakrzepowej zależy także w bardzo dużym stopniu od ( poinformowanego !) pacjenta :</w:t>
      </w:r>
    </w:p>
    <w:p w:rsidR="000536E3" w:rsidRDefault="000536E3" w:rsidP="003F053E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Pacjent  </w:t>
      </w:r>
      <w:r w:rsidRPr="00FA4CEF">
        <w:rPr>
          <w:b/>
          <w:sz w:val="24"/>
        </w:rPr>
        <w:t>lub jego opiekun</w:t>
      </w:r>
      <w:r>
        <w:rPr>
          <w:sz w:val="24"/>
        </w:rPr>
        <w:t xml:space="preserve"> </w:t>
      </w:r>
      <w:r w:rsidRPr="006A0778">
        <w:rPr>
          <w:b/>
          <w:sz w:val="24"/>
        </w:rPr>
        <w:t xml:space="preserve">muszą wiedzieć z jakiego powodu chory ma zalecony lek. </w:t>
      </w:r>
      <w:r>
        <w:rPr>
          <w:sz w:val="24"/>
        </w:rPr>
        <w:t>Będzie umotywowany do  przyjmowania leku,  przestrzegania czasem kłopotliwych zaleceń jeżeli będzie wiedział, że uchroni go to przed kalectwem ( udar, zator obwodowy, nadciśnienie płucne, zespół pozakrzepowy) lub nagłym zgonem. Zbyt często zdarzają się  nadal sytuacje, że pacjent przyjmujący lek „na rozrzedzenie krwi” nie ma pojęcia z jakiego powodu został zalecony.</w:t>
      </w:r>
    </w:p>
    <w:p w:rsidR="000536E3" w:rsidRDefault="000536E3" w:rsidP="003F053E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Pacjent musi wiedzieć, </w:t>
      </w:r>
      <w:r w:rsidRPr="006A0778">
        <w:rPr>
          <w:b/>
          <w:sz w:val="24"/>
        </w:rPr>
        <w:t>jak dawkować i</w:t>
      </w:r>
      <w:r>
        <w:rPr>
          <w:sz w:val="24"/>
        </w:rPr>
        <w:t xml:space="preserve"> </w:t>
      </w:r>
      <w:r w:rsidRPr="006A0778">
        <w:rPr>
          <w:b/>
          <w:sz w:val="24"/>
        </w:rPr>
        <w:t>w jaki sposób</w:t>
      </w:r>
      <w:r>
        <w:rPr>
          <w:sz w:val="24"/>
        </w:rPr>
        <w:t xml:space="preserve"> przyjmować lek ( o stałej godzinie/porze dnia, w przypadku  np. rywaroksabanu b. ważne przyjmowanie dawki 15 i 20 mg  z posiłkiem – wówczas biodostępność leku sięga 80-100 % vs 60 %.</w:t>
      </w:r>
    </w:p>
    <w:p w:rsidR="000536E3" w:rsidRPr="006A0778" w:rsidRDefault="000536E3" w:rsidP="003F053E">
      <w:pPr>
        <w:pStyle w:val="Bezodstpw"/>
        <w:numPr>
          <w:ilvl w:val="0"/>
          <w:numId w:val="11"/>
        </w:numPr>
        <w:jc w:val="both"/>
        <w:rPr>
          <w:b/>
          <w:sz w:val="24"/>
        </w:rPr>
      </w:pPr>
      <w:r>
        <w:rPr>
          <w:sz w:val="24"/>
        </w:rPr>
        <w:t xml:space="preserve">Musi wiedzieć </w:t>
      </w:r>
      <w:r w:rsidRPr="006A0778">
        <w:rPr>
          <w:b/>
          <w:sz w:val="24"/>
        </w:rPr>
        <w:t xml:space="preserve">jak postąpić w przypadku </w:t>
      </w:r>
      <w:r>
        <w:rPr>
          <w:b/>
          <w:sz w:val="24"/>
        </w:rPr>
        <w:t xml:space="preserve"> omyłkowego pominięcia dawki </w:t>
      </w:r>
      <w:r w:rsidRPr="006A0778">
        <w:rPr>
          <w:b/>
          <w:sz w:val="24"/>
        </w:rPr>
        <w:t xml:space="preserve"> lub przyjęcia dawki podwójnej</w:t>
      </w:r>
      <w:r>
        <w:rPr>
          <w:b/>
          <w:sz w:val="24"/>
        </w:rPr>
        <w:t xml:space="preserve"> </w:t>
      </w:r>
      <w:r w:rsidRPr="00E20F12">
        <w:rPr>
          <w:sz w:val="24"/>
        </w:rPr>
        <w:t>(5)</w:t>
      </w:r>
      <w:r>
        <w:rPr>
          <w:sz w:val="24"/>
        </w:rPr>
        <w:t>.</w:t>
      </w:r>
    </w:p>
    <w:p w:rsidR="000536E3" w:rsidRDefault="000536E3" w:rsidP="003F053E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Musi </w:t>
      </w:r>
      <w:r>
        <w:rPr>
          <w:b/>
          <w:sz w:val="24"/>
        </w:rPr>
        <w:t>być świadomy zjawiska interakcji</w:t>
      </w:r>
      <w:r>
        <w:rPr>
          <w:sz w:val="24"/>
        </w:rPr>
        <w:t xml:space="preserve">  leku; przede wszystkim wiedzieć, że dołączenie  jakiegokolwiek nowego specyfiku wymaga uzgodnienia z lekarzem, nierzadko kontroli INR  w przypadku leczenia VKA.</w:t>
      </w:r>
    </w:p>
    <w:p w:rsidR="000536E3" w:rsidRPr="003F053E" w:rsidRDefault="000536E3" w:rsidP="003F053E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Chory </w:t>
      </w:r>
      <w:r w:rsidRPr="003F053E">
        <w:rPr>
          <w:sz w:val="24"/>
        </w:rPr>
        <w:t xml:space="preserve"> musi być poinformowany </w:t>
      </w:r>
      <w:r w:rsidRPr="003F053E">
        <w:rPr>
          <w:b/>
          <w:sz w:val="24"/>
        </w:rPr>
        <w:t>jaki lek przeciwbólowy i/lub rozkurczowy może</w:t>
      </w:r>
      <w:r>
        <w:rPr>
          <w:b/>
          <w:sz w:val="24"/>
        </w:rPr>
        <w:t xml:space="preserve"> doraźnie </w:t>
      </w:r>
      <w:r w:rsidRPr="003F053E">
        <w:rPr>
          <w:b/>
          <w:sz w:val="24"/>
        </w:rPr>
        <w:t xml:space="preserve"> przyjąć</w:t>
      </w:r>
      <w:r w:rsidRPr="003F053E">
        <w:rPr>
          <w:sz w:val="24"/>
        </w:rPr>
        <w:t xml:space="preserve"> bez obawy poważnej interakcji, jak długo i w jakiej dawce. Dla chorych leczonych VKA panuje opinia, że  takim specyfikiem jest paracetamol. Uważa się, że pacjent może bez ryzyka krwawienia przyjąć dawkę 0.5 – 1.0 g leku przez kilka dni bez wywołania istotnej zmiany INR, zagrażającej powikłaniami krwotocznymi</w:t>
      </w:r>
      <w:r>
        <w:rPr>
          <w:sz w:val="24"/>
        </w:rPr>
        <w:t xml:space="preserve"> (5)</w:t>
      </w:r>
      <w:r w:rsidRPr="003F053E">
        <w:rPr>
          <w:sz w:val="24"/>
        </w:rPr>
        <w:t xml:space="preserve">. Należy jednak zastrzec, że stanowisko to  nie jest powszechnie przez </w:t>
      </w:r>
      <w:r w:rsidRPr="003F053E">
        <w:rPr>
          <w:sz w:val="24"/>
        </w:rPr>
        <w:lastRenderedPageBreak/>
        <w:t>farmakologów akceptowane i nie można powiedzieć, że lek nie wpływa na INR.</w:t>
      </w:r>
      <w:r>
        <w:rPr>
          <w:sz w:val="24"/>
        </w:rPr>
        <w:t xml:space="preserve"> Większe dawki paracetamolu</w:t>
      </w:r>
      <w:r w:rsidRPr="003F053E">
        <w:rPr>
          <w:sz w:val="24"/>
        </w:rPr>
        <w:t xml:space="preserve">  powyżej 2.0 g/dobę u chorych leczonych warfaryną zwiększają INR ( średnio o 0.6) już po 3 dniach takiego dawkowania, jakkolwiek rzadko wiąże się z istotnym krwawieniem</w:t>
      </w:r>
      <w:r>
        <w:rPr>
          <w:sz w:val="24"/>
        </w:rPr>
        <w:t xml:space="preserve"> (6)</w:t>
      </w:r>
    </w:p>
    <w:p w:rsidR="000536E3" w:rsidRDefault="000536E3" w:rsidP="003F053E">
      <w:pPr>
        <w:pStyle w:val="Bezodstpw"/>
        <w:numPr>
          <w:ilvl w:val="0"/>
          <w:numId w:val="11"/>
        </w:numPr>
        <w:jc w:val="both"/>
        <w:rPr>
          <w:sz w:val="24"/>
        </w:rPr>
      </w:pPr>
      <w:r w:rsidRPr="00601DE6">
        <w:rPr>
          <w:sz w:val="24"/>
        </w:rPr>
        <w:t xml:space="preserve">Musi wiedzieć także o </w:t>
      </w:r>
      <w:r w:rsidRPr="009031AC">
        <w:rPr>
          <w:b/>
          <w:sz w:val="24"/>
        </w:rPr>
        <w:t>możliwości poważnych powikłań w przypadku dołączenia suplementów diety</w:t>
      </w:r>
      <w:r>
        <w:rPr>
          <w:b/>
          <w:sz w:val="24"/>
        </w:rPr>
        <w:t xml:space="preserve">, </w:t>
      </w:r>
      <w:r w:rsidRPr="00601DE6">
        <w:rPr>
          <w:sz w:val="24"/>
        </w:rPr>
        <w:t xml:space="preserve"> w tym tzw preparatów ziołowych i wielowitaminowych, często zawierających wit. K. Dość istotne </w:t>
      </w:r>
      <w:r>
        <w:rPr>
          <w:sz w:val="24"/>
        </w:rPr>
        <w:t>niebezpieczeństwo</w:t>
      </w:r>
      <w:r w:rsidRPr="00601DE6">
        <w:rPr>
          <w:sz w:val="24"/>
        </w:rPr>
        <w:t xml:space="preserve"> stanowią </w:t>
      </w:r>
      <w:r>
        <w:rPr>
          <w:sz w:val="24"/>
        </w:rPr>
        <w:t xml:space="preserve">ekspresyjne </w:t>
      </w:r>
      <w:r w:rsidRPr="00601DE6">
        <w:rPr>
          <w:sz w:val="24"/>
        </w:rPr>
        <w:t xml:space="preserve">reklamy telewizyjne sugerujące wręcz konieczność zażywania niektórych dla utrzymania sprawności, tak jak np. reklamowany w ostatnich miesiącach </w:t>
      </w:r>
      <w:r>
        <w:rPr>
          <w:sz w:val="24"/>
        </w:rPr>
        <w:t xml:space="preserve">„trójkąt dla zdrowych kości ” </w:t>
      </w:r>
      <w:r w:rsidRPr="00601DE6">
        <w:rPr>
          <w:sz w:val="24"/>
        </w:rPr>
        <w:t xml:space="preserve"> zawierający 37.5 mcg menachinonu lub </w:t>
      </w:r>
      <w:r>
        <w:rPr>
          <w:sz w:val="24"/>
        </w:rPr>
        <w:t xml:space="preserve">lub kolejny preparat tego producenta zawierający witaminę D 3 i </w:t>
      </w:r>
      <w:r w:rsidRPr="00601DE6">
        <w:rPr>
          <w:sz w:val="24"/>
        </w:rPr>
        <w:t>75 mcg menachinonu</w:t>
      </w:r>
      <w:r>
        <w:rPr>
          <w:sz w:val="24"/>
        </w:rPr>
        <w:t xml:space="preserve"> . Maksymalną dawką MK-7 ( menachinon 7) nie prowadzącą do znaczących interakcji z pochodnymi kumaryny jest 50 mcg/dobę (7).</w:t>
      </w:r>
      <w:r w:rsidRPr="00601DE6">
        <w:rPr>
          <w:sz w:val="24"/>
        </w:rPr>
        <w:t xml:space="preserve"> </w:t>
      </w:r>
    </w:p>
    <w:p w:rsidR="000536E3" w:rsidRPr="007A5FCE" w:rsidRDefault="000536E3" w:rsidP="00E40FE4">
      <w:pPr>
        <w:pStyle w:val="Bezodstpw"/>
        <w:ind w:left="1800"/>
        <w:jc w:val="both"/>
        <w:rPr>
          <w:sz w:val="24"/>
          <w:u w:val="single"/>
        </w:rPr>
      </w:pPr>
      <w:r w:rsidRPr="007A5FCE">
        <w:rPr>
          <w:sz w:val="24"/>
          <w:u w:val="single"/>
        </w:rPr>
        <w:t>Żaden chory leczony przeciwkrzepliwie ani przeciwpłytkowo nie może przyjmować preparatów zawierających korzeń żeńszenia ( Panax spp.) lub miłorzębu japońskiego  ( Gingko biloba) Interakcja może spowodować ciężkie krwawienia do zgonu włącznie !</w:t>
      </w:r>
    </w:p>
    <w:p w:rsidR="000536E3" w:rsidRDefault="000536E3" w:rsidP="003F053E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Musi wiedzieć, </w:t>
      </w:r>
      <w:r w:rsidRPr="009031AC">
        <w:rPr>
          <w:b/>
          <w:sz w:val="24"/>
        </w:rPr>
        <w:t>jak postąpić w przypadku powikłań</w:t>
      </w:r>
      <w:r>
        <w:rPr>
          <w:sz w:val="24"/>
        </w:rPr>
        <w:t>, szczególnie oczywiście krwotocznych – wielu pacjentów odstawia lek bez porozumienia z lekarzem w reakcji na pojawienie się drobnego krwawienia śluzówkowego lub pojedynczych wylewów podskórnych</w:t>
      </w:r>
    </w:p>
    <w:p w:rsidR="000536E3" w:rsidRDefault="000536E3" w:rsidP="003F053E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Konieczne jest poinformowanie chorego leczonego VKA  </w:t>
      </w:r>
      <w:r w:rsidRPr="009031AC">
        <w:rPr>
          <w:b/>
          <w:sz w:val="24"/>
        </w:rPr>
        <w:t>o absolutnym zakazie picia alkoholu</w:t>
      </w:r>
      <w:r>
        <w:rPr>
          <w:sz w:val="24"/>
        </w:rPr>
        <w:t>; interakcja między alkoholem a pochodnymi kumaryny jest nieprzewidywalna i nierzadko prowadzi do groźnych krwawień.</w:t>
      </w:r>
    </w:p>
    <w:p w:rsidR="000536E3" w:rsidRDefault="000536E3" w:rsidP="00105BAD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Pacjent  </w:t>
      </w:r>
      <w:r w:rsidRPr="009031AC">
        <w:rPr>
          <w:b/>
          <w:sz w:val="24"/>
        </w:rPr>
        <w:t xml:space="preserve">nie powinien </w:t>
      </w:r>
      <w:r>
        <w:rPr>
          <w:b/>
          <w:sz w:val="24"/>
        </w:rPr>
        <w:t>nagle</w:t>
      </w:r>
      <w:r w:rsidRPr="009031AC">
        <w:rPr>
          <w:b/>
          <w:sz w:val="24"/>
        </w:rPr>
        <w:t xml:space="preserve"> zmieniać diety</w:t>
      </w:r>
      <w:r>
        <w:rPr>
          <w:sz w:val="24"/>
        </w:rPr>
        <w:t>, powinien  wiedzieć o istotnym wpływie spożycia niektórych warzyw i owoców na INR. Optymalnym wyjściem jest zachowanie zrównoważonej diety śródziemnomorskiej</w:t>
      </w:r>
    </w:p>
    <w:p w:rsidR="000536E3" w:rsidRDefault="000536E3" w:rsidP="00105BAD">
      <w:pPr>
        <w:pStyle w:val="Bezodstpw"/>
        <w:numPr>
          <w:ilvl w:val="0"/>
          <w:numId w:val="11"/>
        </w:numPr>
        <w:jc w:val="both"/>
        <w:rPr>
          <w:sz w:val="24"/>
        </w:rPr>
      </w:pPr>
      <w:r w:rsidRPr="00D150F0">
        <w:rPr>
          <w:b/>
          <w:sz w:val="24"/>
        </w:rPr>
        <w:t>Pomiar INR</w:t>
      </w:r>
      <w:r>
        <w:rPr>
          <w:sz w:val="24"/>
        </w:rPr>
        <w:t xml:space="preserve"> – chory powinien wiedzieć do czego służy, jak często oznaczać i jakie wartości są u niego pożądane. Należy zauważyć, że korzystanie przez pacjenta z systemów samokontroli ambulatoryjnej nie poprawia niestety skuteczności i bezpieczeństwa leczenia.</w:t>
      </w:r>
    </w:p>
    <w:p w:rsidR="000536E3" w:rsidRDefault="000536E3" w:rsidP="00105BAD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b/>
          <w:sz w:val="24"/>
        </w:rPr>
        <w:t>Także chory leczony NOAC powinien wiedzieć o koniecznych badaniach kontrolnych – zakres i częstotliwość omówione powyżej.</w:t>
      </w:r>
    </w:p>
    <w:p w:rsidR="000536E3" w:rsidRDefault="000536E3" w:rsidP="00105BAD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Powinien wiedzieć o </w:t>
      </w:r>
      <w:r w:rsidRPr="00AB5C2A">
        <w:rPr>
          <w:b/>
          <w:sz w:val="24"/>
        </w:rPr>
        <w:t>ryzyku krwiaka po  iniekcji domięśniowej</w:t>
      </w:r>
      <w:r>
        <w:rPr>
          <w:sz w:val="24"/>
        </w:rPr>
        <w:t xml:space="preserve"> i nie grożących krwawieniem iniekcjach podskórnych i dożylnych.</w:t>
      </w:r>
    </w:p>
    <w:p w:rsidR="000536E3" w:rsidRDefault="000536E3" w:rsidP="00105BAD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Powinien wiedzieć o konieczności </w:t>
      </w:r>
      <w:r w:rsidRPr="00AB5C2A">
        <w:rPr>
          <w:b/>
          <w:sz w:val="24"/>
        </w:rPr>
        <w:t>unikania urazów</w:t>
      </w:r>
      <w:r>
        <w:rPr>
          <w:sz w:val="24"/>
        </w:rPr>
        <w:t>, szczególnie głowy, klatki piersiowej i jamy brzusznej.</w:t>
      </w:r>
    </w:p>
    <w:p w:rsidR="000536E3" w:rsidRDefault="000536E3" w:rsidP="00105BAD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Powinien wiedzieć o konieczności </w:t>
      </w:r>
      <w:r w:rsidRPr="00284237">
        <w:rPr>
          <w:b/>
          <w:sz w:val="24"/>
        </w:rPr>
        <w:t>informowania wszystkich pracowników służby zdrowia</w:t>
      </w:r>
      <w:r>
        <w:rPr>
          <w:sz w:val="24"/>
        </w:rPr>
        <w:t xml:space="preserve"> z którymi się styka o leczeniu p-zakrzepowym , szczególnie lekarzy specjalności zabiegowych.</w:t>
      </w:r>
    </w:p>
    <w:p w:rsidR="000536E3" w:rsidRDefault="000536E3" w:rsidP="00105BAD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Powinien mieć przy sobie </w:t>
      </w:r>
      <w:r w:rsidRPr="00AB5C2A">
        <w:rPr>
          <w:b/>
          <w:sz w:val="24"/>
        </w:rPr>
        <w:t>dokument informujący o przyjmowanym leku</w:t>
      </w:r>
      <w:r>
        <w:rPr>
          <w:sz w:val="24"/>
        </w:rPr>
        <w:t xml:space="preserve"> przeciwzakrzepowym i jego dawce wraz z dokumentem oznaczenia grupy krwi.      </w:t>
      </w:r>
    </w:p>
    <w:p w:rsidR="000536E3" w:rsidRDefault="000536E3" w:rsidP="00105BAD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lastRenderedPageBreak/>
        <w:t xml:space="preserve">I wreszcie – </w:t>
      </w:r>
      <w:r w:rsidRPr="00AB5C2A">
        <w:rPr>
          <w:b/>
          <w:sz w:val="24"/>
        </w:rPr>
        <w:t xml:space="preserve">wszystkie powyższe informacje powinien otrzymać od lekarza ordynującego leczenie przeciwzakrzepowe w formie </w:t>
      </w:r>
      <w:r>
        <w:rPr>
          <w:b/>
          <w:sz w:val="24"/>
        </w:rPr>
        <w:t xml:space="preserve">pisemnej. </w:t>
      </w:r>
      <w:r>
        <w:rPr>
          <w:sz w:val="24"/>
        </w:rPr>
        <w:t>Na oddziale, na którym pracuje autorka chorzy leczeni VKA otrzymują taką  zwartą pisemną informację od wielu lat. Niestety  do niedawna  zdarzało  się, że pacjent wypisywany ze szpitala ( częściej z oddziału  zabiegowego) nie jest informowany o tym , że ma zalecony lek przeciwzakrzepowy, sporadycznie zdarzają się kuriozalne sytuacje, że VKA jest włączany  bez dawki nasycającej, bez informacji o konieczności kontroli INR !</w:t>
      </w:r>
    </w:p>
    <w:p w:rsidR="000536E3" w:rsidRDefault="000536E3" w:rsidP="00EE7CDC">
      <w:pPr>
        <w:pStyle w:val="Bezodstpw"/>
        <w:ind w:left="1800"/>
        <w:jc w:val="both"/>
        <w:rPr>
          <w:sz w:val="24"/>
        </w:rPr>
      </w:pPr>
      <w:r>
        <w:rPr>
          <w:sz w:val="24"/>
        </w:rPr>
        <w:t>Bardzo istotna jest możliwość uzyskania przez chorego porady telefonicznej w sytuacjach „awaryjnych”, jednakże problem ten nie doczekał się dotąd w naszym systemie opieki zdrowotnej  żadnych ram organizacyjnych.</w:t>
      </w:r>
    </w:p>
    <w:p w:rsidR="000536E3" w:rsidRDefault="000536E3" w:rsidP="00BF09A6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Godną zauważenia  propozycją jest zamieszczona przez autorów przewodnika EHRA 2018  </w:t>
      </w:r>
      <w:r w:rsidRPr="00284237">
        <w:rPr>
          <w:b/>
          <w:sz w:val="24"/>
        </w:rPr>
        <w:t>„Karta pacjenta leczonego NOAC</w:t>
      </w:r>
      <w:r>
        <w:rPr>
          <w:sz w:val="24"/>
        </w:rPr>
        <w:t xml:space="preserve">” dostępna na stronie  internetowej </w:t>
      </w:r>
      <w:hyperlink r:id="rId8" w:history="1">
        <w:r w:rsidRPr="002C0515">
          <w:rPr>
            <w:rStyle w:val="Hipercze"/>
            <w:sz w:val="24"/>
          </w:rPr>
          <w:t>www.noacforaf.eu</w:t>
        </w:r>
      </w:hyperlink>
      <w:r>
        <w:rPr>
          <w:sz w:val="24"/>
        </w:rPr>
        <w:t xml:space="preserve"> – zapewnie spopularyzuje ją opracowanie wersji polskiej (4).</w:t>
      </w:r>
    </w:p>
    <w:p w:rsidR="000536E3" w:rsidRPr="00BF09A6" w:rsidRDefault="000536E3" w:rsidP="00BF09A6">
      <w:pPr>
        <w:pStyle w:val="Bezodstpw"/>
        <w:jc w:val="both"/>
        <w:rPr>
          <w:sz w:val="24"/>
        </w:rPr>
      </w:pPr>
      <w:r>
        <w:rPr>
          <w:sz w:val="24"/>
        </w:rPr>
        <w:t xml:space="preserve">Warto wziąć pod uwagę, że niestety   większość pacjentów nie czyta przeznaczonych dla nich ulotek leków, tym bardziej, że są one często bardzo obszerne,  skonstruowane w sposób mało zrozumiały, często bez wyróżnienia informacji kluczowych. </w:t>
      </w:r>
    </w:p>
    <w:p w:rsidR="000536E3" w:rsidRDefault="000536E3" w:rsidP="004B43CC">
      <w:pPr>
        <w:pStyle w:val="Bezodstpw"/>
        <w:jc w:val="both"/>
        <w:rPr>
          <w:b/>
          <w:sz w:val="28"/>
        </w:rPr>
      </w:pPr>
      <w:r>
        <w:rPr>
          <w:b/>
          <w:sz w:val="28"/>
        </w:rPr>
        <w:t>K</w:t>
      </w:r>
      <w:r w:rsidRPr="004B43CC">
        <w:rPr>
          <w:b/>
          <w:sz w:val="28"/>
        </w:rPr>
        <w:t xml:space="preserve">ilka uwag dotyczących odrębności leczenia przeciwzakrzepowego u szczególnych grup chorych </w:t>
      </w:r>
    </w:p>
    <w:p w:rsidR="000536E3" w:rsidRPr="004B43CC" w:rsidRDefault="000536E3" w:rsidP="004B43CC">
      <w:pPr>
        <w:pStyle w:val="Bezodstpw"/>
        <w:jc w:val="both"/>
        <w:rPr>
          <w:b/>
          <w:sz w:val="32"/>
        </w:rPr>
      </w:pPr>
    </w:p>
    <w:p w:rsidR="000536E3" w:rsidRDefault="000536E3" w:rsidP="004B43CC">
      <w:pPr>
        <w:pStyle w:val="Bezodstpw"/>
        <w:ind w:left="360"/>
        <w:jc w:val="both"/>
      </w:pPr>
      <w:r>
        <w:t>Leczenie przeciwzakrzepowe z racji swojego charakteru obarczone jest możliwościami wielu powikłań, szczególnie krwotocznych; poniżej przedstawiono kategorie pacjentów u których powinna być uwzględnione indywidualizacja leczenia .</w:t>
      </w:r>
    </w:p>
    <w:p w:rsidR="000536E3" w:rsidRDefault="000536E3" w:rsidP="004B43CC">
      <w:pPr>
        <w:pStyle w:val="Bezodstpw"/>
        <w:ind w:left="360"/>
        <w:jc w:val="both"/>
      </w:pPr>
    </w:p>
    <w:p w:rsidR="000536E3" w:rsidRPr="004B43CC" w:rsidRDefault="000536E3" w:rsidP="004B43CC">
      <w:pPr>
        <w:pStyle w:val="Bezodstpw"/>
        <w:ind w:left="360"/>
        <w:jc w:val="center"/>
        <w:rPr>
          <w:b/>
          <w:sz w:val="24"/>
          <w:szCs w:val="28"/>
        </w:rPr>
      </w:pPr>
      <w:r w:rsidRPr="004B43CC">
        <w:rPr>
          <w:b/>
          <w:sz w:val="24"/>
          <w:szCs w:val="28"/>
        </w:rPr>
        <w:t>Pacjentki w wieku rozrodczym , w ciąży i połogu.</w:t>
      </w:r>
    </w:p>
    <w:p w:rsidR="000536E3" w:rsidRDefault="000536E3" w:rsidP="004B43CC">
      <w:pPr>
        <w:pStyle w:val="Bezodstpw"/>
        <w:ind w:left="360"/>
        <w:jc w:val="both"/>
        <w:rPr>
          <w:b/>
          <w:sz w:val="24"/>
        </w:rPr>
      </w:pP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W tej grupie wiekowej będą przeważały pacjentki z żylną chorobą zakrzepowo- zatorową oraz z  wadami serca   lub protezami zastawkowymi wymagającymi antykoagulacji.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 xml:space="preserve">W leczeniu i profilaktyce przez cały okres ciąży lekiem z wyboru są HDCz ew. HNF, przy czym sugeruje się utrzymanie pełnej dawki leku po leczeniu wstępnym przez cały wymagany okres. Dopuszczalne, jakkolwiek nie polecane,  jest stosowanie warfaryny w ciąży z wyjątkiem I trymestru i 4 tygodni przed rozwiązaniem. 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Leczenie w przypadku ŻChZz  powinno trwać 3-6 miesięcy i musi koniecznie objąć cały połóg. W razie wątpliwości czy dawka leku jest właściwa można oznaczyć aktywność anty Xa; przy podawaniu HDCz co 12 godzin powinna ona zawierać się w zakresie 0.6-1.2 j.m. Nie ma miejsca dla NOAC zarówno u kobiet w ciąży jak i karmiących -  przechodzą one  przez łożysko i do mleka matki. Podawanie NOAC  należy przerwać natychmiast po stwierdzeniu ciąży i włączyć HDCz. Optymalnie sugeruje się wprowadzenie HDCz na 6 tygodni przed planowaną ciążą. Pacjentki karmiące mogą być leczone heparyną lub VKA; leki te nie przenikają do mleka matki.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U kobiet w wieku rozrodczym należy spodziewać się wydłużonych krwawień menstruacyjnych dwukrotnie częściej w przypadku leczenia rywaroksabanem niż VKA. (8.9)</w:t>
      </w:r>
    </w:p>
    <w:p w:rsidR="000536E3" w:rsidRDefault="000536E3" w:rsidP="004B43CC">
      <w:pPr>
        <w:pStyle w:val="Bezodstpw"/>
        <w:ind w:left="360"/>
        <w:jc w:val="center"/>
        <w:rPr>
          <w:b/>
        </w:rPr>
      </w:pPr>
    </w:p>
    <w:p w:rsidR="000536E3" w:rsidRPr="00890C1E" w:rsidRDefault="000536E3" w:rsidP="004B43CC">
      <w:pPr>
        <w:pStyle w:val="Bezodstpw"/>
        <w:ind w:left="360"/>
        <w:jc w:val="center"/>
        <w:rPr>
          <w:b/>
          <w:sz w:val="28"/>
          <w:szCs w:val="28"/>
        </w:rPr>
      </w:pPr>
      <w:r w:rsidRPr="00890C1E">
        <w:rPr>
          <w:b/>
          <w:sz w:val="28"/>
          <w:szCs w:val="28"/>
        </w:rPr>
        <w:t>Pacjenci z niewydolnością nerek.</w:t>
      </w:r>
    </w:p>
    <w:p w:rsidR="000536E3" w:rsidRPr="00906D4A" w:rsidRDefault="000536E3" w:rsidP="004B43CC">
      <w:pPr>
        <w:pStyle w:val="Bezodstpw"/>
        <w:ind w:left="360"/>
        <w:jc w:val="center"/>
        <w:rPr>
          <w:b/>
        </w:rPr>
      </w:pP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Jest to duża populacja chorych, bardzo niejednorodna, przeważają osoby w wieku starszym. Samo rozpoznanie niewydolności nerek już jest traktowane jako czynnik zwiększonego ryzyka krwawień ( badanie IMPROVE). Redukcji dawki leku przeciwzakrzepowego – HDCz, HNF, NOAC będą wymagali chorzy już z obniżeniem eGFR poniżej 50 ml/min. Konieczne jest obniżenie dawki u chorych  otrzymujących HDCz zarówno w leczeniu jak i profilaktyce ŻChZZ w oparciu o charakterystykę produktu leczniczego. W razie wątpliwości co do adekwatności dawki leczniczej można oznaczyć aktywność anty Xa osocza która powinna zawierać się w granicach 0.6-1.2 j.m/ml przy podawaniu leku co 12 godzin. Nie ma niestety opracowanych wartości standardowych w przypadku profilaktyki z użyciem HDCz; wówczas oznaczenie  aktywności anty-Xa ma znaczenie jedynie w zapobieganiu przedawkowania leku.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Większy problem stanowią pacjenci ze skrajnie zaawansowaną; niewydolnością nerek poddawanych hemodializom – we wstępnym leczeniu ostrej postaci ŻChZZ preferuje się u nich stosowanie HNF podskórnie 3 x 5000 j.s.c. co 8 godzin lub dożylnie pod kontrolą aPTT. Kontynuuje się terapię za pomocą VKA ( klirens nerkowy warfaryny poniżej 1 %) kontrolując INR, który powinien zawierać się w granicach 2-2.5.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Jeżeli pacjent nie akceptuje leczenia VKA można rozważyć przewlekła terapię HDCz, jednak kontrolując aktywność anty Xa. Pacjenci dializowani nie mogą być leczeni lekami z grupy NOAC (9).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 w:rsidRPr="00EF407A">
        <w:rPr>
          <w:b/>
          <w:sz w:val="24"/>
        </w:rPr>
        <w:t xml:space="preserve">NOAC stanowią dość niejednorodną grupę leków jeżeli </w:t>
      </w:r>
      <w:r>
        <w:rPr>
          <w:b/>
          <w:sz w:val="24"/>
        </w:rPr>
        <w:t>chodzi o wydala</w:t>
      </w:r>
      <w:r w:rsidRPr="00EF407A">
        <w:rPr>
          <w:b/>
          <w:sz w:val="24"/>
        </w:rPr>
        <w:t>nie drogą nerek.</w:t>
      </w:r>
      <w:r>
        <w:rPr>
          <w:sz w:val="24"/>
        </w:rPr>
        <w:t xml:space="preserve"> 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 w:rsidRPr="00EF407A">
        <w:rPr>
          <w:b/>
          <w:sz w:val="24"/>
        </w:rPr>
        <w:t xml:space="preserve">Dabigatran </w:t>
      </w:r>
      <w:r>
        <w:rPr>
          <w:sz w:val="24"/>
        </w:rPr>
        <w:t xml:space="preserve">eliminowany jest tą drogą w 80% stąd też potrzeba zmniejszenia dawki przy eGFR poniżej 50 ml/min. 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 xml:space="preserve">Lek jest przeciwwskazany u chorych z klirensem poniżej 30/ml/min. 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 w:rsidRPr="00FB3870">
        <w:rPr>
          <w:b/>
          <w:sz w:val="24"/>
        </w:rPr>
        <w:t>Rywaroksaban</w:t>
      </w:r>
      <w:r>
        <w:rPr>
          <w:sz w:val="24"/>
        </w:rPr>
        <w:t xml:space="preserve"> – eliminacja nerkowa w 33 %; dawki nie wymagają redukcji przy klirensie co najmniej 50 ml/min, należy zredukować ( przy dawce standardowej 1 x 20 mg do 1 x 15 mg) przy klirensie w granicach 15-49 ml/min. Lek jest przeciwwskazany przy klirensie poniżej 15 ml/min.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 w:rsidRPr="00FB3870">
        <w:rPr>
          <w:b/>
          <w:sz w:val="24"/>
        </w:rPr>
        <w:t>Apiksaban</w:t>
      </w:r>
      <w:r>
        <w:rPr>
          <w:sz w:val="24"/>
        </w:rPr>
        <w:t xml:space="preserve">   eliminacja nerkowa 27% – w przypadku tego leku dolna granica klirensu, po przekroczeniu której leku nie można stosować wynosi również 15 ml/min,; producent zaleca dodatkowo uwzględnienie stężenia kreatyniny ( graniczne wartości 1.5 mg%  i wyższe oraz niską masę ciała – poniżej 60 kg – gdy należy rozważyć zastosowanie niższej dawki leku. </w:t>
      </w:r>
    </w:p>
    <w:p w:rsidR="000536E3" w:rsidRPr="00C076D0" w:rsidRDefault="000536E3" w:rsidP="004B43CC">
      <w:pPr>
        <w:pStyle w:val="Bezodstpw"/>
        <w:ind w:left="360"/>
        <w:jc w:val="both"/>
        <w:rPr>
          <w:sz w:val="24"/>
        </w:rPr>
      </w:pPr>
      <w:r w:rsidRPr="00C076D0">
        <w:rPr>
          <w:sz w:val="24"/>
        </w:rPr>
        <w:t xml:space="preserve">Należy ponownie zwrócić uwagę na </w:t>
      </w:r>
      <w:r>
        <w:rPr>
          <w:sz w:val="24"/>
        </w:rPr>
        <w:t xml:space="preserve">możliwość  </w:t>
      </w:r>
      <w:r w:rsidRPr="00C076D0">
        <w:rPr>
          <w:sz w:val="24"/>
        </w:rPr>
        <w:t>przeszacowania</w:t>
      </w:r>
      <w:r>
        <w:rPr>
          <w:sz w:val="24"/>
        </w:rPr>
        <w:t xml:space="preserve"> rzeczywistego GFR i w konsekwencji przedawkowania NOAC w przypadku posługiwania się wzorem MDRD    u osób starszych z  małą masą  mięśniową ciała. W takim przypadku rekomendowane jest posłużenie się innym wzorem uwzględniającym ten parametr np. Cockrofta - Gaulta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 w:rsidRPr="00C076D0">
        <w:rPr>
          <w:sz w:val="24"/>
        </w:rPr>
        <w:t xml:space="preserve">Ponadto: </w:t>
      </w:r>
      <w:r>
        <w:rPr>
          <w:b/>
          <w:sz w:val="24"/>
        </w:rPr>
        <w:t>f</w:t>
      </w:r>
      <w:r w:rsidRPr="00C076D0">
        <w:rPr>
          <w:b/>
          <w:sz w:val="24"/>
        </w:rPr>
        <w:t xml:space="preserve">ondaparynuks </w:t>
      </w:r>
      <w:r w:rsidRPr="00C076D0">
        <w:rPr>
          <w:sz w:val="24"/>
        </w:rPr>
        <w:t>– jedyny lek stosowany w Polsce do leczenia HITT</w:t>
      </w:r>
      <w:r>
        <w:rPr>
          <w:sz w:val="24"/>
        </w:rPr>
        <w:t xml:space="preserve"> ( małopłytkowości poheparynowej)</w:t>
      </w:r>
      <w:r w:rsidRPr="00C076D0">
        <w:rPr>
          <w:sz w:val="24"/>
        </w:rPr>
        <w:t xml:space="preserve"> – nie może być podawany</w:t>
      </w:r>
      <w:r>
        <w:rPr>
          <w:sz w:val="24"/>
        </w:rPr>
        <w:t xml:space="preserve"> w przypadku klirensu niższego niż 30 ml/min. 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Stosowanie leków z grupy NOAC u chorych z niewydolnością nerek, szczególnie starszych,  musi być szczególnie ostrożne; bardzo łatwo u tych pacjentów o pogorszenie funkcji nerek, czasem przejściowe pod wpływem dodatkowych czynników tak odwodnienie, gorączka, interakcje lekowe z czego często pacjent a czasem i lekarz nie zdaje sobie sprawy a co naraża ich na powikłania krwotoczne.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</w:p>
    <w:p w:rsidR="000536E3" w:rsidRDefault="000536E3" w:rsidP="004B43CC">
      <w:pPr>
        <w:pStyle w:val="Bezodstpw"/>
        <w:ind w:left="360"/>
        <w:jc w:val="center"/>
        <w:rPr>
          <w:b/>
          <w:sz w:val="28"/>
          <w:szCs w:val="28"/>
        </w:rPr>
      </w:pPr>
      <w:r w:rsidRPr="00A96045">
        <w:rPr>
          <w:b/>
          <w:sz w:val="28"/>
          <w:szCs w:val="28"/>
        </w:rPr>
        <w:lastRenderedPageBreak/>
        <w:t>Pacjenci z z uszkodzeniem wątroby bądź niewydolnością narządu.</w:t>
      </w:r>
    </w:p>
    <w:p w:rsidR="000536E3" w:rsidRDefault="000536E3" w:rsidP="004B43CC">
      <w:pPr>
        <w:pStyle w:val="Bezodstpw"/>
        <w:ind w:left="360"/>
        <w:jc w:val="center"/>
        <w:rPr>
          <w:b/>
          <w:sz w:val="28"/>
          <w:szCs w:val="28"/>
        </w:rPr>
      </w:pP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Chorzy mogą otrzymywać HDCz, HNF, VKA ( należy liczyć się z możliwością  znacznie zwiększonej „wrażliwości” na leki z tej ostatniej grupy ( upośledzenie czynności syntetycznej wątroby) i czasem koniecznością bardzo znacznej redukcji dawki leku. W przypadku NOAC  zalecenia są zróżnicowane –  wszystkich 3 dostępnych na polskim rynku leków nie można stosować w ciężkim uszkodzeniu wątroby; producent apiksabanu zaleca ostrożność u chorych w kategorią A i B klasyfikacji Child- Pugh, a także gdy aktywność enzymów wątrobowych przekracza 2 x normę. Rywaroksaban nie może być stosowany u chorych z uszkodzeniem wątroby przebiegającym z koagulopatią a także kategorią B i C Child-Pugh. Dabigtran nie jest zalecany już w przypadku dwukrotnie zwiększonej aktywności enzymów wątrobowych. U chorych nie akceptujących leczenia VKA, lub z dużymi wahaniami można zaakceptować stosowanie HDCz  - w okresie ostrym w dawce terapeutycznej , następnie zastosowanie 75% tej dawki.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</w:p>
    <w:p w:rsidR="000536E3" w:rsidRDefault="000536E3" w:rsidP="004B43CC">
      <w:pPr>
        <w:pStyle w:val="Bezodstpw"/>
        <w:ind w:left="360"/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Pacjenci z małopłytkowością.</w:t>
      </w:r>
    </w:p>
    <w:p w:rsidR="000536E3" w:rsidRPr="00833B46" w:rsidRDefault="000536E3" w:rsidP="004B43CC">
      <w:pPr>
        <w:pStyle w:val="Bezodstpw"/>
        <w:ind w:left="360"/>
        <w:jc w:val="center"/>
        <w:rPr>
          <w:b/>
          <w:sz w:val="28"/>
          <w:szCs w:val="28"/>
        </w:rPr>
      </w:pP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W opinii prof. J . Windygi (9) nie ma jednolitej strategii postępowania a  kluczowym problemem jest ustalenie przyczyny małopłytkowości. W przypadku np. małopłytkowości poheparynowej w polskich warunkach jedynym możliwym nieheparynowym lekiem, który można zastosować jest fondaparynuks, w przypadku APS (zespół antyfosfolipidowy) o ciężkim przebiegu może istnieć wręcz wskazanie do zwiększenia dawek leków przeciwzakrzepowych mimo małopłytkowości.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Generalnie w przypadku ostrej postaci ŻChZZ należy stosować przy ilości płytek wynoszącej co najmniej 50 000/mm3 pełne dawki HDCz, gdy liczba płytek utrzymuje się w granicach 25 000-50 000/mm3 zastosować połowę dawki leczniczej, poniżej 20 000 – wstrzymać podawanie HDCZ kierując się jednak przede wszystkim pełną oceną sytuacji klinicznej pacjenta (10).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</w:p>
    <w:p w:rsidR="000536E3" w:rsidRDefault="000536E3" w:rsidP="004B43CC">
      <w:pPr>
        <w:pStyle w:val="Bezodstpw"/>
        <w:ind w:left="360"/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Pacjenci ze skrajną masa ciała.</w:t>
      </w:r>
    </w:p>
    <w:p w:rsidR="000536E3" w:rsidRPr="00833B46" w:rsidRDefault="000536E3" w:rsidP="004B43CC">
      <w:pPr>
        <w:pStyle w:val="Bezodstpw"/>
        <w:ind w:left="360"/>
        <w:jc w:val="center"/>
        <w:rPr>
          <w:b/>
          <w:sz w:val="28"/>
          <w:szCs w:val="28"/>
        </w:rPr>
      </w:pP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 xml:space="preserve">Należy zaznaczyć, że brak badań klinicznych NOAC w odniesieniu do chorych z masą ciała przekraczającą 120 kg – eksperci nie zalecają tych leków w grupie chorych bardzo otyłych   z uwagi na brak badań potwierdzających skuteczność takiego leczenia. 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W dużym rejestrze chorych z żylną chorobą zakrzepowo- zatorową pochodzącym ze szpitali kanadyjskich zwrócono uwagę na underdosing – stosowanie zbyt małych dawek leków u chorych z dużą masą ciała (9).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U chorych z masą ciała poniżej 50 kg należy także rozważyć zastosowanie VKA. (1)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</w:p>
    <w:p w:rsidR="000536E3" w:rsidRPr="00833B46" w:rsidRDefault="000536E3" w:rsidP="004B43CC">
      <w:pPr>
        <w:pStyle w:val="Bezodstpw"/>
        <w:ind w:left="360"/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Pacjenci z chorobą nowotworową</w:t>
      </w:r>
    </w:p>
    <w:p w:rsidR="000536E3" w:rsidRPr="00833B46" w:rsidRDefault="000536E3" w:rsidP="004B43CC">
      <w:pPr>
        <w:pStyle w:val="Bezodstpw"/>
        <w:ind w:left="360"/>
        <w:jc w:val="both"/>
        <w:rPr>
          <w:b/>
          <w:sz w:val="28"/>
          <w:szCs w:val="28"/>
        </w:rPr>
      </w:pP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 xml:space="preserve"> Jest to grupa chorych, gdzie nie tylko zwiększone jest ryzyko zakrzepicy ale także krwawień; duże wyzwanie stanowią także liczne interakcje leków przeciwnowotworowych  i przeciwzakrzepowych, często występująca małopłytkowość, krwawienia śluzówkowe, konieczność wykonywania zabiegów inwazyjnych Nadal w leczeniu tej kategorii chorych preferowane są heparyny drobnocząsteczkowe i to </w:t>
      </w:r>
      <w:r>
        <w:rPr>
          <w:sz w:val="24"/>
        </w:rPr>
        <w:lastRenderedPageBreak/>
        <w:t>zarówno w leczeniu ostrej fazy ŻChZZ jak i w prewencji wtórnej ( min. 6 miesięcy) – tak stanowią aktualne zalecenia ACCP, sformułowane na podstawie kilku randomizowanych badań ( m.in. CLOT – VKA vs dalteparyna i CATCH – VKA vs tinzaparyna). Okazało się, że stosowanie u chorych na nowotwór złośliwy HDCz w porównaniu  do warfaryny zmniejszyło ryzyko objawowej zakrzepicy żył głębokich i wiązało się z mniejszym prawdopodobieństwem istotnego klinicznie krwawienia (2) .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Trudno natomiast, na obecnym etapie wiedzy,  o ustalenie miejsca jakie zajmą ostatecznie NOAC u tej kategorii pacjentów, obecnie dostępne są jedynie dane z niezbyt dużych metaanaliz, gdzie porównywano skuteczność NOAC ( dabigatran, rywaroksaban, apiksaban) i HDCz. Uzyskane wyniki wydają się obiecujące dla możliwości zastosowania NOAC, trwają badania prospektywne, niedawno opublikowano wyniki badania Hokusai-VTE ( edoksaban vs dalteparyna) – skuteczność i bezpieczeństwo okazało się podobne, jednak na obecnym etapie zastosowanie NOAC u tych chorych jest postępowaniem off label (1).</w:t>
      </w:r>
    </w:p>
    <w:p w:rsidR="000536E3" w:rsidRDefault="000536E3" w:rsidP="004B43CC">
      <w:pPr>
        <w:pStyle w:val="Bezodstpw"/>
        <w:ind w:left="360"/>
        <w:jc w:val="both"/>
        <w:rPr>
          <w:sz w:val="24"/>
        </w:rPr>
      </w:pPr>
      <w:r>
        <w:rPr>
          <w:sz w:val="24"/>
        </w:rPr>
        <w:t>Niewiele jest danych na temat zastosowania NOAC u pacjentów onkologicznych z migotaniem przedsionków, stąd zazwyczaj są oni leczeni VKA. Wielu specjalistów  uważa, że należy kontynuować leczenie NOAC u pacjenta z migotaniem przedsionków u którego pojawi się nowotwór (4).</w:t>
      </w:r>
    </w:p>
    <w:p w:rsidR="000536E3" w:rsidRDefault="000536E3" w:rsidP="005A7AD4">
      <w:pPr>
        <w:pStyle w:val="Bezodstpw"/>
        <w:jc w:val="both"/>
        <w:rPr>
          <w:sz w:val="24"/>
        </w:rPr>
      </w:pPr>
      <w:r>
        <w:rPr>
          <w:sz w:val="24"/>
        </w:rPr>
        <w:t xml:space="preserve">Na zakończenie kilka uwag dotyczącej </w:t>
      </w:r>
      <w:r w:rsidRPr="0071445A">
        <w:rPr>
          <w:b/>
          <w:sz w:val="24"/>
        </w:rPr>
        <w:t>terapii pomostowej</w:t>
      </w:r>
      <w:r>
        <w:rPr>
          <w:sz w:val="24"/>
        </w:rPr>
        <w:t xml:space="preserve"> u chorych w trakcie antykoagulacji, przygotowywanych do planowego zabiegu operacyjnego. Wobec stwierdzenia, że postępowanie takie zwiększa ilość powikłań krwotocznych ( badanie BRIDGE) wskazania do jego wdrożenia zostały bardzo znacznie ograniczone.</w:t>
      </w:r>
    </w:p>
    <w:p w:rsidR="000536E3" w:rsidRDefault="000536E3" w:rsidP="005A7AD4">
      <w:pPr>
        <w:pStyle w:val="Bezodstpw"/>
        <w:jc w:val="both"/>
        <w:rPr>
          <w:b/>
          <w:color w:val="FF0000"/>
          <w:sz w:val="24"/>
        </w:rPr>
      </w:pPr>
      <w:r>
        <w:rPr>
          <w:sz w:val="24"/>
        </w:rPr>
        <w:t>W opinii wielu  ekspertów nie powinno się w ogóle stosować takiej procedury wobec chorych przyjmujących NOAC – leki te mają podobną kinetykę jak heparyny drobnocząsteczkowe. Warto przypomnieć, ze decyzja o terapii pomostowej  w przypadku zabiegów planowych zapada zazwyczaj w gabinecie lekarza rodzinnego lub kardiologa; oddział zabiegowy jest zwykle tylko wykonawcą zaleceń</w:t>
      </w:r>
    </w:p>
    <w:p w:rsidR="000536E3" w:rsidRPr="00A5532D" w:rsidRDefault="000536E3" w:rsidP="005A7AD4">
      <w:pPr>
        <w:pStyle w:val="Bezodstpw"/>
        <w:jc w:val="both"/>
        <w:rPr>
          <w:b/>
          <w:sz w:val="24"/>
        </w:rPr>
      </w:pPr>
      <w:r w:rsidRPr="00A5532D">
        <w:rPr>
          <w:b/>
          <w:sz w:val="24"/>
        </w:rPr>
        <w:t>Podsumowując – leczenie przeciwzakrzepowe może i musi być bezpieczne, jeżeli lekarz i pacjent spełnią podstawowe wymogi bezpieczeństwa tej terapii.</w:t>
      </w:r>
    </w:p>
    <w:p w:rsidR="000536E3" w:rsidRDefault="000536E3" w:rsidP="005A7AD4">
      <w:pPr>
        <w:pStyle w:val="Bezodstpw"/>
        <w:jc w:val="both"/>
        <w:rPr>
          <w:sz w:val="24"/>
        </w:rPr>
      </w:pPr>
      <w:r>
        <w:rPr>
          <w:sz w:val="24"/>
        </w:rPr>
        <w:t>Miejmy nadzieję, że do historii odejdą sytuacje , jak  ta znana autorce – starszy pan przyjmowany na oddział oświadczył, że najlepiej na ból głowy pomaga mu tabletka z krzyżykiem; lekiem tym okazał się Sintrom…</w:t>
      </w:r>
    </w:p>
    <w:p w:rsidR="000536E3" w:rsidRDefault="000536E3" w:rsidP="005A7AD4">
      <w:pPr>
        <w:pStyle w:val="Bezodstpw"/>
        <w:jc w:val="both"/>
        <w:rPr>
          <w:sz w:val="24"/>
        </w:rPr>
      </w:pPr>
    </w:p>
    <w:p w:rsidR="000536E3" w:rsidRPr="00AE6179" w:rsidRDefault="000536E3" w:rsidP="005A7AD4">
      <w:pPr>
        <w:pStyle w:val="Bezodstpw"/>
        <w:jc w:val="both"/>
        <w:rPr>
          <w:sz w:val="20"/>
        </w:rPr>
      </w:pPr>
      <w:r w:rsidRPr="00AE6179">
        <w:rPr>
          <w:sz w:val="20"/>
        </w:rPr>
        <w:t>Adres do korespondencji: lek. Anna Markiewicz Podmiot leczniczy Copernicus  w Gdańsku, Szpital Św. Wojciecha al. Jana Pawła II 50 80-460 Gdańsk; e- mail : printer@mp.pl</w:t>
      </w:r>
    </w:p>
    <w:p w:rsidR="000536E3" w:rsidRDefault="000536E3" w:rsidP="005A7AD4">
      <w:pPr>
        <w:pStyle w:val="Bezodstpw"/>
        <w:jc w:val="both"/>
        <w:rPr>
          <w:sz w:val="24"/>
        </w:rPr>
      </w:pPr>
    </w:p>
    <w:p w:rsidR="000536E3" w:rsidRDefault="000536E3" w:rsidP="00AE6179">
      <w:pPr>
        <w:pStyle w:val="Bezodstpw"/>
        <w:jc w:val="center"/>
        <w:rPr>
          <w:b/>
          <w:sz w:val="24"/>
          <w:szCs w:val="36"/>
          <w:lang w:val="en-US"/>
        </w:rPr>
      </w:pPr>
      <w:r w:rsidRPr="00CB52CE">
        <w:rPr>
          <w:b/>
          <w:sz w:val="24"/>
          <w:szCs w:val="36"/>
          <w:lang w:val="en-US"/>
        </w:rPr>
        <w:t>The safety of antithrombotic therapy – comments a practicing doctor</w:t>
      </w:r>
    </w:p>
    <w:p w:rsidR="000536E3" w:rsidRPr="00CB52CE" w:rsidRDefault="000536E3" w:rsidP="00AE6179">
      <w:pPr>
        <w:pStyle w:val="Bezodstpw"/>
        <w:rPr>
          <w:b/>
          <w:sz w:val="24"/>
          <w:szCs w:val="36"/>
          <w:lang w:val="en-US"/>
        </w:rPr>
      </w:pPr>
    </w:p>
    <w:p w:rsidR="000536E3" w:rsidRPr="00105BAD" w:rsidRDefault="000536E3" w:rsidP="00AE6179">
      <w:pPr>
        <w:pStyle w:val="Bezodstpw"/>
        <w:jc w:val="both"/>
        <w:rPr>
          <w:b/>
          <w:sz w:val="20"/>
          <w:lang w:val="en-US"/>
        </w:rPr>
      </w:pPr>
      <w:r w:rsidRPr="00105BAD">
        <w:rPr>
          <w:b/>
          <w:sz w:val="20"/>
          <w:lang w:val="en-US"/>
        </w:rPr>
        <w:t>Both atrial fibrillation (AF) and deep vein thrombosis (DVT) – the most frequent diseases demanding long-term antithrombotic therapy constitute a growing problem for the aging societies of Europe – including Poland.</w:t>
      </w:r>
    </w:p>
    <w:p w:rsidR="000536E3" w:rsidRPr="00105BAD" w:rsidRDefault="000536E3" w:rsidP="00AE6179">
      <w:pPr>
        <w:pStyle w:val="Bezodstpw"/>
        <w:jc w:val="both"/>
        <w:rPr>
          <w:b/>
          <w:sz w:val="20"/>
          <w:lang w:val="en-US"/>
        </w:rPr>
      </w:pPr>
      <w:r w:rsidRPr="00105BAD">
        <w:rPr>
          <w:b/>
          <w:sz w:val="20"/>
          <w:lang w:val="en-US"/>
        </w:rPr>
        <w:t>According to International Society on Thrombosis and Haemostasis, ISTH, about 500 000 Europeans die due to DVT complications; it is resposible for 10% of hospital deaths.</w:t>
      </w:r>
    </w:p>
    <w:p w:rsidR="000536E3" w:rsidRDefault="000536E3" w:rsidP="00AE6179">
      <w:pPr>
        <w:pStyle w:val="Bezodstpw"/>
        <w:jc w:val="both"/>
        <w:rPr>
          <w:b/>
          <w:sz w:val="20"/>
          <w:lang w:val="en-US"/>
        </w:rPr>
      </w:pPr>
      <w:r w:rsidRPr="00105BAD">
        <w:rPr>
          <w:b/>
          <w:sz w:val="20"/>
          <w:lang w:val="en-US"/>
        </w:rPr>
        <w:t>Therefore , safe antithrombotic treatment is quite a big challenge for both doctors and patients. The following article contains practical tips and advice how this problem can be handled.</w:t>
      </w:r>
    </w:p>
    <w:p w:rsidR="000536E3" w:rsidRDefault="000536E3" w:rsidP="00AE6179">
      <w:pPr>
        <w:pStyle w:val="Bezodstpw"/>
        <w:jc w:val="both"/>
        <w:rPr>
          <w:b/>
          <w:sz w:val="20"/>
          <w:lang w:val="en-US"/>
        </w:rPr>
      </w:pPr>
    </w:p>
    <w:p w:rsidR="000536E3" w:rsidRPr="00AE6179" w:rsidRDefault="000536E3" w:rsidP="00105BAD">
      <w:pPr>
        <w:pStyle w:val="Bezodstpw"/>
        <w:rPr>
          <w:b/>
          <w:sz w:val="20"/>
          <w:lang w:val="en-US"/>
        </w:rPr>
      </w:pPr>
    </w:p>
    <w:p w:rsidR="000536E3" w:rsidRPr="00AE6179" w:rsidRDefault="000536E3" w:rsidP="00B60D14">
      <w:pPr>
        <w:pStyle w:val="Bezodstpw"/>
        <w:ind w:left="720"/>
        <w:jc w:val="both"/>
        <w:rPr>
          <w:b/>
          <w:lang w:val="en-US"/>
        </w:rPr>
      </w:pPr>
    </w:p>
    <w:p w:rsidR="00615868" w:rsidRDefault="00615868" w:rsidP="00B60D14">
      <w:pPr>
        <w:pStyle w:val="Bezodstpw"/>
        <w:ind w:left="720"/>
        <w:jc w:val="both"/>
        <w:rPr>
          <w:b/>
        </w:rPr>
      </w:pPr>
    </w:p>
    <w:p w:rsidR="000536E3" w:rsidRPr="00B60D14" w:rsidRDefault="000536E3" w:rsidP="00B60D14">
      <w:pPr>
        <w:pStyle w:val="Bezodstpw"/>
        <w:ind w:left="720"/>
        <w:jc w:val="both"/>
        <w:rPr>
          <w:rFonts w:cs="Calibri"/>
        </w:rPr>
      </w:pPr>
      <w:bookmarkStart w:id="0" w:name="_GoBack"/>
      <w:bookmarkEnd w:id="0"/>
      <w:r w:rsidRPr="00544120">
        <w:rPr>
          <w:b/>
        </w:rPr>
        <w:lastRenderedPageBreak/>
        <w:t>Piśmiennictwo:</w:t>
      </w:r>
    </w:p>
    <w:p w:rsidR="00A37EBE" w:rsidRDefault="00A37EBE" w:rsidP="00A37EBE">
      <w:pPr>
        <w:numPr>
          <w:ilvl w:val="0"/>
          <w:numId w:val="24"/>
        </w:numPr>
        <w:spacing w:before="100" w:beforeAutospacing="1" w:after="100" w:afterAutospacing="1" w:line="360" w:lineRule="auto"/>
      </w:pPr>
      <w:r>
        <w:t>Zawilska K. Żylna choroba zakrzepowo-zatorowa — postępy 2017/2018. Med Prakt. 2018; 9: 52–61.</w:t>
      </w:r>
    </w:p>
    <w:p w:rsidR="00A37EBE" w:rsidRDefault="00A37EBE" w:rsidP="00A37EBE">
      <w:pPr>
        <w:numPr>
          <w:ilvl w:val="0"/>
          <w:numId w:val="24"/>
        </w:numPr>
        <w:spacing w:before="100" w:beforeAutospacing="1" w:after="100" w:afterAutospacing="1" w:line="360" w:lineRule="auto"/>
      </w:pPr>
      <w:r>
        <w:t>Zawilska K. Żylna choroba zakrzepowo-zatorowa — postępy 2015/2016. Med Prakt. 2016; 2: 83–90.</w:t>
      </w:r>
    </w:p>
    <w:p w:rsidR="00A37EBE" w:rsidRDefault="00A37EBE" w:rsidP="00A37EBE">
      <w:pPr>
        <w:numPr>
          <w:ilvl w:val="0"/>
          <w:numId w:val="24"/>
        </w:numPr>
        <w:spacing w:before="100" w:beforeAutospacing="1" w:after="100" w:afterAutospacing="1" w:line="360" w:lineRule="auto"/>
      </w:pPr>
      <w:r>
        <w:t>Weitz JI, Jaffer IH. Optymalizacja bezpieczeństwa leczenia żylnej choroby zakrzepowo-zatorowej w dobie doustnych antykoagulantów niebędących antagonistami witaminy K. Pol Arch Med Wew. 2016; 126: 688–696.</w:t>
      </w:r>
    </w:p>
    <w:p w:rsidR="00A37EBE" w:rsidRDefault="00A37EBE" w:rsidP="00A37EBE">
      <w:pPr>
        <w:numPr>
          <w:ilvl w:val="0"/>
          <w:numId w:val="24"/>
        </w:numPr>
        <w:spacing w:before="100" w:beforeAutospacing="1" w:after="100" w:afterAutospacing="1" w:line="360" w:lineRule="auto"/>
      </w:pPr>
      <w:r>
        <w:t>Trusz-Gluza M. Stosowanie doustnych lekow przeciwkrzepliwych niebędących antagonistami witaminy K u chorych z migotaniem przedsionków według przewodnika ekspertów European Heart Rhythm Association 2018. Med Prakt. 2018; 9: 10–23.</w:t>
      </w:r>
    </w:p>
    <w:p w:rsidR="00A37EBE" w:rsidRDefault="00A37EBE" w:rsidP="00A37EBE">
      <w:pPr>
        <w:numPr>
          <w:ilvl w:val="0"/>
          <w:numId w:val="24"/>
        </w:numPr>
        <w:spacing w:before="100" w:beforeAutospacing="1" w:after="100" w:afterAutospacing="1" w:line="360" w:lineRule="auto"/>
      </w:pPr>
      <w:r>
        <w:t xml:space="preserve">Kasprzak JD, Dąbrowski R, Barylski M, et al. Doustne antykoagulanty nowej generacji — aspekty praktyczne. Stanowisko Sekcji Farmakoterapii Sercowo-Naczyniowej Polskiego Towarzystwa Kardiologicznego. Folia Cardiol. 2016; 11(5): 377–393, doi: </w:t>
      </w:r>
      <w:hyperlink r:id="rId9" w:history="1">
        <w:r>
          <w:rPr>
            <w:rStyle w:val="Hipercze"/>
          </w:rPr>
          <w:t>10.5603/fc.2016.0064</w:t>
        </w:r>
      </w:hyperlink>
      <w:r>
        <w:t>.</w:t>
      </w:r>
    </w:p>
    <w:p w:rsidR="00A37EBE" w:rsidRDefault="00A37EBE" w:rsidP="00A37EBE">
      <w:pPr>
        <w:numPr>
          <w:ilvl w:val="0"/>
          <w:numId w:val="24"/>
        </w:numPr>
        <w:spacing w:before="100" w:beforeAutospacing="1" w:after="100" w:afterAutospacing="1" w:line="360" w:lineRule="auto"/>
      </w:pPr>
      <w:r>
        <w:t>Dąbrowski R. Uwarunkowania i trudności związane ze stosowaniem antagonistów witaminy K. Med Dypl. 2016; 25(1): 37–42.</w:t>
      </w:r>
    </w:p>
    <w:p w:rsidR="00A37EBE" w:rsidRDefault="00A37EBE" w:rsidP="00A37EBE">
      <w:pPr>
        <w:numPr>
          <w:ilvl w:val="0"/>
          <w:numId w:val="24"/>
        </w:numPr>
        <w:spacing w:before="100" w:beforeAutospacing="1" w:after="100" w:afterAutospacing="1" w:line="360" w:lineRule="auto"/>
      </w:pPr>
      <w:r>
        <w:t>Frankiewicz T. Monografia witaminy K. Kości, stawy, naczynia krwionośne, mózg a witamina K — nowe wskazania. Valentis, Warszawa 2016.</w:t>
      </w:r>
    </w:p>
    <w:p w:rsidR="00A37EBE" w:rsidRDefault="00A37EBE" w:rsidP="00A37EBE">
      <w:pPr>
        <w:numPr>
          <w:ilvl w:val="0"/>
          <w:numId w:val="24"/>
        </w:numPr>
        <w:spacing w:before="100" w:beforeAutospacing="1" w:after="100" w:afterAutospacing="1" w:line="360" w:lineRule="auto"/>
      </w:pPr>
      <w:r>
        <w:t>Undas A., Zapobieganie powikłaniom zakrzepowo-zatorowym w praktyce internistycznej — kiedy i jak?, XVI Krajowa Konferencja Szkoleniowa Towarzystwa Internistów Polskich „Postępy w chorobach wewnętrznych INTERNA 2017”, Kraków, 31.03.2017.</w:t>
      </w:r>
    </w:p>
    <w:p w:rsidR="00A37EBE" w:rsidRDefault="00A37EBE" w:rsidP="00A37EBE">
      <w:pPr>
        <w:numPr>
          <w:ilvl w:val="0"/>
          <w:numId w:val="24"/>
        </w:numPr>
        <w:spacing w:before="100" w:beforeAutospacing="1" w:after="100" w:afterAutospacing="1" w:line="360" w:lineRule="auto"/>
      </w:pPr>
      <w:r>
        <w:t>Windyga J.,Profilaktyka i leczenie żylnej choroby zakrzepowo-zatorowej w sytuacjach szczególnych (małopłytkowość, niewydolność nerek, otyłość, ciąża), II Konferencja Naukowa „Żylna Choroba Zakrzepowo-Zatorowa — Niedoceniany Problem”, Warszawa, 23.11.2015.</w:t>
      </w:r>
    </w:p>
    <w:p w:rsidR="000536E3" w:rsidRPr="004A3EE7" w:rsidRDefault="000536E3" w:rsidP="0044548A">
      <w:pPr>
        <w:pStyle w:val="Bezodstpw"/>
        <w:ind w:left="720"/>
        <w:jc w:val="both"/>
        <w:rPr>
          <w:rFonts w:cs="Calibri"/>
        </w:rPr>
      </w:pPr>
    </w:p>
    <w:p w:rsidR="000536E3" w:rsidRPr="004A3EE7" w:rsidRDefault="000536E3" w:rsidP="0044548A">
      <w:pPr>
        <w:pStyle w:val="Bezodstpw"/>
        <w:ind w:left="720"/>
        <w:jc w:val="both"/>
        <w:rPr>
          <w:rFonts w:cs="Calibri"/>
        </w:rPr>
      </w:pPr>
    </w:p>
    <w:p w:rsidR="000536E3" w:rsidRPr="004A3EE7" w:rsidRDefault="000536E3" w:rsidP="0044548A">
      <w:pPr>
        <w:pStyle w:val="Bezodstpw"/>
        <w:ind w:left="720"/>
        <w:jc w:val="both"/>
        <w:rPr>
          <w:rFonts w:cs="Calibri"/>
        </w:rPr>
      </w:pPr>
    </w:p>
    <w:p w:rsidR="000536E3" w:rsidRPr="004A3EE7" w:rsidRDefault="000536E3" w:rsidP="0044548A">
      <w:pPr>
        <w:pStyle w:val="Bezodstpw"/>
        <w:ind w:left="720"/>
        <w:jc w:val="both"/>
        <w:rPr>
          <w:rFonts w:cs="Calibri"/>
        </w:rPr>
      </w:pPr>
    </w:p>
    <w:p w:rsidR="000536E3" w:rsidRPr="004A3EE7" w:rsidRDefault="000536E3" w:rsidP="00AB40D9">
      <w:pPr>
        <w:pStyle w:val="Bezodstpw"/>
        <w:jc w:val="both"/>
        <w:rPr>
          <w:rFonts w:cs="Calibri"/>
        </w:rPr>
      </w:pPr>
    </w:p>
    <w:sectPr w:rsidR="000536E3" w:rsidRPr="004A3EE7" w:rsidSect="001154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E3" w:rsidRDefault="000536E3" w:rsidP="001C45C2">
      <w:pPr>
        <w:spacing w:after="0" w:line="240" w:lineRule="auto"/>
      </w:pPr>
      <w:r>
        <w:separator/>
      </w:r>
    </w:p>
  </w:endnote>
  <w:endnote w:type="continuationSeparator" w:id="0">
    <w:p w:rsidR="000536E3" w:rsidRDefault="000536E3" w:rsidP="001C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6E3" w:rsidRDefault="00A37EB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868">
      <w:rPr>
        <w:noProof/>
      </w:rPr>
      <w:t>12</w:t>
    </w:r>
    <w:r>
      <w:rPr>
        <w:noProof/>
      </w:rPr>
      <w:fldChar w:fldCharType="end"/>
    </w:r>
  </w:p>
  <w:p w:rsidR="000536E3" w:rsidRDefault="000536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E3" w:rsidRDefault="000536E3" w:rsidP="001C45C2">
      <w:pPr>
        <w:spacing w:after="0" w:line="240" w:lineRule="auto"/>
      </w:pPr>
      <w:r>
        <w:separator/>
      </w:r>
    </w:p>
  </w:footnote>
  <w:footnote w:type="continuationSeparator" w:id="0">
    <w:p w:rsidR="000536E3" w:rsidRDefault="000536E3" w:rsidP="001C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1E1"/>
    <w:multiLevelType w:val="hybridMultilevel"/>
    <w:tmpl w:val="169494B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45BA0"/>
    <w:multiLevelType w:val="hybridMultilevel"/>
    <w:tmpl w:val="3566ED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E4F7D"/>
    <w:multiLevelType w:val="hybridMultilevel"/>
    <w:tmpl w:val="125224A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7418F7"/>
    <w:multiLevelType w:val="hybridMultilevel"/>
    <w:tmpl w:val="D0FA8D18"/>
    <w:lvl w:ilvl="0" w:tplc="0415000F">
      <w:start w:val="1"/>
      <w:numFmt w:val="decimal"/>
      <w:lvlText w:val="%1."/>
      <w:lvlJc w:val="left"/>
      <w:pPr>
        <w:ind w:left="249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abstractNum w:abstractNumId="4">
    <w:nsid w:val="15B31ED2"/>
    <w:multiLevelType w:val="hybridMultilevel"/>
    <w:tmpl w:val="E2E4C7E4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20325D7F"/>
    <w:multiLevelType w:val="hybridMultilevel"/>
    <w:tmpl w:val="2996E1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953BA1"/>
    <w:multiLevelType w:val="hybridMultilevel"/>
    <w:tmpl w:val="C2F6CA16"/>
    <w:lvl w:ilvl="0" w:tplc="0415000F">
      <w:start w:val="1"/>
      <w:numFmt w:val="decimal"/>
      <w:lvlText w:val="%1."/>
      <w:lvlJc w:val="left"/>
      <w:pPr>
        <w:ind w:left="249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abstractNum w:abstractNumId="7">
    <w:nsid w:val="21044A50"/>
    <w:multiLevelType w:val="hybridMultilevel"/>
    <w:tmpl w:val="EF682844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29EA3533"/>
    <w:multiLevelType w:val="hybridMultilevel"/>
    <w:tmpl w:val="12349858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2B9648BC"/>
    <w:multiLevelType w:val="hybridMultilevel"/>
    <w:tmpl w:val="51A0BD00"/>
    <w:lvl w:ilvl="0" w:tplc="0415000F">
      <w:start w:val="1"/>
      <w:numFmt w:val="decimal"/>
      <w:lvlText w:val="%1."/>
      <w:lvlJc w:val="left"/>
      <w:pPr>
        <w:ind w:left="249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abstractNum w:abstractNumId="10">
    <w:nsid w:val="311066E9"/>
    <w:multiLevelType w:val="multilevel"/>
    <w:tmpl w:val="A15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20510"/>
    <w:multiLevelType w:val="hybridMultilevel"/>
    <w:tmpl w:val="A6DCD55E"/>
    <w:lvl w:ilvl="0" w:tplc="151C4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C2E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4628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C08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027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0C6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A97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E41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67C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07047CE"/>
    <w:multiLevelType w:val="hybridMultilevel"/>
    <w:tmpl w:val="DD7A1CF8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148294B"/>
    <w:multiLevelType w:val="hybridMultilevel"/>
    <w:tmpl w:val="B2840FCC"/>
    <w:lvl w:ilvl="0" w:tplc="A02A1B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B512F2A"/>
    <w:multiLevelType w:val="hybridMultilevel"/>
    <w:tmpl w:val="131EA362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C384192"/>
    <w:multiLevelType w:val="hybridMultilevel"/>
    <w:tmpl w:val="8580EC28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4E6408C1"/>
    <w:multiLevelType w:val="hybridMultilevel"/>
    <w:tmpl w:val="E8A24024"/>
    <w:lvl w:ilvl="0" w:tplc="1E9A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CF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469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E17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CC1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E4D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7F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C22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EEA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1FA3D15"/>
    <w:multiLevelType w:val="hybridMultilevel"/>
    <w:tmpl w:val="3F1EB3C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1E7689"/>
    <w:multiLevelType w:val="hybridMultilevel"/>
    <w:tmpl w:val="6E6A5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CA4AB8"/>
    <w:multiLevelType w:val="hybridMultilevel"/>
    <w:tmpl w:val="91481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E11B7C"/>
    <w:multiLevelType w:val="hybridMultilevel"/>
    <w:tmpl w:val="24F2D1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DC0EC0"/>
    <w:multiLevelType w:val="hybridMultilevel"/>
    <w:tmpl w:val="16FABB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48595F"/>
    <w:multiLevelType w:val="hybridMultilevel"/>
    <w:tmpl w:val="A26C77CA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6FD466EC"/>
    <w:multiLevelType w:val="hybridMultilevel"/>
    <w:tmpl w:val="695A0D38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15"/>
  </w:num>
  <w:num w:numId="11">
    <w:abstractNumId w:val="23"/>
  </w:num>
  <w:num w:numId="12">
    <w:abstractNumId w:val="8"/>
  </w:num>
  <w:num w:numId="13">
    <w:abstractNumId w:val="20"/>
  </w:num>
  <w:num w:numId="14">
    <w:abstractNumId w:val="16"/>
  </w:num>
  <w:num w:numId="15">
    <w:abstractNumId w:val="22"/>
  </w:num>
  <w:num w:numId="16">
    <w:abstractNumId w:val="11"/>
  </w:num>
  <w:num w:numId="17">
    <w:abstractNumId w:val="3"/>
  </w:num>
  <w:num w:numId="18">
    <w:abstractNumId w:val="6"/>
  </w:num>
  <w:num w:numId="19">
    <w:abstractNumId w:val="9"/>
  </w:num>
  <w:num w:numId="20">
    <w:abstractNumId w:val="13"/>
  </w:num>
  <w:num w:numId="21">
    <w:abstractNumId w:val="14"/>
  </w:num>
  <w:num w:numId="22">
    <w:abstractNumId w:val="12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D4"/>
    <w:rsid w:val="00000EA9"/>
    <w:rsid w:val="00003BCB"/>
    <w:rsid w:val="00033DA9"/>
    <w:rsid w:val="0003486E"/>
    <w:rsid w:val="000536E3"/>
    <w:rsid w:val="00055919"/>
    <w:rsid w:val="000560AB"/>
    <w:rsid w:val="000624A6"/>
    <w:rsid w:val="000634EA"/>
    <w:rsid w:val="000671AC"/>
    <w:rsid w:val="00073E80"/>
    <w:rsid w:val="00087B83"/>
    <w:rsid w:val="00096E8F"/>
    <w:rsid w:val="000A0D16"/>
    <w:rsid w:val="000A59F1"/>
    <w:rsid w:val="000B58EB"/>
    <w:rsid w:val="000C2D18"/>
    <w:rsid w:val="00105BAD"/>
    <w:rsid w:val="00115428"/>
    <w:rsid w:val="001632FB"/>
    <w:rsid w:val="001666CD"/>
    <w:rsid w:val="00170D22"/>
    <w:rsid w:val="0017223B"/>
    <w:rsid w:val="00196712"/>
    <w:rsid w:val="001A65A2"/>
    <w:rsid w:val="001C45C2"/>
    <w:rsid w:val="001D35D5"/>
    <w:rsid w:val="001D7931"/>
    <w:rsid w:val="001E527E"/>
    <w:rsid w:val="001E6156"/>
    <w:rsid w:val="001F5904"/>
    <w:rsid w:val="002105EE"/>
    <w:rsid w:val="00213527"/>
    <w:rsid w:val="00220D91"/>
    <w:rsid w:val="00252E86"/>
    <w:rsid w:val="00257D99"/>
    <w:rsid w:val="00272483"/>
    <w:rsid w:val="0028061F"/>
    <w:rsid w:val="00284237"/>
    <w:rsid w:val="002B4BBC"/>
    <w:rsid w:val="002C0515"/>
    <w:rsid w:val="002C1348"/>
    <w:rsid w:val="002D58B8"/>
    <w:rsid w:val="002E2C7A"/>
    <w:rsid w:val="00342250"/>
    <w:rsid w:val="00344E3C"/>
    <w:rsid w:val="00362D35"/>
    <w:rsid w:val="00392D07"/>
    <w:rsid w:val="003C3788"/>
    <w:rsid w:val="003D2E37"/>
    <w:rsid w:val="003E43DA"/>
    <w:rsid w:val="003F053E"/>
    <w:rsid w:val="003F0F23"/>
    <w:rsid w:val="0040688B"/>
    <w:rsid w:val="00414EB7"/>
    <w:rsid w:val="0042256E"/>
    <w:rsid w:val="004329E9"/>
    <w:rsid w:val="00437A7A"/>
    <w:rsid w:val="0044548A"/>
    <w:rsid w:val="0046502F"/>
    <w:rsid w:val="00470C7D"/>
    <w:rsid w:val="00474708"/>
    <w:rsid w:val="004856B2"/>
    <w:rsid w:val="00487F28"/>
    <w:rsid w:val="00494143"/>
    <w:rsid w:val="004A3EE7"/>
    <w:rsid w:val="004A3F61"/>
    <w:rsid w:val="004B43CC"/>
    <w:rsid w:val="0051197E"/>
    <w:rsid w:val="00544120"/>
    <w:rsid w:val="00565C16"/>
    <w:rsid w:val="005778F7"/>
    <w:rsid w:val="0059640E"/>
    <w:rsid w:val="005A7AD4"/>
    <w:rsid w:val="005C38DA"/>
    <w:rsid w:val="005D4A9C"/>
    <w:rsid w:val="005F7F48"/>
    <w:rsid w:val="00601DE6"/>
    <w:rsid w:val="00605DFC"/>
    <w:rsid w:val="00615868"/>
    <w:rsid w:val="0062656A"/>
    <w:rsid w:val="0064711B"/>
    <w:rsid w:val="006837A5"/>
    <w:rsid w:val="006945E3"/>
    <w:rsid w:val="00696385"/>
    <w:rsid w:val="006A0778"/>
    <w:rsid w:val="006C1EC7"/>
    <w:rsid w:val="006F28F9"/>
    <w:rsid w:val="006F7009"/>
    <w:rsid w:val="0071445A"/>
    <w:rsid w:val="00717A3D"/>
    <w:rsid w:val="00720B33"/>
    <w:rsid w:val="00744D46"/>
    <w:rsid w:val="00753373"/>
    <w:rsid w:val="007644DC"/>
    <w:rsid w:val="00777860"/>
    <w:rsid w:val="007911C0"/>
    <w:rsid w:val="007A5FCE"/>
    <w:rsid w:val="007E23E7"/>
    <w:rsid w:val="007E5E95"/>
    <w:rsid w:val="00825AF0"/>
    <w:rsid w:val="00833B46"/>
    <w:rsid w:val="0083468A"/>
    <w:rsid w:val="008542F0"/>
    <w:rsid w:val="008861BA"/>
    <w:rsid w:val="00890153"/>
    <w:rsid w:val="00890C1E"/>
    <w:rsid w:val="008919CD"/>
    <w:rsid w:val="008B2A2D"/>
    <w:rsid w:val="008E1A2A"/>
    <w:rsid w:val="009031AC"/>
    <w:rsid w:val="00904496"/>
    <w:rsid w:val="00906D4A"/>
    <w:rsid w:val="009461D6"/>
    <w:rsid w:val="00956B0C"/>
    <w:rsid w:val="0099029A"/>
    <w:rsid w:val="009A0857"/>
    <w:rsid w:val="009A41EF"/>
    <w:rsid w:val="009A6EFD"/>
    <w:rsid w:val="009B1A2E"/>
    <w:rsid w:val="009E0AD3"/>
    <w:rsid w:val="009F1590"/>
    <w:rsid w:val="009F430D"/>
    <w:rsid w:val="00A23CE9"/>
    <w:rsid w:val="00A37EBE"/>
    <w:rsid w:val="00A5532D"/>
    <w:rsid w:val="00A56245"/>
    <w:rsid w:val="00A86DC8"/>
    <w:rsid w:val="00A96045"/>
    <w:rsid w:val="00AA65C0"/>
    <w:rsid w:val="00AB40D9"/>
    <w:rsid w:val="00AB5C2A"/>
    <w:rsid w:val="00AD4B84"/>
    <w:rsid w:val="00AE6179"/>
    <w:rsid w:val="00B0570E"/>
    <w:rsid w:val="00B12D39"/>
    <w:rsid w:val="00B30C40"/>
    <w:rsid w:val="00B4082E"/>
    <w:rsid w:val="00B47AE2"/>
    <w:rsid w:val="00B60D14"/>
    <w:rsid w:val="00B65E59"/>
    <w:rsid w:val="00B66D31"/>
    <w:rsid w:val="00B87882"/>
    <w:rsid w:val="00BA1309"/>
    <w:rsid w:val="00BA3268"/>
    <w:rsid w:val="00BB5790"/>
    <w:rsid w:val="00BC0DB5"/>
    <w:rsid w:val="00BC1EC6"/>
    <w:rsid w:val="00BF09A6"/>
    <w:rsid w:val="00BF7229"/>
    <w:rsid w:val="00C076D0"/>
    <w:rsid w:val="00C12666"/>
    <w:rsid w:val="00C21F85"/>
    <w:rsid w:val="00C23A40"/>
    <w:rsid w:val="00C24678"/>
    <w:rsid w:val="00C5188B"/>
    <w:rsid w:val="00C87614"/>
    <w:rsid w:val="00C93196"/>
    <w:rsid w:val="00CB52CE"/>
    <w:rsid w:val="00CF7055"/>
    <w:rsid w:val="00D150F0"/>
    <w:rsid w:val="00D26017"/>
    <w:rsid w:val="00D266B9"/>
    <w:rsid w:val="00D37073"/>
    <w:rsid w:val="00D44FAA"/>
    <w:rsid w:val="00D91AB4"/>
    <w:rsid w:val="00DA3CB5"/>
    <w:rsid w:val="00DD3A42"/>
    <w:rsid w:val="00DD566B"/>
    <w:rsid w:val="00DE21E6"/>
    <w:rsid w:val="00DE2E7C"/>
    <w:rsid w:val="00E1355A"/>
    <w:rsid w:val="00E20F12"/>
    <w:rsid w:val="00E40FE4"/>
    <w:rsid w:val="00E61296"/>
    <w:rsid w:val="00E97FA5"/>
    <w:rsid w:val="00EB551D"/>
    <w:rsid w:val="00EC1F31"/>
    <w:rsid w:val="00EE7CDC"/>
    <w:rsid w:val="00EF407A"/>
    <w:rsid w:val="00EF7556"/>
    <w:rsid w:val="00F112FA"/>
    <w:rsid w:val="00F207A4"/>
    <w:rsid w:val="00F34027"/>
    <w:rsid w:val="00F4127F"/>
    <w:rsid w:val="00F476B4"/>
    <w:rsid w:val="00F52DE3"/>
    <w:rsid w:val="00F9083F"/>
    <w:rsid w:val="00F967A3"/>
    <w:rsid w:val="00FA4CEF"/>
    <w:rsid w:val="00FB3870"/>
    <w:rsid w:val="00FC0251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B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05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5BAD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5A7AD4"/>
    <w:rPr>
      <w:rFonts w:cs="Times New Roman"/>
    </w:rPr>
  </w:style>
  <w:style w:type="paragraph" w:styleId="Bezodstpw">
    <w:name w:val="No Spacing"/>
    <w:uiPriority w:val="99"/>
    <w:qFormat/>
    <w:rsid w:val="005A7AD4"/>
    <w:rPr>
      <w:lang w:eastAsia="en-US"/>
    </w:rPr>
  </w:style>
  <w:style w:type="character" w:styleId="Hipercze">
    <w:name w:val="Hyperlink"/>
    <w:basedOn w:val="Domylnaczcionkaakapitu"/>
    <w:uiPriority w:val="99"/>
    <w:rsid w:val="00105BAD"/>
    <w:rPr>
      <w:rFonts w:cs="Times New Roman"/>
      <w:color w:val="0000FF"/>
      <w:u w:val="single"/>
    </w:rPr>
  </w:style>
  <w:style w:type="character" w:customStyle="1" w:styleId="nlmon-behalf-of">
    <w:name w:val="nlm_on-behalf-of"/>
    <w:basedOn w:val="Domylnaczcionkaakapitu"/>
    <w:uiPriority w:val="99"/>
    <w:rsid w:val="00105BAD"/>
    <w:rPr>
      <w:rFonts w:cs="Times New Roman"/>
    </w:rPr>
  </w:style>
  <w:style w:type="character" w:customStyle="1" w:styleId="citation">
    <w:name w:val="citation"/>
    <w:basedOn w:val="Domylnaczcionkaakapitu"/>
    <w:uiPriority w:val="99"/>
    <w:rsid w:val="00105BAD"/>
    <w:rPr>
      <w:rFonts w:cs="Times New Roman"/>
    </w:rPr>
  </w:style>
  <w:style w:type="character" w:customStyle="1" w:styleId="doi">
    <w:name w:val="doi"/>
    <w:basedOn w:val="Domylnaczcionkaakapitu"/>
    <w:uiPriority w:val="99"/>
    <w:rsid w:val="00105BA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1C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4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5C2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07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7073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F476B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B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05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5BAD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5A7AD4"/>
    <w:rPr>
      <w:rFonts w:cs="Times New Roman"/>
    </w:rPr>
  </w:style>
  <w:style w:type="paragraph" w:styleId="Bezodstpw">
    <w:name w:val="No Spacing"/>
    <w:uiPriority w:val="99"/>
    <w:qFormat/>
    <w:rsid w:val="005A7AD4"/>
    <w:rPr>
      <w:lang w:eastAsia="en-US"/>
    </w:rPr>
  </w:style>
  <w:style w:type="character" w:styleId="Hipercze">
    <w:name w:val="Hyperlink"/>
    <w:basedOn w:val="Domylnaczcionkaakapitu"/>
    <w:uiPriority w:val="99"/>
    <w:rsid w:val="00105BAD"/>
    <w:rPr>
      <w:rFonts w:cs="Times New Roman"/>
      <w:color w:val="0000FF"/>
      <w:u w:val="single"/>
    </w:rPr>
  </w:style>
  <w:style w:type="character" w:customStyle="1" w:styleId="nlmon-behalf-of">
    <w:name w:val="nlm_on-behalf-of"/>
    <w:basedOn w:val="Domylnaczcionkaakapitu"/>
    <w:uiPriority w:val="99"/>
    <w:rsid w:val="00105BAD"/>
    <w:rPr>
      <w:rFonts w:cs="Times New Roman"/>
    </w:rPr>
  </w:style>
  <w:style w:type="character" w:customStyle="1" w:styleId="citation">
    <w:name w:val="citation"/>
    <w:basedOn w:val="Domylnaczcionkaakapitu"/>
    <w:uiPriority w:val="99"/>
    <w:rsid w:val="00105BAD"/>
    <w:rPr>
      <w:rFonts w:cs="Times New Roman"/>
    </w:rPr>
  </w:style>
  <w:style w:type="character" w:customStyle="1" w:styleId="doi">
    <w:name w:val="doi"/>
    <w:basedOn w:val="Domylnaczcionkaakapitu"/>
    <w:uiPriority w:val="99"/>
    <w:rsid w:val="00105BA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1C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4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5C2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07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7073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F476B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1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acforaf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x.doi.org/10.5603/fc.2016.0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4968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Filip Szałasek</cp:lastModifiedBy>
  <cp:revision>2</cp:revision>
  <cp:lastPrinted>2018-10-28T20:57:00Z</cp:lastPrinted>
  <dcterms:created xsi:type="dcterms:W3CDTF">2018-11-28T11:55:00Z</dcterms:created>
  <dcterms:modified xsi:type="dcterms:W3CDTF">2018-11-28T11:55:00Z</dcterms:modified>
</cp:coreProperties>
</file>