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23" w:rsidRDefault="00192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</w:tblGrid>
      <w:tr w:rsidR="00192323">
        <w:trPr>
          <w:trHeight w:val="6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Section/topic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#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192323">
        <w:trPr>
          <w:trHeight w:val="320"/>
        </w:trPr>
        <w:tc>
          <w:tcPr>
            <w:tcW w:w="1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3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Identify the report as a systematic review, meta-analysis, or both.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  <w:tr w:rsidR="00192323">
        <w:trPr>
          <w:trHeight w:val="320"/>
        </w:trPr>
        <w:tc>
          <w:tcPr>
            <w:tcW w:w="1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ABSTRACT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80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Structured summary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a structured summary including, as applicable: background; objectives; data sources; study eligibility criteria, participants, and interventions; study appraisal and synthesis methods; results; limitations; conclusions and implications of key findi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ngs; systematic review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92323">
        <w:trPr>
          <w:trHeight w:val="320"/>
        </w:trPr>
        <w:tc>
          <w:tcPr>
            <w:tcW w:w="1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INTRODUCTION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3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Rationale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 the rationale for the review in the context of what is already known.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5-6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Objectives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an explicit statement of questions being addressed with reference to participants, interventions, comparisons, outcomes, and study design (PICOS).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192323">
        <w:trPr>
          <w:trHeight w:val="320"/>
        </w:trPr>
        <w:tc>
          <w:tcPr>
            <w:tcW w:w="13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METHODS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Protocol and registration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Indicate if a review protocol exists, if and where it can be accessed (e.g., Web address), and, if available, provide registration information including registration number.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Eligibility criteria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Specify study characteristics (e.g., PICOS, length of follow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up) and report characteristics (e.g., years considered, language, publication status) used as criteria for eligibility, giving rationale.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Information sources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Search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 full electronic search strategy for at least one database, incl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uding any limits used, such that it could be repeated.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 the process for selecting studies (i.e., screening, eligibility, included in systematic review, and, if applicable, included in the meta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analysis).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collection process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7-8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items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92323">
        <w:trPr>
          <w:trHeight w:val="56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Risk of bias in individual studies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methods used for assessing risk of bias of individual studies (includi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ng specification of whether this was done at the study or outcome level), and how this information is to be used in any data synthesis.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92323">
        <w:trPr>
          <w:trHeight w:val="32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Summary measures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State the principal summary measures (e.g., risk ratio, difference in means).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8-9</w:t>
            </w:r>
          </w:p>
        </w:tc>
      </w:tr>
      <w:tr w:rsidR="00192323">
        <w:trPr>
          <w:trHeight w:val="580"/>
        </w:trPr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Synthesis of results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the methods of handling data and combining results of studies, if done, including measures of consistency (e.g.,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 each meta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analysi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8-9</w:t>
            </w:r>
          </w:p>
        </w:tc>
      </w:tr>
    </w:tbl>
    <w:p w:rsidR="00192323" w:rsidRDefault="001923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8"/>
          <w:szCs w:val="8"/>
        </w:rPr>
      </w:pPr>
    </w:p>
    <w:p w:rsidR="00192323" w:rsidRDefault="0049308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Page 1 of 2 </w:t>
      </w:r>
    </w:p>
    <w:tbl>
      <w:tblPr>
        <w:tblStyle w:val="a0"/>
        <w:tblW w:w="15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536"/>
        <w:gridCol w:w="10275"/>
        <w:gridCol w:w="1631"/>
      </w:tblGrid>
      <w:tr w:rsidR="00192323">
        <w:trPr>
          <w:trHeight w:val="6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Section/topic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#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Reported on page # </w:t>
            </w: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Additional analyses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methods of additional analyses (e.g., sensitivity or subgroup analyses, meta-regression), if done, indicating which were pre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specified.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192323">
        <w:trPr>
          <w:trHeight w:val="320"/>
        </w:trPr>
        <w:tc>
          <w:tcPr>
            <w:tcW w:w="13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RESULTS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Figure 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Study characteristics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Tables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192323">
        <w:trPr>
          <w:trHeight w:val="32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Risk of bias within studies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 </w:t>
            </w:r>
            <w:r>
              <w:rPr>
                <w:rFonts w:ascii="Arial" w:eastAsia="Arial" w:hAnsi="Arial" w:cs="Arial"/>
              </w:rPr>
              <w:t>14</w:t>
            </w: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Results of individual studies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 all outcomes considered (benefits or harms), present, for each study: (a) simple summary data for eac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 intervention group (b) effect estimates and confidence intervals, ideally with a forest plot.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Tables 1-13, Figures 2-3</w:t>
            </w:r>
          </w:p>
        </w:tc>
      </w:tr>
      <w:tr w:rsidR="00192323">
        <w:trPr>
          <w:trHeight w:val="32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Synthesis of results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Present results of each meta-analysis done, including confidence intervals and measures of consistency.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Tables </w:t>
            </w:r>
            <w:r>
              <w:rPr>
                <w:rFonts w:ascii="Arial" w:eastAsia="Arial" w:hAnsi="Arial" w:cs="Arial"/>
              </w:rPr>
              <w:t>1-13</w:t>
            </w:r>
          </w:p>
        </w:tc>
      </w:tr>
      <w:tr w:rsidR="00192323">
        <w:trPr>
          <w:trHeight w:val="32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Present results of any assessment of risk of bias across studies (see Item 15).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 </w:t>
            </w:r>
            <w:r>
              <w:rPr>
                <w:rFonts w:ascii="Arial" w:eastAsia="Arial" w:hAnsi="Arial" w:cs="Arial"/>
              </w:rPr>
              <w:t>14</w:t>
            </w:r>
          </w:p>
        </w:tc>
      </w:tr>
      <w:tr w:rsidR="00192323">
        <w:trPr>
          <w:trHeight w:val="38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Additional analysis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Give results of additional analyses, if done (e.g., sensitivity or subgroup analyses, meta-regression [see Item 16]).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Tables </w:t>
            </w:r>
            <w:r>
              <w:rPr>
                <w:rFonts w:ascii="Arial" w:eastAsia="Arial" w:hAnsi="Arial" w:cs="Arial"/>
              </w:rPr>
              <w:t>3, 7</w:t>
            </w:r>
          </w:p>
        </w:tc>
      </w:tr>
      <w:tr w:rsidR="00192323">
        <w:trPr>
          <w:trHeight w:val="320"/>
        </w:trPr>
        <w:tc>
          <w:tcPr>
            <w:tcW w:w="13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DISCUSSION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Summary of evidence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4-18</w:t>
            </w: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Limitations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</w:tr>
      <w:tr w:rsidR="00192323">
        <w:trPr>
          <w:trHeight w:val="42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Conclusions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4" w:space="0" w:color="FFFFCC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a general interpretation of the results in the context of other evide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nce, and implications for future research.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192323">
        <w:trPr>
          <w:trHeight w:val="320"/>
        </w:trPr>
        <w:tc>
          <w:tcPr>
            <w:tcW w:w="13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FUNDING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192323" w:rsidRDefault="00192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2323">
        <w:trPr>
          <w:trHeight w:val="56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Funding 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2323" w:rsidRDefault="00493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</w:tbl>
    <w:p w:rsidR="00192323" w:rsidRDefault="001923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92323" w:rsidRDefault="004930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From: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Moher D, Liberati A, Tetzlaff J, Altman DG, The PRISMA Group (2009). Preferred Reporting Items for Systematic Reviews and Meta-Analyses: The PRISMA Statement. PLoS Med 6(6): e1000097. doi:10.1371/journal.pmed1000097 </w:t>
      </w:r>
    </w:p>
    <w:p w:rsidR="00192323" w:rsidRDefault="004930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3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33399"/>
          <w:sz w:val="18"/>
          <w:szCs w:val="18"/>
        </w:rPr>
        <w:t>For more information, visit: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63FF"/>
          <w:sz w:val="18"/>
          <w:szCs w:val="18"/>
          <w:u w:val="single"/>
        </w:rPr>
        <w:t>www.prism</w:t>
      </w:r>
      <w:r>
        <w:rPr>
          <w:rFonts w:ascii="Arial" w:eastAsia="Arial" w:hAnsi="Arial" w:cs="Arial"/>
          <w:b/>
          <w:color w:val="0063FF"/>
          <w:sz w:val="18"/>
          <w:szCs w:val="18"/>
          <w:u w:val="single"/>
        </w:rPr>
        <w:t>a</w:t>
      </w:r>
      <w:r>
        <w:rPr>
          <w:rFonts w:ascii="Calibri" w:eastAsia="Calibri" w:hAnsi="Calibri" w:cs="Calibri"/>
          <w:b/>
          <w:color w:val="0063FF"/>
          <w:sz w:val="18"/>
          <w:szCs w:val="18"/>
          <w:u w:val="single"/>
        </w:rPr>
        <w:t>-</w:t>
      </w:r>
      <w:r>
        <w:rPr>
          <w:rFonts w:ascii="Arial" w:eastAsia="Arial" w:hAnsi="Arial" w:cs="Arial"/>
          <w:b/>
          <w:color w:val="0063FF"/>
          <w:sz w:val="18"/>
          <w:szCs w:val="18"/>
          <w:u w:val="single"/>
        </w:rPr>
        <w:t>statement.org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192323" w:rsidRDefault="0049308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Page 2 of 2 </w:t>
      </w:r>
    </w:p>
    <w:sectPr w:rsidR="00192323">
      <w:headerReference w:type="default" r:id="rId6"/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8C" w:rsidRDefault="0049308C">
      <w:r>
        <w:separator/>
      </w:r>
    </w:p>
  </w:endnote>
  <w:endnote w:type="continuationSeparator" w:id="0">
    <w:p w:rsidR="0049308C" w:rsidRDefault="004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8C" w:rsidRDefault="0049308C">
      <w:r>
        <w:separator/>
      </w:r>
    </w:p>
  </w:footnote>
  <w:footnote w:type="continuationSeparator" w:id="0">
    <w:p w:rsidR="0049308C" w:rsidRDefault="0049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23" w:rsidRDefault="0049308C">
    <w:pPr>
      <w:widowControl w:val="0"/>
      <w:pBdr>
        <w:top w:val="nil"/>
        <w:left w:val="nil"/>
        <w:bottom w:val="nil"/>
        <w:right w:val="nil"/>
        <w:between w:val="nil"/>
      </w:pBdr>
      <w:spacing w:after="373"/>
      <w:ind w:left="1080"/>
      <w:rPr>
        <w:rFonts w:ascii="Lucida Sans" w:eastAsia="Lucida Sans" w:hAnsi="Lucida Sans" w:cs="Lucida Sans"/>
        <w:color w:val="000000"/>
      </w:rPr>
    </w:pPr>
    <w:r>
      <w:rPr>
        <w:rFonts w:ascii="Lucida Sans" w:eastAsia="Lucida Sans" w:hAnsi="Lucida Sans" w:cs="Lucida Sans"/>
        <w:b/>
        <w:color w:val="000000"/>
        <w:sz w:val="32"/>
        <w:szCs w:val="32"/>
      </w:rPr>
      <w:t>PRISMA 2009 Checklist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81917</wp:posOffset>
          </wp:positionH>
          <wp:positionV relativeFrom="paragraph">
            <wp:posOffset>-111758</wp:posOffset>
          </wp:positionV>
          <wp:extent cx="457200" cy="4191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23"/>
    <w:rsid w:val="00192323"/>
    <w:rsid w:val="0049308C"/>
    <w:rsid w:val="0051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DD429-CAD9-46AB-8D28-E17E891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2</cp:revision>
  <dcterms:created xsi:type="dcterms:W3CDTF">2020-02-27T17:40:00Z</dcterms:created>
  <dcterms:modified xsi:type="dcterms:W3CDTF">2020-02-27T17:40:00Z</dcterms:modified>
</cp:coreProperties>
</file>