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4F" w:rsidRPr="00A254F7" w:rsidRDefault="009C094F" w:rsidP="009C094F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  <w:proofErr w:type="spellStart"/>
      <w:r w:rsidRPr="00A254F7">
        <w:rPr>
          <w:rFonts w:ascii="Calibri" w:hAnsi="Calibri" w:cs="Tahoma"/>
          <w:b/>
          <w:bCs/>
          <w:sz w:val="18"/>
          <w:szCs w:val="18"/>
        </w:rPr>
        <w:t>Abstract</w:t>
      </w:r>
      <w:proofErr w:type="spellEnd"/>
    </w:p>
    <w:p w:rsidR="009C094F" w:rsidRPr="00A254F7" w:rsidRDefault="009C094F" w:rsidP="009C094F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proofErr w:type="spellStart"/>
      <w:r w:rsidRPr="00A254F7">
        <w:rPr>
          <w:rFonts w:ascii="Calibri" w:hAnsi="Calibri" w:cs="Tahoma"/>
          <w:b/>
          <w:bCs/>
          <w:sz w:val="18"/>
          <w:szCs w:val="18"/>
        </w:rPr>
        <w:t>Introduction</w:t>
      </w:r>
      <w:proofErr w:type="spellEnd"/>
      <w:r w:rsidRPr="00A254F7">
        <w:rPr>
          <w:rFonts w:ascii="Calibri" w:hAnsi="Calibri" w:cs="Tahoma"/>
          <w:b/>
          <w:bCs/>
          <w:sz w:val="18"/>
          <w:szCs w:val="18"/>
        </w:rPr>
        <w:t>:</w:t>
      </w:r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Hypertension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is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the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civilization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disease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.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It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is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also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r w:rsidRPr="00A254F7">
        <w:rPr>
          <w:rFonts w:ascii="Calibri" w:hAnsi="Calibri" w:cs="Tahoma"/>
          <w:sz w:val="18"/>
          <w:szCs w:val="18"/>
        </w:rPr>
        <w:t xml:space="preserve">one of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the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main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risk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factors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of </w:t>
      </w:r>
      <w:proofErr w:type="spellStart"/>
      <w:r w:rsidRPr="00A254F7">
        <w:rPr>
          <w:rFonts w:ascii="Calibri" w:hAnsi="Calibri" w:cs="Tahoma"/>
          <w:sz w:val="18"/>
          <w:szCs w:val="18"/>
        </w:rPr>
        <w:t>cardiovascular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diseases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development</w:t>
      </w:r>
      <w:r w:rsidRPr="00A254F7">
        <w:rPr>
          <w:rFonts w:asciiTheme="minorHAnsi" w:hAnsiTheme="minorHAnsi" w:cs="Tahoma"/>
          <w:sz w:val="18"/>
          <w:szCs w:val="18"/>
        </w:rPr>
        <w:t xml:space="preserve">,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that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is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coro</w:t>
      </w:r>
      <w:r w:rsidRPr="00A254F7">
        <w:rPr>
          <w:rFonts w:asciiTheme="minorHAnsi" w:hAnsiTheme="minorHAnsi" w:cs="Tahoma"/>
          <w:sz w:val="18"/>
          <w:szCs w:val="18"/>
        </w:rPr>
        <w:t>nary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artery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dise</w:t>
      </w:r>
      <w:r w:rsidRPr="00A254F7">
        <w:rPr>
          <w:rFonts w:ascii="Calibri" w:hAnsi="Calibri" w:cs="Tahoma"/>
          <w:sz w:val="18"/>
          <w:szCs w:val="18"/>
        </w:rPr>
        <w:t>ase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A254F7">
        <w:rPr>
          <w:rFonts w:ascii="Calibri" w:hAnsi="Calibri" w:cs="Tahoma"/>
          <w:sz w:val="18"/>
          <w:szCs w:val="18"/>
        </w:rPr>
        <w:t>heart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failure</w:t>
      </w:r>
      <w:proofErr w:type="spellEnd"/>
      <w:r w:rsidRPr="00A254F7">
        <w:rPr>
          <w:rFonts w:ascii="Calibri" w:hAnsi="Calibri" w:cs="Tahoma"/>
          <w:sz w:val="18"/>
          <w:szCs w:val="18"/>
        </w:rPr>
        <w:t>.</w:t>
      </w:r>
    </w:p>
    <w:p w:rsidR="009C094F" w:rsidRPr="00A254F7" w:rsidRDefault="009C094F" w:rsidP="009C094F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proofErr w:type="spellStart"/>
      <w:r w:rsidRPr="00A254F7">
        <w:rPr>
          <w:rFonts w:ascii="Calibri" w:hAnsi="Calibri" w:cs="Tahoma"/>
          <w:b/>
          <w:bCs/>
          <w:sz w:val="18"/>
          <w:szCs w:val="18"/>
        </w:rPr>
        <w:t>Material</w:t>
      </w:r>
      <w:proofErr w:type="spellEnd"/>
      <w:r w:rsidRPr="00A254F7">
        <w:rPr>
          <w:rFonts w:ascii="Calibri" w:hAnsi="Calibri" w:cs="Tahoma"/>
          <w:b/>
          <w:bCs/>
          <w:sz w:val="18"/>
          <w:szCs w:val="18"/>
        </w:rPr>
        <w:t xml:space="preserve"> and </w:t>
      </w:r>
      <w:proofErr w:type="spellStart"/>
      <w:r w:rsidRPr="00A254F7">
        <w:rPr>
          <w:rFonts w:ascii="Calibri" w:hAnsi="Calibri" w:cs="Tahoma"/>
          <w:b/>
          <w:bCs/>
          <w:sz w:val="18"/>
          <w:szCs w:val="18"/>
        </w:rPr>
        <w:t>methods</w:t>
      </w:r>
      <w:proofErr w:type="spellEnd"/>
      <w:r w:rsidRPr="00A254F7">
        <w:rPr>
          <w:rFonts w:ascii="Calibri" w:hAnsi="Calibri" w:cs="Tahoma"/>
          <w:b/>
          <w:bCs/>
          <w:sz w:val="18"/>
          <w:szCs w:val="18"/>
        </w:rPr>
        <w:t>:</w:t>
      </w:r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Hospitalized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hypertensive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patients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were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analyzed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retrospectively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in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a </w:t>
      </w:r>
      <w:proofErr w:type="spellStart"/>
      <w:r w:rsidRPr="00A254F7">
        <w:rPr>
          <w:rFonts w:ascii="Calibri" w:hAnsi="Calibri" w:cs="Tahoma"/>
          <w:sz w:val="18"/>
          <w:szCs w:val="18"/>
        </w:rPr>
        <w:t>tertiary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care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cardiology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centre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in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2009–2010. </w:t>
      </w:r>
      <w:proofErr w:type="spellStart"/>
      <w:r w:rsidRPr="00A254F7">
        <w:rPr>
          <w:rFonts w:ascii="Calibri" w:hAnsi="Calibri" w:cs="Tahoma"/>
          <w:sz w:val="18"/>
          <w:szCs w:val="18"/>
        </w:rPr>
        <w:t>Clinical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data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depending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on</w:t>
      </w:r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gender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have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been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analyzed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with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particular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reference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to </w:t>
      </w:r>
      <w:proofErr w:type="spellStart"/>
      <w:r w:rsidRPr="00A254F7">
        <w:rPr>
          <w:rFonts w:ascii="Calibri" w:hAnsi="Calibri" w:cs="Tahoma"/>
          <w:sz w:val="18"/>
          <w:szCs w:val="18"/>
        </w:rPr>
        <w:t>concomitant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diseases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A254F7">
        <w:rPr>
          <w:rFonts w:ascii="Calibri" w:hAnsi="Calibri" w:cs="Tahoma"/>
          <w:sz w:val="18"/>
          <w:szCs w:val="18"/>
        </w:rPr>
        <w:t>selected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biochemical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and </w:t>
      </w:r>
      <w:proofErr w:type="spellStart"/>
      <w:r w:rsidRPr="00A254F7">
        <w:rPr>
          <w:rFonts w:ascii="Calibri" w:hAnsi="Calibri" w:cs="Tahoma"/>
          <w:sz w:val="18"/>
          <w:szCs w:val="18"/>
        </w:rPr>
        <w:t>echocardiographic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parameters</w:t>
      </w:r>
      <w:proofErr w:type="spellEnd"/>
      <w:r w:rsidRPr="00A254F7">
        <w:rPr>
          <w:rFonts w:ascii="Calibri" w:hAnsi="Calibri" w:cs="Tahoma"/>
          <w:sz w:val="18"/>
          <w:szCs w:val="18"/>
        </w:rPr>
        <w:t>.</w:t>
      </w:r>
    </w:p>
    <w:p w:rsidR="009C094F" w:rsidRPr="00A254F7" w:rsidRDefault="009C094F" w:rsidP="009C094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A254F7">
        <w:rPr>
          <w:rFonts w:ascii="Calibri" w:hAnsi="Calibri" w:cs="Tahoma"/>
          <w:b/>
          <w:bCs/>
          <w:sz w:val="18"/>
          <w:szCs w:val="18"/>
        </w:rPr>
        <w:t>Results</w:t>
      </w:r>
      <w:proofErr w:type="spellEnd"/>
      <w:r w:rsidRPr="00A254F7">
        <w:rPr>
          <w:rFonts w:ascii="Calibri" w:hAnsi="Calibri" w:cs="Tahoma"/>
          <w:b/>
          <w:bCs/>
          <w:sz w:val="18"/>
          <w:szCs w:val="18"/>
        </w:rPr>
        <w:t>:</w:t>
      </w:r>
      <w:r w:rsidRPr="00A254F7">
        <w:rPr>
          <w:rFonts w:asciiTheme="minorHAnsi" w:hAnsiTheme="minorHAnsi" w:cs="Tahoma"/>
          <w:sz w:val="18"/>
          <w:szCs w:val="18"/>
        </w:rPr>
        <w:t xml:space="preserve"> We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analyzed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data</w:t>
      </w:r>
      <w:r w:rsidRPr="00A254F7">
        <w:rPr>
          <w:rFonts w:ascii="Calibri" w:hAnsi="Calibri" w:cs="Tahoma"/>
          <w:sz w:val="18"/>
          <w:szCs w:val="18"/>
        </w:rPr>
        <w:t xml:space="preserve"> of 1372 men (5</w:t>
      </w:r>
      <w:r w:rsidRPr="00A254F7">
        <w:rPr>
          <w:rFonts w:asciiTheme="minorHAnsi" w:hAnsiTheme="minorHAnsi" w:cs="Tahoma"/>
          <w:sz w:val="18"/>
          <w:szCs w:val="18"/>
        </w:rPr>
        <w:t>4.6</w:t>
      </w:r>
      <w:r w:rsidRPr="00A254F7">
        <w:rPr>
          <w:rFonts w:ascii="Calibri" w:hAnsi="Calibri" w:cs="Tahoma"/>
          <w:sz w:val="18"/>
          <w:szCs w:val="18"/>
        </w:rPr>
        <w:t xml:space="preserve">%) and </w:t>
      </w:r>
      <w:r w:rsidRPr="00A254F7">
        <w:rPr>
          <w:rFonts w:asciiTheme="minorHAnsi" w:hAnsiTheme="minorHAnsi" w:cs="Tahoma"/>
          <w:sz w:val="18"/>
          <w:szCs w:val="18"/>
        </w:rPr>
        <w:t>1140</w:t>
      </w:r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women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(4</w:t>
      </w:r>
      <w:r w:rsidRPr="00A254F7">
        <w:rPr>
          <w:rFonts w:asciiTheme="minorHAnsi" w:hAnsiTheme="minorHAnsi" w:cs="Tahoma"/>
          <w:sz w:val="18"/>
          <w:szCs w:val="18"/>
        </w:rPr>
        <w:t>5.4</w:t>
      </w:r>
      <w:r w:rsidRPr="00A254F7">
        <w:rPr>
          <w:rFonts w:ascii="Calibri" w:hAnsi="Calibri" w:cs="Tahoma"/>
          <w:sz w:val="18"/>
          <w:szCs w:val="18"/>
        </w:rPr>
        <w:t xml:space="preserve">%). </w:t>
      </w:r>
      <w:proofErr w:type="spellStart"/>
      <w:r w:rsidRPr="00A254F7">
        <w:rPr>
          <w:rFonts w:ascii="Calibri" w:hAnsi="Calibri" w:cs="Tahoma"/>
          <w:sz w:val="18"/>
          <w:szCs w:val="18"/>
        </w:rPr>
        <w:t>Mean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="Calibri" w:hAnsi="Calibri" w:cs="Tahoma"/>
          <w:sz w:val="18"/>
          <w:szCs w:val="18"/>
        </w:rPr>
        <w:t>age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r w:rsidRPr="00A254F7">
        <w:rPr>
          <w:rFonts w:asciiTheme="minorHAnsi" w:hAnsiTheme="minorHAnsi" w:cs="Tahoma"/>
          <w:sz w:val="18"/>
          <w:szCs w:val="18"/>
        </w:rPr>
        <w:t xml:space="preserve">of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women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group </w:t>
      </w:r>
      <w:r w:rsidRPr="00A254F7">
        <w:rPr>
          <w:rFonts w:ascii="Calibri" w:hAnsi="Calibri" w:cs="Tahoma"/>
          <w:sz w:val="18"/>
          <w:szCs w:val="18"/>
        </w:rPr>
        <w:t xml:space="preserve">was </w:t>
      </w:r>
      <w:r w:rsidRPr="00A254F7">
        <w:rPr>
          <w:rFonts w:asciiTheme="minorHAnsi" w:hAnsiTheme="minorHAnsi" w:cs="Tahoma"/>
          <w:sz w:val="18"/>
          <w:szCs w:val="18"/>
        </w:rPr>
        <w:t xml:space="preserve">70.8 </w:t>
      </w:r>
      <w:proofErr w:type="spellStart"/>
      <w:r w:rsidRPr="00A254F7">
        <w:rPr>
          <w:rFonts w:ascii="Calibri" w:hAnsi="Calibri" w:cs="Tahoma"/>
          <w:sz w:val="18"/>
          <w:szCs w:val="18"/>
        </w:rPr>
        <w:t>years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(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range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from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33 to 95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years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),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mean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age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of men group was 66.2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years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(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range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from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25 to 94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years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).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Diabetes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mellitus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(28.6v.22.6%; p=0,008),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paroxysmal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atrial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fibrillation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(14.8% v.10.6%; p=0,0055),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hypothyreosis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(5% v. 1.2%; p&lt;0,0001),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chronic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kidney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disease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stage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3 (68.9v.48.8%; p&lt;0,0001),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preserved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systolic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left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ventricular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function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>(67.5% v.53.5%;</w:t>
      </w:r>
      <w:r w:rsidRPr="00A254F7">
        <w:rPr>
          <w:rFonts w:asciiTheme="minorHAnsi" w:hAnsiTheme="minorHAnsi" w:cs="Tahoma"/>
          <w:sz w:val="18"/>
          <w:szCs w:val="18"/>
        </w:rPr>
        <w:t xml:space="preserve"> p=0,003)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were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more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frequent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in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women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group.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Complications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of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hypertension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,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such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as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left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ventricular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hypertrophy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r w:rsidRPr="00A254F7">
        <w:rPr>
          <w:rFonts w:asciiTheme="minorHAnsi" w:hAnsiTheme="minorHAnsi" w:cs="Tahoma"/>
          <w:sz w:val="18"/>
          <w:szCs w:val="18"/>
        </w:rPr>
        <w:t xml:space="preserve">(34.3 v.28.8%; p=0,03), </w:t>
      </w:r>
      <w:proofErr w:type="spellStart"/>
      <w:r w:rsidRPr="00A254F7">
        <w:rPr>
          <w:rFonts w:ascii="Calibri" w:hAnsi="Calibri" w:cs="Tahoma"/>
          <w:sz w:val="18"/>
          <w:szCs w:val="18"/>
        </w:rPr>
        <w:t>previous</w:t>
      </w:r>
      <w:proofErr w:type="spellEnd"/>
      <w:r w:rsidRPr="00A254F7">
        <w:rPr>
          <w:rFonts w:ascii="Calibri" w:hAnsi="Calibr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myocardial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infarction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(11.2% v. 7%; p=0,0007),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severe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left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ventricular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disfunction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(18.2% v.10.3%; p&lt;0,0001), </w:t>
      </w:r>
      <w:proofErr w:type="spellStart"/>
      <w:r w:rsidRPr="00A254F7">
        <w:rPr>
          <w:rFonts w:asciiTheme="minorHAnsi" w:eastAsia="FranklinGothic-Book" w:hAnsiTheme="minorHAnsi" w:cs="Tahoma"/>
          <w:sz w:val="18"/>
          <w:szCs w:val="18"/>
          <w:lang w:eastAsia="en-US"/>
        </w:rPr>
        <w:t>hyperuricaemia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(54.3 v.44.3%; p=0,0022)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were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observed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in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men group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more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often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.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Hospitalized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hypertensive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men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have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been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stayed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longer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in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chronic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kidney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disease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stages</w:t>
      </w:r>
      <w:proofErr w:type="spellEnd"/>
      <w:r w:rsidRPr="00A254F7">
        <w:rPr>
          <w:rFonts w:asciiTheme="minorHAnsi" w:hAnsiTheme="minorHAnsi" w:cs="Tahoma"/>
          <w:sz w:val="18"/>
          <w:szCs w:val="18"/>
        </w:rPr>
        <w:t xml:space="preserve"> 1 and 2 (4.8% v.0.4%; p=0,047 and 42.6% v.22.6%; p=0,072). </w:t>
      </w:r>
    </w:p>
    <w:p w:rsidR="009C094F" w:rsidRPr="00A254F7" w:rsidRDefault="009C094F" w:rsidP="009C094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A254F7">
        <w:rPr>
          <w:rFonts w:ascii="Calibri" w:hAnsi="Calibri" w:cs="Tahoma"/>
          <w:b/>
          <w:bCs/>
          <w:sz w:val="18"/>
          <w:szCs w:val="18"/>
        </w:rPr>
        <w:t>Conclusions</w:t>
      </w:r>
      <w:proofErr w:type="spellEnd"/>
      <w:r w:rsidRPr="00A254F7">
        <w:rPr>
          <w:rFonts w:ascii="Calibri" w:hAnsi="Calibri" w:cs="Tahoma"/>
          <w:b/>
          <w:bCs/>
          <w:sz w:val="18"/>
          <w:szCs w:val="18"/>
        </w:rPr>
        <w:t xml:space="preserve">: </w:t>
      </w:r>
      <w:proofErr w:type="spellStart"/>
      <w:r w:rsidRPr="00A254F7">
        <w:rPr>
          <w:rFonts w:asciiTheme="minorHAnsi" w:hAnsiTheme="minorHAnsi" w:cs="Tahoma"/>
          <w:bCs/>
          <w:sz w:val="18"/>
          <w:szCs w:val="18"/>
        </w:rPr>
        <w:t>Women</w:t>
      </w:r>
      <w:proofErr w:type="spellEnd"/>
      <w:r w:rsidRPr="00A254F7">
        <w:rPr>
          <w:rFonts w:asciiTheme="minorHAnsi" w:hAnsiTheme="minorHAnsi" w:cs="Tahoma"/>
          <w:bCs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bCs/>
          <w:sz w:val="18"/>
          <w:szCs w:val="18"/>
        </w:rPr>
        <w:t>are</w:t>
      </w:r>
      <w:proofErr w:type="spellEnd"/>
      <w:r w:rsidRPr="00A254F7">
        <w:rPr>
          <w:rFonts w:asciiTheme="minorHAnsi" w:hAnsiTheme="minorHAnsi" w:cs="Tahoma"/>
          <w:bCs/>
          <w:sz w:val="18"/>
          <w:szCs w:val="18"/>
        </w:rPr>
        <w:t xml:space="preserve"> under influence of </w:t>
      </w:r>
      <w:proofErr w:type="spellStart"/>
      <w:r w:rsidRPr="00A254F7">
        <w:rPr>
          <w:rFonts w:asciiTheme="minorHAnsi" w:hAnsiTheme="minorHAnsi" w:cs="Tahoma"/>
          <w:sz w:val="18"/>
          <w:szCs w:val="18"/>
        </w:rPr>
        <w:t>female</w:t>
      </w:r>
      <w:proofErr w:type="spellEnd"/>
      <w:r w:rsidRPr="00A254F7">
        <w:rPr>
          <w:rFonts w:asciiTheme="minorHAnsi" w:hAnsiTheme="minorHAnsi"/>
          <w:sz w:val="18"/>
          <w:szCs w:val="18"/>
        </w:rPr>
        <w:t xml:space="preserve"> </w:t>
      </w:r>
      <w:r w:rsidRPr="00A254F7">
        <w:rPr>
          <w:rFonts w:asciiTheme="minorHAnsi" w:hAnsiTheme="minorHAnsi" w:cs="Tahoma"/>
          <w:bCs/>
          <w:sz w:val="18"/>
          <w:szCs w:val="18"/>
        </w:rPr>
        <w:t xml:space="preserve">sex </w:t>
      </w:r>
      <w:proofErr w:type="spellStart"/>
      <w:r w:rsidRPr="00A254F7">
        <w:rPr>
          <w:rFonts w:asciiTheme="minorHAnsi" w:hAnsiTheme="minorHAnsi" w:cs="Tahoma"/>
          <w:bCs/>
          <w:sz w:val="18"/>
          <w:szCs w:val="18"/>
        </w:rPr>
        <w:t>hormones</w:t>
      </w:r>
      <w:proofErr w:type="spellEnd"/>
      <w:r w:rsidRPr="00A254F7">
        <w:rPr>
          <w:rFonts w:asciiTheme="minorHAnsi" w:hAnsiTheme="minorHAnsi" w:cs="Tahoma"/>
          <w:bCs/>
          <w:sz w:val="18"/>
          <w:szCs w:val="18"/>
        </w:rPr>
        <w:t xml:space="preserve">, </w:t>
      </w:r>
      <w:proofErr w:type="spellStart"/>
      <w:r w:rsidRPr="00A254F7">
        <w:rPr>
          <w:rFonts w:asciiTheme="minorHAnsi" w:hAnsiTheme="minorHAnsi" w:cs="Tahoma"/>
          <w:bCs/>
          <w:sz w:val="18"/>
          <w:szCs w:val="18"/>
        </w:rPr>
        <w:t>which</w:t>
      </w:r>
      <w:proofErr w:type="spellEnd"/>
      <w:r w:rsidRPr="00A254F7">
        <w:rPr>
          <w:rFonts w:asciiTheme="minorHAnsi" w:hAnsiTheme="minorHAnsi" w:cs="Tahoma"/>
          <w:bCs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bCs/>
          <w:sz w:val="18"/>
          <w:szCs w:val="18"/>
        </w:rPr>
        <w:t>are</w:t>
      </w:r>
      <w:proofErr w:type="spellEnd"/>
      <w:r w:rsidRPr="00A254F7">
        <w:rPr>
          <w:rFonts w:asciiTheme="minorHAnsi" w:hAnsiTheme="minorHAnsi" w:cs="Tahoma"/>
          <w:bCs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bCs/>
          <w:sz w:val="18"/>
          <w:szCs w:val="18"/>
        </w:rPr>
        <w:t>protective</w:t>
      </w:r>
      <w:proofErr w:type="spellEnd"/>
      <w:r w:rsidRPr="00A254F7">
        <w:rPr>
          <w:rFonts w:asciiTheme="minorHAnsi" w:hAnsiTheme="minorHAnsi" w:cs="Tahoma"/>
          <w:bCs/>
          <w:sz w:val="18"/>
          <w:szCs w:val="18"/>
        </w:rPr>
        <w:t xml:space="preserve"> for </w:t>
      </w:r>
      <w:proofErr w:type="spellStart"/>
      <w:r w:rsidRPr="00A254F7">
        <w:rPr>
          <w:rFonts w:asciiTheme="minorHAnsi" w:hAnsiTheme="minorHAnsi" w:cs="Tahoma"/>
          <w:bCs/>
          <w:sz w:val="18"/>
          <w:szCs w:val="18"/>
        </w:rPr>
        <w:t>cardiovascular</w:t>
      </w:r>
      <w:proofErr w:type="spellEnd"/>
      <w:r w:rsidRPr="00A254F7">
        <w:rPr>
          <w:rFonts w:asciiTheme="minorHAnsi" w:hAnsiTheme="minorHAnsi" w:cs="Tahoma"/>
          <w:bCs/>
          <w:sz w:val="18"/>
          <w:szCs w:val="18"/>
        </w:rPr>
        <w:t xml:space="preserve"> system. </w:t>
      </w:r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In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conjunction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with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age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and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the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loss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of sex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glands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function</w:t>
      </w:r>
      <w:proofErr w:type="spellEnd"/>
      <w:r w:rsidRPr="00A254F7">
        <w:rPr>
          <w:rFonts w:asciiTheme="minorHAnsi" w:hAnsiTheme="minorHAnsi" w:cs="Tahoma"/>
          <w:bCs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frequency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of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hypertension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has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been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intensified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in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women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population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.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Differences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between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hospitalized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women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and men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were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proved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in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presented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 </w:t>
      </w:r>
      <w:proofErr w:type="spellStart"/>
      <w:r w:rsidRPr="00A254F7">
        <w:rPr>
          <w:rFonts w:asciiTheme="minorHAnsi" w:hAnsiTheme="minorHAnsi" w:cs="Tahoma"/>
          <w:spacing w:val="2"/>
          <w:sz w:val="18"/>
          <w:szCs w:val="18"/>
        </w:rPr>
        <w:t>study</w:t>
      </w:r>
      <w:proofErr w:type="spellEnd"/>
      <w:r w:rsidRPr="00A254F7">
        <w:rPr>
          <w:rFonts w:asciiTheme="minorHAnsi" w:hAnsiTheme="minorHAnsi" w:cs="Tahoma"/>
          <w:spacing w:val="2"/>
          <w:sz w:val="18"/>
          <w:szCs w:val="18"/>
        </w:rPr>
        <w:t xml:space="preserve">. </w:t>
      </w:r>
    </w:p>
    <w:p w:rsidR="0053514C" w:rsidRDefault="0053514C"/>
    <w:sectPr w:rsidR="0053514C" w:rsidSect="0053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094F"/>
    <w:rsid w:val="00014481"/>
    <w:rsid w:val="00014CEE"/>
    <w:rsid w:val="00062521"/>
    <w:rsid w:val="000A08D9"/>
    <w:rsid w:val="000C1121"/>
    <w:rsid w:val="000C1972"/>
    <w:rsid w:val="000C3E6D"/>
    <w:rsid w:val="000E7393"/>
    <w:rsid w:val="00106B18"/>
    <w:rsid w:val="00115326"/>
    <w:rsid w:val="00117236"/>
    <w:rsid w:val="001302DC"/>
    <w:rsid w:val="001335AA"/>
    <w:rsid w:val="001335D9"/>
    <w:rsid w:val="0018664E"/>
    <w:rsid w:val="001A22E2"/>
    <w:rsid w:val="001A32D9"/>
    <w:rsid w:val="001E5F0A"/>
    <w:rsid w:val="00201DD3"/>
    <w:rsid w:val="00210790"/>
    <w:rsid w:val="0021299D"/>
    <w:rsid w:val="00215E05"/>
    <w:rsid w:val="00233C3B"/>
    <w:rsid w:val="0026249E"/>
    <w:rsid w:val="00291732"/>
    <w:rsid w:val="00295B03"/>
    <w:rsid w:val="00296097"/>
    <w:rsid w:val="0029773D"/>
    <w:rsid w:val="002D2D7E"/>
    <w:rsid w:val="00300574"/>
    <w:rsid w:val="00302AEF"/>
    <w:rsid w:val="00306230"/>
    <w:rsid w:val="00323125"/>
    <w:rsid w:val="00341A69"/>
    <w:rsid w:val="00345F18"/>
    <w:rsid w:val="00362319"/>
    <w:rsid w:val="00363442"/>
    <w:rsid w:val="00371025"/>
    <w:rsid w:val="0037482F"/>
    <w:rsid w:val="003A2C90"/>
    <w:rsid w:val="003B020C"/>
    <w:rsid w:val="003C73B5"/>
    <w:rsid w:val="003F18C3"/>
    <w:rsid w:val="004020A9"/>
    <w:rsid w:val="00432808"/>
    <w:rsid w:val="00443B8B"/>
    <w:rsid w:val="0045352D"/>
    <w:rsid w:val="004774A4"/>
    <w:rsid w:val="00495568"/>
    <w:rsid w:val="004A122B"/>
    <w:rsid w:val="004B5AC0"/>
    <w:rsid w:val="004C3377"/>
    <w:rsid w:val="004C51DE"/>
    <w:rsid w:val="004C7DD0"/>
    <w:rsid w:val="004D0184"/>
    <w:rsid w:val="004E1B24"/>
    <w:rsid w:val="004F5841"/>
    <w:rsid w:val="005016A1"/>
    <w:rsid w:val="00502E2C"/>
    <w:rsid w:val="00516970"/>
    <w:rsid w:val="00534260"/>
    <w:rsid w:val="0053514C"/>
    <w:rsid w:val="00573FD6"/>
    <w:rsid w:val="005A1CC5"/>
    <w:rsid w:val="005B3090"/>
    <w:rsid w:val="005C5D00"/>
    <w:rsid w:val="005D1B45"/>
    <w:rsid w:val="005D62CD"/>
    <w:rsid w:val="005F0844"/>
    <w:rsid w:val="00606945"/>
    <w:rsid w:val="00622EC9"/>
    <w:rsid w:val="006235D4"/>
    <w:rsid w:val="006263B1"/>
    <w:rsid w:val="00631417"/>
    <w:rsid w:val="006350BE"/>
    <w:rsid w:val="0063779C"/>
    <w:rsid w:val="006450E9"/>
    <w:rsid w:val="00645FC5"/>
    <w:rsid w:val="00657298"/>
    <w:rsid w:val="00664529"/>
    <w:rsid w:val="006917AF"/>
    <w:rsid w:val="006919AF"/>
    <w:rsid w:val="00692858"/>
    <w:rsid w:val="00694734"/>
    <w:rsid w:val="006A7655"/>
    <w:rsid w:val="006B7F3A"/>
    <w:rsid w:val="006D42B1"/>
    <w:rsid w:val="006E3042"/>
    <w:rsid w:val="00702159"/>
    <w:rsid w:val="00706E4D"/>
    <w:rsid w:val="007347D9"/>
    <w:rsid w:val="00754837"/>
    <w:rsid w:val="00763D88"/>
    <w:rsid w:val="0078065F"/>
    <w:rsid w:val="007976C1"/>
    <w:rsid w:val="007A4C5F"/>
    <w:rsid w:val="007A6D57"/>
    <w:rsid w:val="007A7F45"/>
    <w:rsid w:val="007C5109"/>
    <w:rsid w:val="007C7322"/>
    <w:rsid w:val="007E5336"/>
    <w:rsid w:val="007E6E3E"/>
    <w:rsid w:val="007F2194"/>
    <w:rsid w:val="00802DD3"/>
    <w:rsid w:val="00805B12"/>
    <w:rsid w:val="00811504"/>
    <w:rsid w:val="00814058"/>
    <w:rsid w:val="008228DC"/>
    <w:rsid w:val="00830C13"/>
    <w:rsid w:val="00850CD9"/>
    <w:rsid w:val="00852F1C"/>
    <w:rsid w:val="00861305"/>
    <w:rsid w:val="008650F9"/>
    <w:rsid w:val="00866C43"/>
    <w:rsid w:val="00873B4F"/>
    <w:rsid w:val="00884433"/>
    <w:rsid w:val="00894375"/>
    <w:rsid w:val="008C0218"/>
    <w:rsid w:val="008D74EC"/>
    <w:rsid w:val="008E264C"/>
    <w:rsid w:val="008E3D15"/>
    <w:rsid w:val="008E6A84"/>
    <w:rsid w:val="009061CC"/>
    <w:rsid w:val="00920F87"/>
    <w:rsid w:val="00927D22"/>
    <w:rsid w:val="00931E2F"/>
    <w:rsid w:val="00936193"/>
    <w:rsid w:val="0094290F"/>
    <w:rsid w:val="009512D5"/>
    <w:rsid w:val="009B568C"/>
    <w:rsid w:val="009C094F"/>
    <w:rsid w:val="009D2614"/>
    <w:rsid w:val="009D4BA2"/>
    <w:rsid w:val="009E605E"/>
    <w:rsid w:val="00A06E74"/>
    <w:rsid w:val="00A318D0"/>
    <w:rsid w:val="00A56BA2"/>
    <w:rsid w:val="00A6289E"/>
    <w:rsid w:val="00A6322F"/>
    <w:rsid w:val="00A72B68"/>
    <w:rsid w:val="00A7665A"/>
    <w:rsid w:val="00A9144D"/>
    <w:rsid w:val="00A97B5A"/>
    <w:rsid w:val="00AA6ACC"/>
    <w:rsid w:val="00AB2CDC"/>
    <w:rsid w:val="00AB553F"/>
    <w:rsid w:val="00AD42EF"/>
    <w:rsid w:val="00AF7F20"/>
    <w:rsid w:val="00B133BD"/>
    <w:rsid w:val="00B309B5"/>
    <w:rsid w:val="00B44D8B"/>
    <w:rsid w:val="00B44DDC"/>
    <w:rsid w:val="00B57587"/>
    <w:rsid w:val="00B60A71"/>
    <w:rsid w:val="00BA3A39"/>
    <w:rsid w:val="00BA6039"/>
    <w:rsid w:val="00BE71A4"/>
    <w:rsid w:val="00C16DB1"/>
    <w:rsid w:val="00C3612E"/>
    <w:rsid w:val="00C423B9"/>
    <w:rsid w:val="00C42C1B"/>
    <w:rsid w:val="00C42F85"/>
    <w:rsid w:val="00C44D29"/>
    <w:rsid w:val="00C754C4"/>
    <w:rsid w:val="00C806CF"/>
    <w:rsid w:val="00C83B48"/>
    <w:rsid w:val="00C8760D"/>
    <w:rsid w:val="00CA5BCF"/>
    <w:rsid w:val="00CD28FD"/>
    <w:rsid w:val="00CD6C84"/>
    <w:rsid w:val="00D00F9B"/>
    <w:rsid w:val="00D03201"/>
    <w:rsid w:val="00D1649C"/>
    <w:rsid w:val="00D207E7"/>
    <w:rsid w:val="00D27DFC"/>
    <w:rsid w:val="00D30097"/>
    <w:rsid w:val="00D44998"/>
    <w:rsid w:val="00D55EF0"/>
    <w:rsid w:val="00D57798"/>
    <w:rsid w:val="00D72D34"/>
    <w:rsid w:val="00D763D2"/>
    <w:rsid w:val="00DD6C31"/>
    <w:rsid w:val="00E00E51"/>
    <w:rsid w:val="00E10862"/>
    <w:rsid w:val="00E17543"/>
    <w:rsid w:val="00E26E0C"/>
    <w:rsid w:val="00E30B5E"/>
    <w:rsid w:val="00E34651"/>
    <w:rsid w:val="00E37D7D"/>
    <w:rsid w:val="00E540FC"/>
    <w:rsid w:val="00E621EB"/>
    <w:rsid w:val="00E63707"/>
    <w:rsid w:val="00E671A9"/>
    <w:rsid w:val="00E77949"/>
    <w:rsid w:val="00E903E8"/>
    <w:rsid w:val="00E906CF"/>
    <w:rsid w:val="00E94BD3"/>
    <w:rsid w:val="00EB1CAC"/>
    <w:rsid w:val="00EB3387"/>
    <w:rsid w:val="00EC3393"/>
    <w:rsid w:val="00ED74F0"/>
    <w:rsid w:val="00EE1C03"/>
    <w:rsid w:val="00EF6803"/>
    <w:rsid w:val="00F34872"/>
    <w:rsid w:val="00F44335"/>
    <w:rsid w:val="00F64720"/>
    <w:rsid w:val="00F81D1F"/>
    <w:rsid w:val="00F83787"/>
    <w:rsid w:val="00FC313C"/>
    <w:rsid w:val="00FC3990"/>
    <w:rsid w:val="00FC5406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Pasiarska</dc:creator>
  <cp:lastModifiedBy>Barbara Pasiarska</cp:lastModifiedBy>
  <cp:revision>1</cp:revision>
  <dcterms:created xsi:type="dcterms:W3CDTF">2014-05-06T00:18:00Z</dcterms:created>
  <dcterms:modified xsi:type="dcterms:W3CDTF">2014-05-06T00:19:00Z</dcterms:modified>
</cp:coreProperties>
</file>