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E5" w:rsidRPr="00E95D3C" w:rsidRDefault="008E2BE5" w:rsidP="008E2BE5">
      <w:pPr>
        <w:pStyle w:val="Caption"/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E95D3C">
        <w:rPr>
          <w:rFonts w:ascii="Times New Roman" w:hAnsi="Times New Roman"/>
          <w:color w:val="auto"/>
          <w:sz w:val="24"/>
          <w:szCs w:val="24"/>
        </w:rPr>
        <w:t>Table 1.</w:t>
      </w:r>
      <w:r w:rsidRPr="00E95D3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95D3C">
        <w:rPr>
          <w:rFonts w:ascii="Times New Roman" w:hAnsi="Times New Roman"/>
          <w:b w:val="0"/>
          <w:bCs w:val="0"/>
          <w:color w:val="auto"/>
          <w:sz w:val="24"/>
          <w:szCs w:val="24"/>
        </w:rPr>
        <w:t>Descriptive analysis of clinical and biochemical characteristics of patients and healthy controls.</w:t>
      </w:r>
    </w:p>
    <w:tbl>
      <w:tblPr>
        <w:tblW w:w="8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00"/>
        <w:gridCol w:w="1248"/>
        <w:gridCol w:w="1738"/>
        <w:gridCol w:w="1537"/>
        <w:gridCol w:w="1738"/>
        <w:gridCol w:w="1497"/>
      </w:tblGrid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248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Age (years)</w:t>
            </w:r>
          </w:p>
        </w:tc>
        <w:tc>
          <w:tcPr>
            <w:tcW w:w="1738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FT4 (pmol/L)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FT3 (pmol/L)</w:t>
            </w:r>
          </w:p>
        </w:tc>
        <w:tc>
          <w:tcPr>
            <w:tcW w:w="1738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TSH (mIU/L)</w:t>
            </w:r>
          </w:p>
        </w:tc>
        <w:tc>
          <w:tcPr>
            <w:tcW w:w="1497" w:type="dxa"/>
            <w:tcBorders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3C">
              <w:rPr>
                <w:rFonts w:ascii="Times New Roman" w:hAnsi="Times New Roman"/>
                <w:b/>
                <w:sz w:val="24"/>
                <w:szCs w:val="24"/>
              </w:rPr>
              <w:t>TPOAb (kIU/L)</w:t>
            </w:r>
          </w:p>
        </w:tc>
      </w:tr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euHT</w:t>
            </w: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57 (42-62)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11.6 (11.3-13.4)**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2.6 (2.4-3.1)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1.9 (0.96-3.1)**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155 (21-1112)</w:t>
            </w:r>
          </w:p>
        </w:tc>
      </w:tr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substHT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50 (29-62)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16 (13.3-16.5)**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2.7 (2.3-3)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2.57 (0.57-3.13)**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368 (112-1253)</w:t>
            </w:r>
          </w:p>
        </w:tc>
      </w:tr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hypoHT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46 (40-55)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10 (8.4-11.2)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2.5 (2.3-3)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8.1 (5.9-14.8)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321 (128-1520)</w:t>
            </w:r>
          </w:p>
        </w:tc>
      </w:tr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color w:val="auto"/>
                <w:sz w:val="20"/>
                <w:szCs w:val="20"/>
              </w:rPr>
              <w:t>Controls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41 (29-61)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12.1 (10.8-12.7)**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3 (2.7-3.1)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1.6 (1.03-2.52)**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neg.</w:t>
            </w:r>
          </w:p>
        </w:tc>
      </w:tr>
      <w:tr w:rsidR="008E2BE5" w:rsidRPr="00E95D3C" w:rsidTr="00BB4231">
        <w:trPr>
          <w:trHeight w:val="150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P*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0.532</w:t>
            </w: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7.3x10</w:t>
            </w:r>
            <w:r w:rsidRPr="00E95D3C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0.136</w:t>
            </w: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10</w:t>
            </w:r>
            <w:r w:rsidRPr="00E95D3C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vAlign w:val="center"/>
          </w:tcPr>
          <w:p w:rsidR="008E2BE5" w:rsidRPr="00E95D3C" w:rsidRDefault="008E2BE5" w:rsidP="00BB42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D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E2BE5" w:rsidRDefault="008E2BE5" w:rsidP="008E2BE5">
      <w:pPr>
        <w:spacing w:before="24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95D3C">
        <w:rPr>
          <w:rFonts w:ascii="Times New Roman" w:hAnsi="Times New Roman"/>
          <w:color w:val="auto"/>
          <w:sz w:val="24"/>
          <w:szCs w:val="24"/>
        </w:rPr>
        <w:t>Data correspond to median with interquartile range (25th-75th percentile). The study included 13 healthy controls and 45 HT patients classified as hypothyroid (hypoHT, n=15), spontaneously euthyroid (euHT, n=18) and</w:t>
      </w:r>
      <w:r w:rsidRPr="00E95D3C">
        <w:rPr>
          <w:rFonts w:ascii="Times New Roman" w:hAnsi="Times New Roman"/>
          <w:color w:val="auto"/>
          <w:sz w:val="24"/>
          <w:szCs w:val="24"/>
          <w:shd w:val="clear" w:color="auto" w:fill="FFFFFF"/>
          <w:lang w:val="en-GB"/>
        </w:rPr>
        <w:t xml:space="preserve"> rendered </w:t>
      </w:r>
      <w:proofErr w:type="spellStart"/>
      <w:r w:rsidRPr="00E95D3C">
        <w:rPr>
          <w:rFonts w:ascii="Times New Roman" w:hAnsi="Times New Roman"/>
          <w:color w:val="auto"/>
          <w:sz w:val="24"/>
          <w:szCs w:val="24"/>
          <w:shd w:val="clear" w:color="auto" w:fill="FFFFFF"/>
          <w:lang w:val="en-GB"/>
        </w:rPr>
        <w:t>euthyroid</w:t>
      </w:r>
      <w:proofErr w:type="spellEnd"/>
      <w:r w:rsidRPr="00E95D3C">
        <w:rPr>
          <w:rFonts w:ascii="Times New Roman" w:hAnsi="Times New Roman"/>
          <w:color w:val="auto"/>
          <w:sz w:val="24"/>
          <w:szCs w:val="24"/>
          <w:shd w:val="clear" w:color="auto" w:fill="FFFFFF"/>
          <w:lang w:val="en-GB"/>
        </w:rPr>
        <w:t xml:space="preserve"> by </w:t>
      </w:r>
      <w:proofErr w:type="spellStart"/>
      <w:r w:rsidRPr="00E95D3C">
        <w:rPr>
          <w:rFonts w:ascii="Times New Roman" w:hAnsi="Times New Roman"/>
          <w:color w:val="auto"/>
          <w:sz w:val="24"/>
          <w:szCs w:val="24"/>
          <w:shd w:val="clear" w:color="auto" w:fill="FFFFFF"/>
          <w:lang w:val="en-GB"/>
        </w:rPr>
        <w:t>thyroxine</w:t>
      </w:r>
      <w:proofErr w:type="spellEnd"/>
      <w:r w:rsidRPr="00E95D3C">
        <w:rPr>
          <w:rFonts w:ascii="Times New Roman" w:hAnsi="Times New Roman"/>
          <w:color w:val="auto"/>
          <w:sz w:val="24"/>
          <w:szCs w:val="24"/>
          <w:shd w:val="clear" w:color="auto" w:fill="FFFFFF"/>
          <w:lang w:val="en-GB"/>
        </w:rPr>
        <w:t xml:space="preserve"> (L-T4) replacement therapy</w:t>
      </w:r>
      <w:r w:rsidRPr="00E95D3C">
        <w:rPr>
          <w:rFonts w:ascii="Times New Roman" w:hAnsi="Times New Roman"/>
          <w:color w:val="auto"/>
          <w:sz w:val="24"/>
          <w:szCs w:val="24"/>
        </w:rPr>
        <w:t xml:space="preserve"> (substHT, n=12).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FT</w:t>
      </w:r>
      <w:r w:rsidRPr="00E95D3C">
        <w:rPr>
          <w:rFonts w:ascii="Times New Roman" w:hAnsi="Times New Roman"/>
          <w:color w:val="auto"/>
          <w:sz w:val="24"/>
          <w:szCs w:val="24"/>
        </w:rPr>
        <w:t>4: free thyroxine, FT3: free tri-iodothyronine</w:t>
      </w:r>
      <w:r w:rsidRPr="00E95D3C">
        <w:rPr>
          <w:rStyle w:val="CommentReference"/>
          <w:rFonts w:ascii="Times New Roman" w:hAnsi="Times New Roman"/>
          <w:color w:val="auto"/>
          <w:sz w:val="24"/>
          <w:szCs w:val="24"/>
          <w:lang w:val="en-GB"/>
        </w:rPr>
        <w:t>,</w:t>
      </w:r>
      <w:r>
        <w:rPr>
          <w:rStyle w:val="CommentReference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E95D3C">
        <w:rPr>
          <w:rFonts w:ascii="Times New Roman" w:hAnsi="Times New Roman"/>
          <w:color w:val="auto"/>
          <w:sz w:val="24"/>
          <w:szCs w:val="24"/>
        </w:rPr>
        <w:t>TSH: thyroid stimulating hormone.</w:t>
      </w:r>
      <w:r w:rsidRPr="00E95D3C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E95D3C">
        <w:rPr>
          <w:rFonts w:ascii="Times New Roman" w:hAnsi="Times New Roman"/>
          <w:color w:val="auto"/>
          <w:sz w:val="24"/>
          <w:szCs w:val="24"/>
        </w:rPr>
        <w:t xml:space="preserve"> * Kruskall-Wallis test; ** P&lt;0.05, Dunn’s post hoc test, vs hypoHT group</w:t>
      </w: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p w:rsidR="008E2BE5" w:rsidRDefault="008E2BE5" w:rsidP="008E2BE5">
      <w:pPr>
        <w:spacing w:after="12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en-GB"/>
        </w:rPr>
      </w:pPr>
    </w:p>
    <w:sectPr w:rsidR="008E2BE5" w:rsidSect="00DD7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2BE5"/>
    <w:rsid w:val="00423674"/>
    <w:rsid w:val="005D5308"/>
    <w:rsid w:val="008E2BE5"/>
    <w:rsid w:val="00AC38E8"/>
    <w:rsid w:val="00D766BC"/>
    <w:rsid w:val="00DD76C0"/>
    <w:rsid w:val="00E0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5"/>
    <w:pPr>
      <w:suppressAutoHyphens/>
    </w:pPr>
    <w:rPr>
      <w:rFonts w:ascii="Calibri" w:eastAsia="Calibri" w:hAnsi="Calibri" w:cs="Times New Roman"/>
      <w:color w:val="00000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BE5"/>
    <w:rPr>
      <w:rFonts w:cs="Times New Roman"/>
    </w:rPr>
  </w:style>
  <w:style w:type="character" w:customStyle="1" w:styleId="hps">
    <w:name w:val="hps"/>
    <w:basedOn w:val="DefaultParagraphFont"/>
    <w:rsid w:val="008E2BE5"/>
    <w:rPr>
      <w:rFonts w:cs="Times New Roman"/>
    </w:rPr>
  </w:style>
  <w:style w:type="character" w:customStyle="1" w:styleId="Internetskapoveznica">
    <w:name w:val="Internetska poveznica"/>
    <w:basedOn w:val="DefaultParagraphFont"/>
    <w:rsid w:val="008E2BE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8E2BE5"/>
    <w:rPr>
      <w:rFonts w:cs="Times New Roman"/>
      <w:sz w:val="16"/>
      <w:szCs w:val="16"/>
    </w:rPr>
  </w:style>
  <w:style w:type="paragraph" w:customStyle="1" w:styleId="Zavrnabiljeka">
    <w:name w:val="Završna bilješka"/>
    <w:basedOn w:val="Normal"/>
    <w:rsid w:val="008E2BE5"/>
  </w:style>
  <w:style w:type="paragraph" w:styleId="Caption">
    <w:name w:val="caption"/>
    <w:basedOn w:val="Normal"/>
    <w:next w:val="Normal"/>
    <w:qFormat/>
    <w:rsid w:val="008E2BE5"/>
    <w:pPr>
      <w:suppressAutoHyphens w:val="0"/>
      <w:spacing w:after="210" w:line="240" w:lineRule="auto"/>
      <w:jc w:val="both"/>
    </w:pPr>
    <w:rPr>
      <w:b/>
      <w:bCs/>
      <w:color w:val="4F81BD"/>
      <w:sz w:val="18"/>
      <w:szCs w:val="18"/>
      <w:lang w:val="en-GB"/>
    </w:rPr>
  </w:style>
  <w:style w:type="character" w:styleId="Hyperlink">
    <w:name w:val="Hyperlink"/>
    <w:basedOn w:val="DefaultParagraphFont"/>
    <w:rsid w:val="008E2B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Tokić</dc:creator>
  <cp:lastModifiedBy>Stana Tokić</cp:lastModifiedBy>
  <cp:revision>2</cp:revision>
  <dcterms:created xsi:type="dcterms:W3CDTF">2016-01-15T12:15:00Z</dcterms:created>
  <dcterms:modified xsi:type="dcterms:W3CDTF">2016-01-15T12:15:00Z</dcterms:modified>
</cp:coreProperties>
</file>