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F41B3" w14:textId="61C885C6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68648E">
        <w:rPr>
          <w:rFonts w:ascii="Times New Roman" w:hAnsi="Times New Roman"/>
          <w:b/>
          <w:sz w:val="24"/>
          <w:szCs w:val="24"/>
          <w:lang w:eastAsia="pl-PL"/>
        </w:rPr>
        <w:t>Wstęp:</w:t>
      </w:r>
    </w:p>
    <w:p w14:paraId="35981425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Amiodaron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(AMIO) jest jednym z najpowszechniej stosowanych leków antyarytmicznych [1]. AMIO należy do III klasy leków antyarytmicznych, po raz pierwszy opisany około 40 lat temu, jako lek rozszerzający naczynia wieńcowe [1]. Jego właściwości antyarytmiczne zostały poznane w roku 1968, zaś FDA zatwierdziła lek do stosowania w nawracających, zagrażających życiu komorowych zaburzeniach rytmu serca w roku 1985 [2,3]. Aktualnie AMIO jest stosowany w wielu arytmiach, zarówno komorowych, jak i nadkomorowych, mimo, że zalecenia FDA nie zmieniły się od 1985 r.</w:t>
      </w:r>
    </w:p>
    <w:p w14:paraId="2649980D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05AF593" w14:textId="77777777" w:rsidR="00F878CA" w:rsidRPr="0068648E" w:rsidRDefault="00F878CA" w:rsidP="00F87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8648E">
        <w:rPr>
          <w:rFonts w:ascii="Times New Roman" w:hAnsi="Times New Roman"/>
          <w:b/>
          <w:sz w:val="24"/>
          <w:szCs w:val="24"/>
        </w:rPr>
        <w:t>Wpływ AMIO na funkcję tarczycy i metabolizm hormonów tarczycowych.</w:t>
      </w:r>
    </w:p>
    <w:p w14:paraId="6C8BF3D9" w14:textId="77777777" w:rsidR="00F878CA" w:rsidRPr="0068648E" w:rsidRDefault="00F878CA" w:rsidP="00F878C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68648E">
        <w:rPr>
          <w:rFonts w:ascii="Times New Roman" w:hAnsi="Times New Roman"/>
          <w:b/>
          <w:i/>
          <w:sz w:val="24"/>
          <w:szCs w:val="24"/>
        </w:rPr>
        <w:t>Nadmiar jodu.</w:t>
      </w:r>
    </w:p>
    <w:p w14:paraId="5016B7F4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648E">
        <w:rPr>
          <w:rFonts w:ascii="Times New Roman" w:hAnsi="Times New Roman"/>
          <w:sz w:val="24"/>
          <w:szCs w:val="24"/>
        </w:rPr>
        <w:t xml:space="preserve">AMIO jest pochodną benzofuranu, zawiera ok 37% jodu, zaś strukturalnie wykazuje duże podobieństwo do hormonów tarczycowych [4,5]. Pacjent, który otrzymuje dziennie standardową dawkę leku (200 mg) dostaje 75 mg jodu organicznego na dobę, co znacznie przewyższa zalecaną dobową podaż jodu (150-200 </w:t>
      </w:r>
      <w:proofErr w:type="spellStart"/>
      <w:r w:rsidRPr="0068648E">
        <w:rPr>
          <w:rFonts w:ascii="Times New Roman" w:hAnsi="Times New Roman"/>
          <w:sz w:val="24"/>
          <w:szCs w:val="24"/>
        </w:rPr>
        <w:t>ug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). Metabolizm leku powoduje, że każdego dnia uwalnia się około 6 mg wolnego jodu [6,7]. Nie jest jasne, czy AMIO samodzielnie, czy poprzez główny metabolit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desethylamiodaron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(DEA) wpływa na zmianę funkcji tarczycy. DEA powstaje w wyniku metabolizmu AMIO poprzez cytochrom P4503A (CYP3A), obydwie cząsteczki wykazują długi okres półtrwania, pomiędzy 40–58 dni i 36–61 dni, odpowiednio [8-10]. Lek kumuluje się w wielu tkankach i narządach organizmu, takich jak: tkanka tłuszczowa, wątroba, płuca, rzadziej w nerkach, sercu, mięśniach szkieletowych, tarczycy i mózgu [11]. Zdrowa tarczyca odpowiada na nadmiar jodu zahamowaniem syntezy hormonów tarczycowych (efekt Wolff-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Chaikoff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>). Następnie w prawidłowej tarczycy występuje efekt ucieczki od efektu Wolffa-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Chaikoffa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(</w:t>
      </w:r>
      <w:proofErr w:type="spellStart"/>
      <w:r w:rsidRPr="0068648E">
        <w:rPr>
          <w:rFonts w:ascii="Times New Roman" w:hAnsi="Times New Roman"/>
          <w:i/>
          <w:sz w:val="24"/>
          <w:szCs w:val="24"/>
          <w:lang w:eastAsia="pl-PL"/>
        </w:rPr>
        <w:t>escape</w:t>
      </w:r>
      <w:proofErr w:type="spellEnd"/>
      <w:r w:rsidRPr="0068648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i/>
          <w:sz w:val="24"/>
          <w:szCs w:val="24"/>
          <w:lang w:eastAsia="pl-PL"/>
        </w:rPr>
        <w:t>phenomena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). </w:t>
      </w:r>
    </w:p>
    <w:p w14:paraId="129BE9AE" w14:textId="77777777" w:rsidR="00F878CA" w:rsidRPr="0068648E" w:rsidRDefault="00F878CA" w:rsidP="00F878C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68648E">
        <w:rPr>
          <w:rFonts w:ascii="Times New Roman" w:hAnsi="Times New Roman"/>
          <w:b/>
          <w:i/>
          <w:sz w:val="24"/>
          <w:szCs w:val="24"/>
          <w:lang w:eastAsia="pl-PL"/>
        </w:rPr>
        <w:t>Zahamowanie konwersji T4 do T3.</w:t>
      </w:r>
    </w:p>
    <w:p w14:paraId="02606A1E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648E">
        <w:rPr>
          <w:rFonts w:ascii="Times New Roman" w:hAnsi="Times New Roman"/>
          <w:sz w:val="24"/>
          <w:szCs w:val="24"/>
          <w:lang w:eastAsia="pl-PL"/>
        </w:rPr>
        <w:t xml:space="preserve">Powszechnie wiadomo, że przynajmniej częściowo efekt AMIO na tarczycę wynika z działania odpowiednich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dejodynaz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[12,13]. </w:t>
      </w:r>
      <w:r w:rsidRPr="0068648E">
        <w:rPr>
          <w:rFonts w:ascii="Times New Roman" w:hAnsi="Times New Roman"/>
          <w:sz w:val="24"/>
          <w:szCs w:val="24"/>
        </w:rPr>
        <w:t xml:space="preserve">AMIO hamuje </w:t>
      </w:r>
      <w:proofErr w:type="spellStart"/>
      <w:r w:rsidRPr="0068648E">
        <w:rPr>
          <w:rFonts w:ascii="Times New Roman" w:hAnsi="Times New Roman"/>
          <w:sz w:val="24"/>
          <w:szCs w:val="24"/>
        </w:rPr>
        <w:t>dejodynację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tyroksyny (T4) poprzez hamowanie aktywności 5-dejodynazy (D1 i D2). Prowadzi to do zmniejszenia powstawania </w:t>
      </w:r>
      <w:proofErr w:type="spellStart"/>
      <w:r w:rsidRPr="0068648E">
        <w:rPr>
          <w:rFonts w:ascii="Times New Roman" w:hAnsi="Times New Roman"/>
          <w:sz w:val="24"/>
          <w:szCs w:val="24"/>
        </w:rPr>
        <w:t>trójjodotyroniny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(T3) z T4, zmniejszenia usuwania odwrotnej T3 (rT3), a w konsekwencji kumulację rT3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[14]. </w:t>
      </w:r>
    </w:p>
    <w:p w14:paraId="47D3B353" w14:textId="77777777" w:rsidR="00F878CA" w:rsidRPr="0068648E" w:rsidRDefault="00F878CA" w:rsidP="00F878C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68648E">
        <w:rPr>
          <w:rFonts w:ascii="Times New Roman" w:hAnsi="Times New Roman"/>
          <w:b/>
          <w:i/>
          <w:sz w:val="24"/>
          <w:szCs w:val="24"/>
          <w:lang w:eastAsia="pl-PL"/>
        </w:rPr>
        <w:t>Podobieństwo do T3.</w:t>
      </w:r>
    </w:p>
    <w:p w14:paraId="1F935A5D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648E">
        <w:rPr>
          <w:rFonts w:ascii="Times New Roman" w:hAnsi="Times New Roman"/>
          <w:sz w:val="24"/>
          <w:szCs w:val="24"/>
          <w:lang w:eastAsia="pl-PL"/>
        </w:rPr>
        <w:t xml:space="preserve">Budowa chemiczna AMIO i DEA jest podobna do struktury T3 i niektóre efekty leku mogą być wynikiem zahamowania transport hormonów tarczycowych przez błonę </w:t>
      </w:r>
      <w:r w:rsidRPr="0068648E">
        <w:rPr>
          <w:rFonts w:ascii="Times New Roman" w:hAnsi="Times New Roman"/>
          <w:sz w:val="24"/>
          <w:szCs w:val="24"/>
          <w:lang w:eastAsia="pl-PL"/>
        </w:rPr>
        <w:lastRenderedPageBreak/>
        <w:t xml:space="preserve">komórkową [15], i/lub bezpośredniego łączenia się z receptorem dla hormonów tarczycowych [16,17], prawdopodobnie również z zależnej od receptora tarczycowego (TR) transkrypcji genów [18]. Dodatkowo, DEA jest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niekompetycyjnym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inhibitorem wiązania receptora (TR) β z hormonem tarczycowym (T3) [19]. Opisane powyżej zjawiska są przyczyną występowania efektów podobnych do niedoczynności tarczycy u pacjentów leczonych AMIO i pozostających w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eutyreozie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, włączając w to przejściowy wzrost TSH w surowicy [20]. Leczenie AMIO zmniejsza ekspresję genów wrażliwych na hormony tarczycowe, powodując </w:t>
      </w:r>
      <w:r w:rsidRPr="0068648E">
        <w:rPr>
          <w:rFonts w:ascii="Times New Roman" w:hAnsi="Times New Roman"/>
          <w:i/>
          <w:sz w:val="24"/>
          <w:szCs w:val="24"/>
          <w:lang w:eastAsia="pl-PL"/>
        </w:rPr>
        <w:t>down-</w:t>
      </w:r>
      <w:proofErr w:type="spellStart"/>
      <w:r w:rsidRPr="0068648E">
        <w:rPr>
          <w:rFonts w:ascii="Times New Roman" w:hAnsi="Times New Roman"/>
          <w:i/>
          <w:sz w:val="24"/>
          <w:szCs w:val="24"/>
          <w:lang w:eastAsia="pl-PL"/>
        </w:rPr>
        <w:t>regulation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genów mięśnia serca, takich jak SERCA2A (</w:t>
      </w:r>
      <w:proofErr w:type="spellStart"/>
      <w:r w:rsidRPr="0068648E">
        <w:rPr>
          <w:rFonts w:ascii="Times New Roman" w:hAnsi="Times New Roman"/>
          <w:i/>
          <w:sz w:val="24"/>
          <w:szCs w:val="24"/>
          <w:lang w:eastAsia="pl-PL"/>
        </w:rPr>
        <w:t>sarco</w:t>
      </w:r>
      <w:proofErr w:type="spellEnd"/>
      <w:r w:rsidRPr="0068648E">
        <w:rPr>
          <w:rFonts w:ascii="Times New Roman" w:hAnsi="Times New Roman"/>
          <w:i/>
          <w:sz w:val="24"/>
          <w:szCs w:val="24"/>
          <w:lang w:eastAsia="pl-PL"/>
        </w:rPr>
        <w:t>/</w:t>
      </w:r>
      <w:proofErr w:type="spellStart"/>
      <w:r w:rsidRPr="0068648E">
        <w:rPr>
          <w:rFonts w:ascii="Times New Roman" w:hAnsi="Times New Roman"/>
          <w:i/>
          <w:sz w:val="24"/>
          <w:szCs w:val="24"/>
          <w:lang w:eastAsia="pl-PL"/>
        </w:rPr>
        <w:t>endoplasmic</w:t>
      </w:r>
      <w:proofErr w:type="spellEnd"/>
      <w:r w:rsidRPr="0068648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i/>
          <w:sz w:val="24"/>
          <w:szCs w:val="24"/>
          <w:lang w:eastAsia="pl-PL"/>
        </w:rPr>
        <w:t>reticulum</w:t>
      </w:r>
      <w:proofErr w:type="spellEnd"/>
      <w:r w:rsidRPr="0068648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i/>
          <w:sz w:val="24"/>
          <w:szCs w:val="24"/>
          <w:lang w:eastAsia="pl-PL"/>
        </w:rPr>
        <w:t>calcium</w:t>
      </w:r>
      <w:proofErr w:type="spellEnd"/>
      <w:r w:rsidRPr="0068648E">
        <w:rPr>
          <w:rFonts w:ascii="Times New Roman" w:hAnsi="Times New Roman"/>
          <w:i/>
          <w:sz w:val="24"/>
          <w:szCs w:val="24"/>
          <w:lang w:eastAsia="pl-PL"/>
        </w:rPr>
        <w:t xml:space="preserve"> ATPase-2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), gen łańcucha ciężkiego miozyny (αMHC) oraz zwiększa aktywność βMHC. Wszystkie te zjawiska są obserwowane w niedoczynności tarczycy [21,22]. Dodatkowo zmniejszenie aktywności wątrobowego receptora dla LDL prowadzi do zwiększenia stężenia cholesterolu w surowicy krwi [23]. </w:t>
      </w:r>
    </w:p>
    <w:p w14:paraId="72FE58C8" w14:textId="77777777" w:rsidR="00F878CA" w:rsidRPr="0068648E" w:rsidRDefault="00F878CA" w:rsidP="00F878CA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sz w:val="24"/>
          <w:szCs w:val="24"/>
          <w:lang w:eastAsia="pl-PL"/>
        </w:rPr>
        <w:t xml:space="preserve">Destrukcja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pl-PL"/>
        </w:rPr>
        <w:t>tyreocytów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pl-PL"/>
        </w:rPr>
        <w:t>.</w:t>
      </w:r>
    </w:p>
    <w:p w14:paraId="22A0D6EF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648E">
        <w:rPr>
          <w:rFonts w:ascii="Times New Roman" w:hAnsi="Times New Roman"/>
          <w:sz w:val="24"/>
          <w:szCs w:val="24"/>
        </w:rPr>
        <w:t xml:space="preserve">AMIO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i DEA mają również bezpośredni toksyczny efekt na komórki tarczycowe, chociaż nadmiar jodu </w:t>
      </w:r>
      <w:r w:rsidRPr="0068648E">
        <w:rPr>
          <w:rFonts w:ascii="Times New Roman" w:hAnsi="Times New Roman"/>
          <w:i/>
          <w:sz w:val="24"/>
          <w:szCs w:val="24"/>
          <w:lang w:eastAsia="pl-PL"/>
        </w:rPr>
        <w:t xml:space="preserve">per </w:t>
      </w:r>
      <w:proofErr w:type="spellStart"/>
      <w:r w:rsidRPr="0068648E">
        <w:rPr>
          <w:rFonts w:ascii="Times New Roman" w:hAnsi="Times New Roman"/>
          <w:i/>
          <w:sz w:val="24"/>
          <w:szCs w:val="24"/>
          <w:lang w:eastAsia="pl-PL"/>
        </w:rPr>
        <w:t>se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może być także odpowiedzialny za cytotoksyczność [24].</w:t>
      </w:r>
    </w:p>
    <w:p w14:paraId="0F62666B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CFFD74F" w14:textId="77777777" w:rsidR="00F878CA" w:rsidRPr="0068648E" w:rsidRDefault="00F878CA" w:rsidP="00F87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Zmiany stężeń hormonów tarczycowych podczas leczenia AMIO.</w:t>
      </w:r>
      <w:r w:rsidRPr="0068648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0DF3D3A2" w14:textId="77777777" w:rsidR="00F878CA" w:rsidRPr="005D21EF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648E">
        <w:rPr>
          <w:rFonts w:ascii="Times New Roman" w:hAnsi="Times New Roman"/>
          <w:sz w:val="24"/>
          <w:szCs w:val="24"/>
          <w:lang w:eastAsia="pl-PL"/>
        </w:rPr>
        <w:t xml:space="preserve">TSH </w:t>
      </w:r>
      <w:r>
        <w:rPr>
          <w:rFonts w:ascii="Times New Roman" w:hAnsi="Times New Roman"/>
          <w:sz w:val="24"/>
          <w:szCs w:val="24"/>
          <w:lang w:eastAsia="pl-PL"/>
        </w:rPr>
        <w:t>jest pierwszym hormonem, którego wartość zmienia się, jego wartości wzrastają w ciągu 48 godzin i osiągają średnio 2.7 razy wyższą wartość od normalnej około 10 dnia leczenia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 [25]. </w:t>
      </w:r>
      <w:r w:rsidRPr="00D064DD">
        <w:rPr>
          <w:rFonts w:ascii="Times New Roman" w:hAnsi="Times New Roman"/>
          <w:sz w:val="24"/>
          <w:szCs w:val="24"/>
          <w:lang w:eastAsia="pl-PL"/>
        </w:rPr>
        <w:t>Od początku terapii pojawia się efekt Wolffa-</w:t>
      </w:r>
      <w:proofErr w:type="spellStart"/>
      <w:r w:rsidRPr="00D064DD">
        <w:rPr>
          <w:rFonts w:ascii="Times New Roman" w:hAnsi="Times New Roman"/>
          <w:sz w:val="24"/>
          <w:szCs w:val="24"/>
          <w:lang w:eastAsia="pl-PL"/>
        </w:rPr>
        <w:t>Chaikoffa</w:t>
      </w:r>
      <w:proofErr w:type="spellEnd"/>
      <w:r w:rsidRPr="00D064DD">
        <w:rPr>
          <w:rFonts w:ascii="Times New Roman" w:hAnsi="Times New Roman"/>
          <w:sz w:val="24"/>
          <w:szCs w:val="24"/>
          <w:lang w:eastAsia="pl-PL"/>
        </w:rPr>
        <w:t>, co powoduje obniżenie stężenia T4 i T3, jednak później (około 2 tygodnie) zaczyna pojawiać się efekt ucieczki. Wtedy pojawia się wczesny wzrost stężenia T4</w:t>
      </w:r>
      <w:r>
        <w:rPr>
          <w:rFonts w:ascii="Times New Roman" w:hAnsi="Times New Roman"/>
          <w:sz w:val="24"/>
          <w:szCs w:val="24"/>
          <w:lang w:eastAsia="pl-PL"/>
        </w:rPr>
        <w:t>, r</w:t>
      </w:r>
      <w:r w:rsidRPr="00D064DD">
        <w:rPr>
          <w:rFonts w:ascii="Times New Roman" w:hAnsi="Times New Roman"/>
          <w:sz w:val="24"/>
          <w:szCs w:val="24"/>
          <w:lang w:eastAsia="pl-PL"/>
        </w:rPr>
        <w:t xml:space="preserve">T3 </w:t>
      </w:r>
      <w:r>
        <w:rPr>
          <w:rFonts w:ascii="Times New Roman" w:hAnsi="Times New Roman"/>
          <w:sz w:val="24"/>
          <w:szCs w:val="24"/>
          <w:lang w:eastAsia="pl-PL"/>
        </w:rPr>
        <w:t>i</w:t>
      </w:r>
      <w:r w:rsidRPr="00D064DD">
        <w:rPr>
          <w:rFonts w:ascii="Times New Roman" w:hAnsi="Times New Roman"/>
          <w:sz w:val="24"/>
          <w:szCs w:val="24"/>
          <w:lang w:eastAsia="pl-PL"/>
        </w:rPr>
        <w:t xml:space="preserve"> wolnej </w:t>
      </w:r>
      <w:r>
        <w:rPr>
          <w:rFonts w:ascii="Times New Roman" w:hAnsi="Times New Roman"/>
          <w:sz w:val="24"/>
          <w:szCs w:val="24"/>
          <w:lang w:eastAsia="pl-PL"/>
        </w:rPr>
        <w:t xml:space="preserve">frakcji </w:t>
      </w:r>
      <w:r w:rsidRPr="00D064DD">
        <w:rPr>
          <w:rFonts w:ascii="Times New Roman" w:hAnsi="Times New Roman"/>
          <w:sz w:val="24"/>
          <w:szCs w:val="24"/>
          <w:lang w:eastAsia="pl-PL"/>
        </w:rPr>
        <w:t>T4, który osiąga sz</w:t>
      </w:r>
      <w:r>
        <w:rPr>
          <w:rFonts w:ascii="Times New Roman" w:hAnsi="Times New Roman"/>
          <w:sz w:val="24"/>
          <w:szCs w:val="24"/>
          <w:lang w:eastAsia="pl-PL"/>
        </w:rPr>
        <w:t xml:space="preserve">czyt po 10 tygodniu leczenia </w:t>
      </w:r>
      <w:r w:rsidRPr="00D064DD">
        <w:rPr>
          <w:rFonts w:ascii="Times New Roman" w:hAnsi="Times New Roman"/>
          <w:sz w:val="24"/>
          <w:szCs w:val="24"/>
          <w:lang w:eastAsia="pl-PL"/>
        </w:rPr>
        <w:t xml:space="preserve">[11]. </w:t>
      </w:r>
      <w:r>
        <w:rPr>
          <w:rFonts w:ascii="Times New Roman" w:hAnsi="Times New Roman"/>
          <w:sz w:val="24"/>
          <w:szCs w:val="24"/>
          <w:lang w:eastAsia="pl-PL"/>
        </w:rPr>
        <w:t xml:space="preserve">Przeciwnie, w tym samym czasie wartości T3 obniżają się. W ciągu 3 miesięcy leczenia ustala się stały poziom w surowicy krwi dla całkowitej i wolnej frakcji T4 oraz rT3, pozostają one w górnym przedziale normy lub nieznacznie podwyższone. </w:t>
      </w:r>
      <w:r w:rsidRPr="005D21EF">
        <w:rPr>
          <w:rFonts w:ascii="Times New Roman" w:hAnsi="Times New Roman"/>
          <w:sz w:val="24"/>
          <w:szCs w:val="24"/>
          <w:lang w:eastAsia="pl-PL"/>
        </w:rPr>
        <w:t xml:space="preserve">Wartości T3 </w:t>
      </w:r>
      <w:r>
        <w:rPr>
          <w:rFonts w:ascii="Times New Roman" w:hAnsi="Times New Roman"/>
          <w:sz w:val="24"/>
          <w:szCs w:val="24"/>
          <w:lang w:eastAsia="pl-PL"/>
        </w:rPr>
        <w:t xml:space="preserve">mają tendencję do </w:t>
      </w:r>
      <w:r w:rsidRPr="005D21EF">
        <w:rPr>
          <w:rFonts w:ascii="Times New Roman" w:hAnsi="Times New Roman"/>
          <w:sz w:val="24"/>
          <w:szCs w:val="24"/>
          <w:lang w:eastAsia="pl-PL"/>
        </w:rPr>
        <w:t xml:space="preserve">utrzymywania się w dolnych granicach normy po 3 miesiącach leczenia, zaś TSH w górnym przedziale normy. </w:t>
      </w:r>
      <w:r>
        <w:rPr>
          <w:rFonts w:ascii="Times New Roman" w:hAnsi="Times New Roman"/>
          <w:sz w:val="24"/>
          <w:szCs w:val="24"/>
          <w:lang w:eastAsia="pl-PL"/>
        </w:rPr>
        <w:t xml:space="preserve">Podczas przewlekłej terapii </w:t>
      </w:r>
      <w:r w:rsidRPr="005D21EF">
        <w:rPr>
          <w:rFonts w:ascii="Times New Roman" w:hAnsi="Times New Roman"/>
          <w:sz w:val="24"/>
          <w:szCs w:val="24"/>
        </w:rPr>
        <w:t>AMIO</w:t>
      </w:r>
      <w:r w:rsidRPr="005D21EF">
        <w:rPr>
          <w:rFonts w:ascii="Times New Roman" w:hAnsi="Times New Roman"/>
          <w:sz w:val="24"/>
          <w:szCs w:val="24"/>
          <w:lang w:eastAsia="pl-PL"/>
        </w:rPr>
        <w:t xml:space="preserve"> może pojawić się obniżenie wartości TSH </w:t>
      </w:r>
      <w:r>
        <w:rPr>
          <w:rFonts w:ascii="Times New Roman" w:hAnsi="Times New Roman"/>
          <w:sz w:val="24"/>
          <w:szCs w:val="24"/>
          <w:lang w:eastAsia="pl-PL"/>
        </w:rPr>
        <w:t>[2] (Tabela</w:t>
      </w:r>
      <w:r w:rsidRPr="005D21EF">
        <w:rPr>
          <w:rFonts w:ascii="Times New Roman" w:hAnsi="Times New Roman"/>
          <w:sz w:val="24"/>
          <w:szCs w:val="24"/>
          <w:lang w:eastAsia="pl-PL"/>
        </w:rPr>
        <w:t xml:space="preserve"> 1). </w:t>
      </w:r>
    </w:p>
    <w:p w14:paraId="5E0AB0D6" w14:textId="77777777" w:rsidR="00F878CA" w:rsidRPr="005D21EF" w:rsidRDefault="00F878CA" w:rsidP="00F878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B2EEA6A" w14:textId="77777777" w:rsidR="00F878CA" w:rsidRPr="005D21EF" w:rsidRDefault="00F878CA" w:rsidP="00F878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1E3DB32" w14:textId="77777777" w:rsidR="00F878CA" w:rsidRPr="005D21EF" w:rsidRDefault="00F878CA" w:rsidP="00F878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0D5CDC38" w14:textId="77777777" w:rsidR="00F878CA" w:rsidRPr="005D21EF" w:rsidRDefault="00F878CA" w:rsidP="00F878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3E78F5A9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5D21EF">
        <w:rPr>
          <w:rFonts w:ascii="Times New Roman" w:hAnsi="Times New Roman"/>
          <w:sz w:val="24"/>
          <w:szCs w:val="24"/>
          <w:lang w:eastAsia="pl-PL"/>
        </w:rPr>
        <w:br w:type="page"/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>Tabela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 1. </w:t>
      </w:r>
      <w:r>
        <w:rPr>
          <w:rFonts w:ascii="Times New Roman" w:hAnsi="Times New Roman"/>
          <w:sz w:val="24"/>
          <w:szCs w:val="24"/>
          <w:lang w:eastAsia="pl-PL"/>
        </w:rPr>
        <w:t xml:space="preserve">Zmiany stężeń hormonów tarczycowych u pacjentów w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eutyreozie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podczas terapii </w:t>
      </w:r>
      <w:r>
        <w:rPr>
          <w:rFonts w:ascii="Times New Roman" w:hAnsi="Times New Roman"/>
          <w:sz w:val="24"/>
          <w:szCs w:val="24"/>
        </w:rPr>
        <w:t xml:space="preserve"> AMIO</w:t>
      </w:r>
      <w:r w:rsidRPr="0068648E">
        <w:rPr>
          <w:rFonts w:ascii="Times New Roman" w:hAnsi="Times New Roman"/>
          <w:sz w:val="24"/>
          <w:szCs w:val="24"/>
        </w:rPr>
        <w:t>.</w:t>
      </w:r>
    </w:p>
    <w:p w14:paraId="41751967" w14:textId="77777777" w:rsidR="00F878CA" w:rsidRPr="0068648E" w:rsidRDefault="00F878CA" w:rsidP="00F878C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878CA" w:rsidRPr="0068648E" w14:paraId="096F511B" w14:textId="77777777" w:rsidTr="00F445C7">
        <w:tc>
          <w:tcPr>
            <w:tcW w:w="3070" w:type="dxa"/>
          </w:tcPr>
          <w:p w14:paraId="445C696C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Stężenie hormonów w surowicy</w:t>
            </w:r>
          </w:p>
        </w:tc>
        <w:tc>
          <w:tcPr>
            <w:tcW w:w="3071" w:type="dxa"/>
          </w:tcPr>
          <w:p w14:paraId="28452861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Wczesne efekty (&lt; 3 miesięcy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071" w:type="dxa"/>
          </w:tcPr>
          <w:p w14:paraId="002AEA68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Późne efekty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 xml:space="preserve"> (&gt;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miesięcy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878CA" w:rsidRPr="00A80D20" w14:paraId="00C0E63C" w14:textId="77777777" w:rsidTr="00F445C7">
        <w:tc>
          <w:tcPr>
            <w:tcW w:w="3070" w:type="dxa"/>
          </w:tcPr>
          <w:p w14:paraId="0E872A91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8E">
              <w:rPr>
                <w:rFonts w:ascii="Times New Roman" w:hAnsi="Times New Roman"/>
                <w:sz w:val="24"/>
                <w:szCs w:val="24"/>
              </w:rPr>
              <w:t>FT4 and TT4</w:t>
            </w:r>
          </w:p>
        </w:tc>
        <w:tc>
          <w:tcPr>
            <w:tcW w:w="3071" w:type="dxa"/>
          </w:tcPr>
          <w:p w14:paraId="7278AF8A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8E">
              <w:rPr>
                <w:rFonts w:ascii="Times New Roman" w:hAnsi="Times New Roman"/>
                <w:sz w:val="24"/>
                <w:szCs w:val="24"/>
              </w:rPr>
              <w:t xml:space="preserve">↑ 50% </w:t>
            </w:r>
          </w:p>
        </w:tc>
        <w:tc>
          <w:tcPr>
            <w:tcW w:w="3071" w:type="dxa"/>
          </w:tcPr>
          <w:p w14:paraId="1AF33EE7" w14:textId="77777777" w:rsidR="00F878CA" w:rsidRPr="00A80D20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D20">
              <w:rPr>
                <w:rFonts w:ascii="Times New Roman" w:hAnsi="Times New Roman"/>
                <w:sz w:val="24"/>
                <w:szCs w:val="24"/>
              </w:rPr>
              <w:t>↑ 20-40% od wartości podstawowych (może nieznacznie przekraczać normę)</w:t>
            </w:r>
          </w:p>
        </w:tc>
      </w:tr>
      <w:tr w:rsidR="00F878CA" w:rsidRPr="0068648E" w14:paraId="0DAD8367" w14:textId="77777777" w:rsidTr="00F445C7">
        <w:tc>
          <w:tcPr>
            <w:tcW w:w="3070" w:type="dxa"/>
          </w:tcPr>
          <w:p w14:paraId="034D35C3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8E">
              <w:rPr>
                <w:rFonts w:ascii="Times New Roman" w:hAnsi="Times New Roman"/>
                <w:sz w:val="24"/>
                <w:szCs w:val="24"/>
              </w:rPr>
              <w:t>T3</w:t>
            </w:r>
          </w:p>
        </w:tc>
        <w:tc>
          <w:tcPr>
            <w:tcW w:w="3071" w:type="dxa"/>
          </w:tcPr>
          <w:p w14:paraId="44142287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8E">
              <w:rPr>
                <w:rFonts w:ascii="Times New Roman" w:hAnsi="Times New Roman"/>
                <w:sz w:val="24"/>
                <w:szCs w:val="24"/>
              </w:rPr>
              <w:t xml:space="preserve"> ↓15-20%</w:t>
            </w:r>
          </w:p>
        </w:tc>
        <w:tc>
          <w:tcPr>
            <w:tcW w:w="3071" w:type="dxa"/>
          </w:tcPr>
          <w:p w14:paraId="537D6C38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Pozostaje niskie/niskie prawidłowe </w:t>
            </w:r>
          </w:p>
        </w:tc>
      </w:tr>
      <w:tr w:rsidR="00F878CA" w:rsidRPr="0068648E" w14:paraId="0BC57275" w14:textId="77777777" w:rsidTr="00F445C7">
        <w:tc>
          <w:tcPr>
            <w:tcW w:w="3070" w:type="dxa"/>
          </w:tcPr>
          <w:p w14:paraId="5496BED7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8E">
              <w:rPr>
                <w:rFonts w:ascii="Times New Roman" w:hAnsi="Times New Roman"/>
                <w:sz w:val="24"/>
                <w:szCs w:val="24"/>
              </w:rPr>
              <w:t>TSH</w:t>
            </w:r>
          </w:p>
        </w:tc>
        <w:tc>
          <w:tcPr>
            <w:tcW w:w="3071" w:type="dxa"/>
          </w:tcPr>
          <w:p w14:paraId="36240F54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↑ 20-50%, przejściowy</w:t>
            </w:r>
          </w:p>
        </w:tc>
        <w:tc>
          <w:tcPr>
            <w:tcW w:w="3071" w:type="dxa"/>
          </w:tcPr>
          <w:p w14:paraId="206CDF76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Prawidłowe</w:t>
            </w:r>
          </w:p>
        </w:tc>
      </w:tr>
    </w:tbl>
    <w:p w14:paraId="30C4BC03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66D79D6" w14:textId="77777777" w:rsidR="00F878CA" w:rsidRPr="0068648E" w:rsidRDefault="00F878CA" w:rsidP="00F87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Objawy uboczne przewlekłej terapii </w:t>
      </w:r>
      <w:r>
        <w:rPr>
          <w:rFonts w:ascii="Times New Roman" w:hAnsi="Times New Roman"/>
          <w:b/>
          <w:sz w:val="24"/>
          <w:szCs w:val="24"/>
        </w:rPr>
        <w:t>AMIO</w:t>
      </w:r>
      <w:r w:rsidRPr="0068648E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</w:p>
    <w:p w14:paraId="30E7C9CE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735AD1E" w14:textId="77777777" w:rsidR="00F878CA" w:rsidRPr="00FA4A9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A4A9E">
        <w:rPr>
          <w:rFonts w:ascii="Times New Roman" w:hAnsi="Times New Roman"/>
          <w:sz w:val="24"/>
          <w:szCs w:val="24"/>
          <w:lang w:eastAsia="pl-PL"/>
        </w:rPr>
        <w:t xml:space="preserve">Tabela 2. Objawy uboczne terapii </w:t>
      </w:r>
      <w:r w:rsidRPr="00FA4A9E">
        <w:rPr>
          <w:rFonts w:ascii="Times New Roman" w:hAnsi="Times New Roman"/>
          <w:sz w:val="24"/>
          <w:szCs w:val="24"/>
        </w:rPr>
        <w:t>AMIO.</w:t>
      </w:r>
      <w:r w:rsidRPr="00FA4A9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53"/>
        <w:gridCol w:w="5966"/>
      </w:tblGrid>
      <w:tr w:rsidR="00F878CA" w:rsidRPr="00A80D20" w14:paraId="19B5D7D8" w14:textId="77777777" w:rsidTr="00F445C7">
        <w:tc>
          <w:tcPr>
            <w:tcW w:w="2093" w:type="dxa"/>
          </w:tcPr>
          <w:p w14:paraId="713F2419" w14:textId="77777777" w:rsidR="00F878CA" w:rsidRPr="00A80D20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Narząd </w:t>
            </w:r>
            <w:r w:rsidRPr="00A80D20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</w:p>
          <w:p w14:paraId="1E58C8DF" w14:textId="77777777" w:rsidR="00F878CA" w:rsidRPr="00A80D20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53" w:type="dxa"/>
          </w:tcPr>
          <w:p w14:paraId="4F1EDB2B" w14:textId="77777777" w:rsidR="00F878CA" w:rsidRPr="00A80D20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Częstość</w:t>
            </w:r>
            <w:proofErr w:type="spellEnd"/>
            <w:r w:rsidRPr="00A80D20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5966" w:type="dxa"/>
          </w:tcPr>
          <w:p w14:paraId="6DCAD763" w14:textId="77777777" w:rsidR="00F878CA" w:rsidRPr="00A80D20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Objawy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uboczne</w:t>
            </w:r>
            <w:proofErr w:type="spellEnd"/>
          </w:p>
        </w:tc>
      </w:tr>
      <w:tr w:rsidR="00F878CA" w:rsidRPr="0068648E" w14:paraId="0DBE4ECF" w14:textId="77777777" w:rsidTr="00F445C7">
        <w:tc>
          <w:tcPr>
            <w:tcW w:w="2093" w:type="dxa"/>
          </w:tcPr>
          <w:p w14:paraId="70263C14" w14:textId="77777777" w:rsidR="00F878CA" w:rsidRPr="00A80D20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Endokrynne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tarczyca</w:t>
            </w:r>
            <w:proofErr w:type="spellEnd"/>
          </w:p>
          <w:p w14:paraId="05DBB777" w14:textId="77777777" w:rsidR="00F878CA" w:rsidRPr="00A80D20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153" w:type="dxa"/>
          </w:tcPr>
          <w:p w14:paraId="591A0ECB" w14:textId="77777777" w:rsidR="00F878CA" w:rsidRPr="00A80D20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A80D20">
              <w:rPr>
                <w:rFonts w:ascii="Times New Roman" w:hAnsi="Times New Roman"/>
                <w:sz w:val="24"/>
                <w:szCs w:val="24"/>
                <w:lang w:val="en-US" w:eastAsia="pl-PL"/>
              </w:rPr>
              <w:t>15-20%</w:t>
            </w:r>
          </w:p>
        </w:tc>
        <w:tc>
          <w:tcPr>
            <w:tcW w:w="5966" w:type="dxa"/>
          </w:tcPr>
          <w:p w14:paraId="57B67549" w14:textId="77777777" w:rsidR="00F878CA" w:rsidRPr="00A80D20" w:rsidRDefault="00F878CA" w:rsidP="00F4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A80D2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Nieprawidłowe wyniki testów tarczycowych, niedoczynność, nadczynność </w:t>
            </w:r>
          </w:p>
        </w:tc>
      </w:tr>
      <w:tr w:rsidR="00F878CA" w:rsidRPr="00766590" w14:paraId="53688BEE" w14:textId="77777777" w:rsidTr="00F445C7">
        <w:tc>
          <w:tcPr>
            <w:tcW w:w="2093" w:type="dxa"/>
          </w:tcPr>
          <w:p w14:paraId="58E21425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Układ sercowo-naczyniowy</w:t>
            </w:r>
          </w:p>
        </w:tc>
        <w:tc>
          <w:tcPr>
            <w:tcW w:w="1153" w:type="dxa"/>
          </w:tcPr>
          <w:p w14:paraId="742BAB13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>&lt;10%</w:t>
            </w:r>
          </w:p>
        </w:tc>
        <w:tc>
          <w:tcPr>
            <w:tcW w:w="5966" w:type="dxa"/>
          </w:tcPr>
          <w:p w14:paraId="4A4EFDB9" w14:textId="77777777" w:rsidR="00F878CA" w:rsidRPr="00766590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76659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Bradykardia (5%), wydłużenie QT, bloki serca, rzadko (&lt;1%) </w:t>
            </w:r>
            <w:proofErr w:type="spellStart"/>
            <w:r w:rsidRPr="00766590">
              <w:rPr>
                <w:rFonts w:ascii="Times New Roman" w:hAnsi="Times New Roman"/>
                <w:sz w:val="24"/>
                <w:szCs w:val="24"/>
                <w:lang w:eastAsia="pl-PL"/>
              </w:rPr>
              <w:t>torsades</w:t>
            </w:r>
            <w:proofErr w:type="spellEnd"/>
            <w:r w:rsidRPr="0076659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de </w:t>
            </w:r>
            <w:proofErr w:type="spellStart"/>
            <w:r w:rsidRPr="00766590">
              <w:rPr>
                <w:rFonts w:ascii="Times New Roman" w:hAnsi="Times New Roman"/>
                <w:sz w:val="24"/>
                <w:szCs w:val="24"/>
                <w:lang w:eastAsia="pl-PL"/>
              </w:rPr>
              <w:t>pointes</w:t>
            </w:r>
            <w:proofErr w:type="spellEnd"/>
          </w:p>
        </w:tc>
      </w:tr>
      <w:tr w:rsidR="00F878CA" w:rsidRPr="0068648E" w14:paraId="673FA297" w14:textId="77777777" w:rsidTr="00F445C7">
        <w:tc>
          <w:tcPr>
            <w:tcW w:w="2093" w:type="dxa"/>
          </w:tcPr>
          <w:p w14:paraId="6CCD0E9D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Układ oddechowy </w:t>
            </w:r>
          </w:p>
        </w:tc>
        <w:tc>
          <w:tcPr>
            <w:tcW w:w="1153" w:type="dxa"/>
          </w:tcPr>
          <w:p w14:paraId="11B67F1F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>1-17%</w:t>
            </w:r>
          </w:p>
        </w:tc>
        <w:tc>
          <w:tcPr>
            <w:tcW w:w="5966" w:type="dxa"/>
          </w:tcPr>
          <w:p w14:paraId="213772E6" w14:textId="77777777" w:rsidR="00F878CA" w:rsidRPr="0068648E" w:rsidRDefault="00F878CA" w:rsidP="00F4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Lipoidowe zapalenie płuc (zwykle bezobjawowe), efekt toksyczny pod postacią </w:t>
            </w:r>
            <w:proofErr w:type="spellStart"/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>pneumonitis</w:t>
            </w:r>
            <w:proofErr w:type="spellEnd"/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(0.1-1.6%) (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przewlekły kaszel, trudności z oddychaniem i nacieki śródmiąższowe w RTG), bardzo rzadko zespół niewydolności oddechowej dorosłych (ARDS) </w:t>
            </w:r>
          </w:p>
        </w:tc>
      </w:tr>
      <w:tr w:rsidR="00F878CA" w:rsidRPr="0068648E" w14:paraId="14EB7805" w14:textId="77777777" w:rsidTr="00F445C7">
        <w:tc>
          <w:tcPr>
            <w:tcW w:w="2093" w:type="dxa"/>
          </w:tcPr>
          <w:p w14:paraId="0F4D6E2C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Skóra</w:t>
            </w: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53" w:type="dxa"/>
          </w:tcPr>
          <w:p w14:paraId="2888565E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>≤75%</w:t>
            </w:r>
          </w:p>
        </w:tc>
        <w:tc>
          <w:tcPr>
            <w:tcW w:w="5966" w:type="dxa"/>
          </w:tcPr>
          <w:p w14:paraId="11661976" w14:textId="77777777" w:rsidR="00F878CA" w:rsidRPr="0068648E" w:rsidRDefault="00F878CA" w:rsidP="002734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Wrażliwość na słońce </w:t>
            </w: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(25-75%), </w:t>
            </w:r>
            <w:r w:rsidR="0027341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ciemnoszara </w:t>
            </w:r>
            <w:proofErr w:type="spellStart"/>
            <w:r w:rsidR="00273418">
              <w:rPr>
                <w:rFonts w:ascii="Times New Roman" w:hAnsi="Times New Roman"/>
                <w:sz w:val="24"/>
                <w:szCs w:val="24"/>
                <w:lang w:eastAsia="pl-PL"/>
              </w:rPr>
              <w:t>pigmantacja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(&lt;10%), łysienie</w:t>
            </w: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(&lt;10%)</w:t>
            </w:r>
          </w:p>
        </w:tc>
      </w:tr>
      <w:tr w:rsidR="00F878CA" w:rsidRPr="0068648E" w14:paraId="043CB7DE" w14:textId="77777777" w:rsidTr="00F445C7">
        <w:tc>
          <w:tcPr>
            <w:tcW w:w="2093" w:type="dxa"/>
          </w:tcPr>
          <w:p w14:paraId="28681B7A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Wątroba</w:t>
            </w: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53" w:type="dxa"/>
          </w:tcPr>
          <w:p w14:paraId="3CF2F1FC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>≤30%</w:t>
            </w:r>
          </w:p>
        </w:tc>
        <w:tc>
          <w:tcPr>
            <w:tcW w:w="5966" w:type="dxa"/>
          </w:tcPr>
          <w:p w14:paraId="4F3A2225" w14:textId="77777777" w:rsidR="00F878CA" w:rsidRPr="0068648E" w:rsidRDefault="00F878CA" w:rsidP="00F4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Nieprawidłowości w testach wątrobowych </w:t>
            </w: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(&lt;30%),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zapalenie wątroby, marskość </w:t>
            </w: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>(&lt;3%)</w:t>
            </w:r>
          </w:p>
        </w:tc>
      </w:tr>
      <w:tr w:rsidR="00F878CA" w:rsidRPr="0068648E" w14:paraId="43AF2706" w14:textId="77777777" w:rsidTr="00F445C7">
        <w:tc>
          <w:tcPr>
            <w:tcW w:w="2093" w:type="dxa"/>
          </w:tcPr>
          <w:p w14:paraId="28666BA2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Układ nerwowy</w:t>
            </w: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53" w:type="dxa"/>
          </w:tcPr>
          <w:p w14:paraId="7C3BF13A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>3-35%</w:t>
            </w:r>
          </w:p>
        </w:tc>
        <w:tc>
          <w:tcPr>
            <w:tcW w:w="5966" w:type="dxa"/>
          </w:tcPr>
          <w:p w14:paraId="22A233EF" w14:textId="77777777" w:rsidR="00F878CA" w:rsidRPr="0068648E" w:rsidRDefault="00F878CA" w:rsidP="00F4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Drżenie, problemy z pamięcią, poznawcze. Czuciowo-ruchowa polineuropatia </w:t>
            </w: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(≤1%)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zlokalizowana głównie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dystalnie</w:t>
            </w:r>
            <w:proofErr w:type="spellEnd"/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zapalenie i neuropatia nerwu wzrokowego </w:t>
            </w: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>(≤1%)</w:t>
            </w:r>
          </w:p>
        </w:tc>
      </w:tr>
      <w:tr w:rsidR="00F878CA" w:rsidRPr="0068648E" w14:paraId="2C5FCA17" w14:textId="77777777" w:rsidTr="00F445C7">
        <w:tc>
          <w:tcPr>
            <w:tcW w:w="2093" w:type="dxa"/>
          </w:tcPr>
          <w:p w14:paraId="3178EACC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Oczy </w:t>
            </w:r>
          </w:p>
        </w:tc>
        <w:tc>
          <w:tcPr>
            <w:tcW w:w="1153" w:type="dxa"/>
          </w:tcPr>
          <w:p w14:paraId="06D450E1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8648E">
              <w:rPr>
                <w:rFonts w:ascii="Times New Roman" w:hAnsi="Times New Roman"/>
                <w:sz w:val="24"/>
                <w:szCs w:val="24"/>
                <w:lang w:eastAsia="pl-PL"/>
              </w:rPr>
              <w:t>≤100%</w:t>
            </w:r>
          </w:p>
        </w:tc>
        <w:tc>
          <w:tcPr>
            <w:tcW w:w="5966" w:type="dxa"/>
          </w:tcPr>
          <w:p w14:paraId="1A2F8721" w14:textId="77777777" w:rsidR="00F878CA" w:rsidRPr="0068648E" w:rsidRDefault="00F878CA" w:rsidP="00F44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E2D9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Oczy (≤100%), </w:t>
            </w:r>
            <w:proofErr w:type="spellStart"/>
            <w:r w:rsidRPr="002E2D92">
              <w:rPr>
                <w:rFonts w:ascii="Times New Roman" w:hAnsi="Times New Roman"/>
                <w:sz w:val="24"/>
                <w:szCs w:val="24"/>
                <w:lang w:eastAsia="pl-PL"/>
              </w:rPr>
              <w:t>mikrodepozyty</w:t>
            </w:r>
            <w:proofErr w:type="spellEnd"/>
            <w:r w:rsidRPr="002E2D9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rogówki (100%)  - odwracalne po zakończeniu leczenia.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Zapalenie i neuropatia nerwu wzrokowego</w:t>
            </w:r>
          </w:p>
        </w:tc>
      </w:tr>
    </w:tbl>
    <w:p w14:paraId="71D8AAAC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0186BEB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2D92">
        <w:rPr>
          <w:rFonts w:ascii="Times New Roman" w:hAnsi="Times New Roman"/>
          <w:sz w:val="24"/>
          <w:szCs w:val="24"/>
          <w:lang w:eastAsia="pl-PL"/>
        </w:rPr>
        <w:t xml:space="preserve">Długotrwałe stosowanie </w:t>
      </w:r>
      <w:r w:rsidRPr="002E2D92">
        <w:rPr>
          <w:rFonts w:ascii="Times New Roman" w:hAnsi="Times New Roman"/>
          <w:sz w:val="24"/>
          <w:szCs w:val="24"/>
        </w:rPr>
        <w:t xml:space="preserve">AMIO może wiązać się z wieloma objawami ubocznymi </w:t>
      </w:r>
      <w:r>
        <w:rPr>
          <w:rFonts w:ascii="Times New Roman" w:hAnsi="Times New Roman"/>
          <w:sz w:val="24"/>
          <w:szCs w:val="24"/>
          <w:lang w:eastAsia="pl-PL"/>
        </w:rPr>
        <w:t>(tabela 2)</w:t>
      </w:r>
      <w:r w:rsidRPr="002E2D92">
        <w:rPr>
          <w:rFonts w:ascii="Times New Roman" w:hAnsi="Times New Roman"/>
          <w:sz w:val="24"/>
          <w:szCs w:val="24"/>
          <w:lang w:eastAsia="pl-PL"/>
        </w:rPr>
        <w:t xml:space="preserve"> [26]. Większość pacjentów pozostaje w </w:t>
      </w:r>
      <w:proofErr w:type="spellStart"/>
      <w:r w:rsidRPr="002E2D92">
        <w:rPr>
          <w:rFonts w:ascii="Times New Roman" w:hAnsi="Times New Roman"/>
          <w:sz w:val="24"/>
          <w:szCs w:val="24"/>
          <w:lang w:eastAsia="pl-PL"/>
        </w:rPr>
        <w:t>eutyreozie</w:t>
      </w:r>
      <w:proofErr w:type="spellEnd"/>
      <w:r w:rsidRPr="002E2D92">
        <w:rPr>
          <w:rFonts w:ascii="Times New Roman" w:hAnsi="Times New Roman"/>
          <w:sz w:val="24"/>
          <w:szCs w:val="24"/>
          <w:lang w:eastAsia="pl-PL"/>
        </w:rPr>
        <w:t xml:space="preserve"> podczas leczenia </w:t>
      </w:r>
      <w:r w:rsidRPr="002E2D92">
        <w:rPr>
          <w:rFonts w:ascii="Times New Roman" w:hAnsi="Times New Roman"/>
          <w:sz w:val="24"/>
          <w:szCs w:val="24"/>
        </w:rPr>
        <w:t>AMIO,</w:t>
      </w:r>
      <w:r>
        <w:rPr>
          <w:rFonts w:ascii="Times New Roman" w:hAnsi="Times New Roman"/>
          <w:sz w:val="24"/>
          <w:szCs w:val="24"/>
        </w:rPr>
        <w:t xml:space="preserve"> u</w:t>
      </w:r>
      <w:r w:rsidRPr="002E2D92">
        <w:rPr>
          <w:rFonts w:ascii="Times New Roman" w:hAnsi="Times New Roman"/>
          <w:sz w:val="24"/>
          <w:szCs w:val="24"/>
        </w:rPr>
        <w:t xml:space="preserve"> około 15-20%</w:t>
      </w:r>
      <w:r>
        <w:rPr>
          <w:rFonts w:ascii="Times New Roman" w:hAnsi="Times New Roman"/>
          <w:sz w:val="24"/>
          <w:szCs w:val="24"/>
        </w:rPr>
        <w:t xml:space="preserve"> rozwijają się zaburzenia funkcji tarczycy, które mogą przebiegać od postaci bezobjawowych do pełnoobjawowej choroby, zarówno niedoczynności indukowanej AMIO (AIH), jak i </w:t>
      </w:r>
      <w:r>
        <w:rPr>
          <w:rFonts w:ascii="Times New Roman" w:hAnsi="Times New Roman"/>
          <w:sz w:val="24"/>
          <w:szCs w:val="24"/>
        </w:rPr>
        <w:lastRenderedPageBreak/>
        <w:t xml:space="preserve">nadczynności tarczycy </w:t>
      </w:r>
      <w:r w:rsidRPr="002E2D92">
        <w:rPr>
          <w:rFonts w:ascii="Times New Roman" w:hAnsi="Times New Roman"/>
          <w:sz w:val="24"/>
          <w:szCs w:val="24"/>
        </w:rPr>
        <w:t xml:space="preserve">(AIT) [27]. </w:t>
      </w:r>
      <w:r>
        <w:rPr>
          <w:rFonts w:ascii="Times New Roman" w:hAnsi="Times New Roman"/>
          <w:sz w:val="24"/>
          <w:szCs w:val="24"/>
        </w:rPr>
        <w:t xml:space="preserve">Zaburzenia funkcji tarczycy mogą pojawić się w dowolnym momencie podczas leczenia </w:t>
      </w:r>
      <w:r w:rsidRPr="0068648E">
        <w:rPr>
          <w:rFonts w:ascii="Times New Roman" w:hAnsi="Times New Roman"/>
          <w:sz w:val="24"/>
          <w:szCs w:val="24"/>
        </w:rPr>
        <w:t xml:space="preserve">[28]. </w:t>
      </w:r>
      <w:r w:rsidR="0027341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ontrola parametrów tarczycowych jest konieczna przed włączeniem leczenia</w:t>
      </w:r>
      <w:r w:rsidR="00273418">
        <w:rPr>
          <w:rFonts w:ascii="Times New Roman" w:hAnsi="Times New Roman"/>
          <w:sz w:val="24"/>
          <w:szCs w:val="24"/>
        </w:rPr>
        <w:t>, okresowo</w:t>
      </w:r>
      <w:r>
        <w:rPr>
          <w:rFonts w:ascii="Times New Roman" w:hAnsi="Times New Roman"/>
          <w:sz w:val="24"/>
          <w:szCs w:val="24"/>
        </w:rPr>
        <w:t xml:space="preserve"> podczas leczenia oraz do 6-12 miesięcy po zakończonym leczeniu. </w:t>
      </w:r>
      <w:r w:rsidRPr="0068648E">
        <w:rPr>
          <w:rFonts w:ascii="Times New Roman" w:hAnsi="Times New Roman"/>
          <w:sz w:val="24"/>
          <w:szCs w:val="24"/>
        </w:rPr>
        <w:t xml:space="preserve"> </w:t>
      </w:r>
    </w:p>
    <w:p w14:paraId="63F0CB58" w14:textId="77777777" w:rsidR="00F878CA" w:rsidRPr="00BD2FAC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D2FAC">
        <w:rPr>
          <w:rFonts w:ascii="Times New Roman" w:hAnsi="Times New Roman"/>
          <w:sz w:val="24"/>
          <w:szCs w:val="24"/>
        </w:rPr>
        <w:t xml:space="preserve">Należy również pamiętać o </w:t>
      </w:r>
      <w:proofErr w:type="spellStart"/>
      <w:r w:rsidRPr="00BD2FAC">
        <w:rPr>
          <w:rFonts w:ascii="Times New Roman" w:hAnsi="Times New Roman"/>
          <w:sz w:val="24"/>
          <w:szCs w:val="24"/>
        </w:rPr>
        <w:t>pozatarczycowych</w:t>
      </w:r>
      <w:proofErr w:type="spellEnd"/>
      <w:r w:rsidRPr="00BD2FAC">
        <w:rPr>
          <w:rFonts w:ascii="Times New Roman" w:hAnsi="Times New Roman"/>
          <w:sz w:val="24"/>
          <w:szCs w:val="24"/>
        </w:rPr>
        <w:t xml:space="preserve"> działaniach ubocznych AMIO (Tabela 2), </w:t>
      </w:r>
      <w:r>
        <w:rPr>
          <w:rFonts w:ascii="Times New Roman" w:hAnsi="Times New Roman"/>
          <w:sz w:val="24"/>
          <w:szCs w:val="24"/>
        </w:rPr>
        <w:t xml:space="preserve">ponieważ w szczególności powikłania płucne i wątrobowe mogą pogarszać przebieg </w:t>
      </w:r>
      <w:r w:rsidRPr="00BD2FAC">
        <w:rPr>
          <w:rFonts w:ascii="Times New Roman" w:hAnsi="Times New Roman"/>
          <w:sz w:val="24"/>
          <w:szCs w:val="24"/>
        </w:rPr>
        <w:t>AIT [29].</w:t>
      </w:r>
    </w:p>
    <w:p w14:paraId="27B5D8EB" w14:textId="77777777" w:rsidR="00F878CA" w:rsidRPr="00BD2FAC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64F8312" w14:textId="77777777" w:rsidR="00F878CA" w:rsidRPr="0068648E" w:rsidRDefault="00F878CA" w:rsidP="00F87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Kontrola </w:t>
      </w:r>
      <w:proofErr w:type="spellStart"/>
      <w:r>
        <w:rPr>
          <w:rFonts w:ascii="Times New Roman" w:hAnsi="Times New Roman"/>
          <w:b/>
          <w:sz w:val="24"/>
          <w:szCs w:val="24"/>
        </w:rPr>
        <w:t>homonalna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podczas leczenia AMIO.</w:t>
      </w:r>
    </w:p>
    <w:p w14:paraId="3363F8E5" w14:textId="77777777" w:rsidR="00F878CA" w:rsidRDefault="00F878CA" w:rsidP="00F878C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Podstawowe badania powinny obejmować:</w:t>
      </w:r>
    </w:p>
    <w:p w14:paraId="1D503B3E" w14:textId="77777777" w:rsidR="00F878CA" w:rsidRPr="0068648E" w:rsidRDefault="00F878CA" w:rsidP="00F878CA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TSH i FT4 (i FT3, jeżeli konieczne</w:t>
      </w:r>
      <w:r w:rsidRPr="0068648E">
        <w:rPr>
          <w:rFonts w:ascii="Times New Roman" w:hAnsi="Times New Roman"/>
          <w:sz w:val="24"/>
          <w:szCs w:val="24"/>
        </w:rPr>
        <w:t>)</w:t>
      </w:r>
    </w:p>
    <w:p w14:paraId="29FD6908" w14:textId="77777777" w:rsidR="00F878CA" w:rsidRPr="0068648E" w:rsidRDefault="00F878CA" w:rsidP="00F878CA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Przeciwciała przeciwtarczycowe anty-TPO i anty-TG</w:t>
      </w:r>
      <w:r w:rsidRPr="0068648E">
        <w:rPr>
          <w:rFonts w:ascii="Times New Roman" w:hAnsi="Times New Roman"/>
          <w:sz w:val="24"/>
          <w:szCs w:val="24"/>
        </w:rPr>
        <w:t xml:space="preserve"> </w:t>
      </w:r>
    </w:p>
    <w:p w14:paraId="79B31186" w14:textId="77777777" w:rsidR="00F878CA" w:rsidRPr="0068648E" w:rsidRDefault="00F878CA" w:rsidP="00F878CA">
      <w:pPr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USG tarczycy</w:t>
      </w:r>
      <w:r w:rsidRPr="0068648E">
        <w:rPr>
          <w:rFonts w:ascii="Times New Roman" w:hAnsi="Times New Roman"/>
          <w:sz w:val="24"/>
          <w:szCs w:val="24"/>
        </w:rPr>
        <w:t xml:space="preserve"> (US). </w:t>
      </w:r>
      <w:r>
        <w:rPr>
          <w:rFonts w:ascii="Times New Roman" w:hAnsi="Times New Roman"/>
          <w:sz w:val="24"/>
          <w:szCs w:val="24"/>
        </w:rPr>
        <w:t xml:space="preserve">Chociaż większość towarzystw endokrynologicznych nie zaleca rutynowego wykonywania badania USG, badanie to jest pomocne w krajach z dużą częstością występowania wola guzowatego, może również sugerować lub potwierdzić obecność </w:t>
      </w:r>
      <w:r w:rsidR="00273418">
        <w:rPr>
          <w:rFonts w:ascii="Times New Roman" w:hAnsi="Times New Roman"/>
          <w:sz w:val="24"/>
          <w:szCs w:val="24"/>
        </w:rPr>
        <w:t>autoimmunizacyjnej</w:t>
      </w:r>
      <w:r>
        <w:rPr>
          <w:rFonts w:ascii="Times New Roman" w:hAnsi="Times New Roman"/>
          <w:sz w:val="24"/>
          <w:szCs w:val="24"/>
        </w:rPr>
        <w:t xml:space="preserve"> choroby tarczycy. </w:t>
      </w:r>
    </w:p>
    <w:p w14:paraId="65B435AB" w14:textId="77777777" w:rsidR="00F878CA" w:rsidRPr="0068648E" w:rsidRDefault="00F878CA" w:rsidP="00F878C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40DC">
        <w:rPr>
          <w:rFonts w:ascii="Times New Roman" w:hAnsi="Times New Roman"/>
          <w:sz w:val="24"/>
          <w:szCs w:val="24"/>
        </w:rPr>
        <w:t>Pacjenci z obniżonym/zahamowanym TSH powinni mieć wykonane dodatkowe badania diagnostyczne – przeciwciała przeciw receptorowi dla TSH (</w:t>
      </w:r>
      <w:proofErr w:type="spellStart"/>
      <w:r w:rsidRPr="002640DC">
        <w:rPr>
          <w:rFonts w:ascii="Times New Roman" w:hAnsi="Times New Roman"/>
          <w:sz w:val="24"/>
          <w:szCs w:val="24"/>
        </w:rPr>
        <w:t>TRAb</w:t>
      </w:r>
      <w:proofErr w:type="spellEnd"/>
      <w:r w:rsidRPr="002640D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oraz scyntygrafię tarczycy </w:t>
      </w:r>
      <w:r w:rsidRPr="002640DC">
        <w:rPr>
          <w:rFonts w:ascii="Times New Roman" w:hAnsi="Times New Roman"/>
          <w:sz w:val="24"/>
          <w:szCs w:val="24"/>
        </w:rPr>
        <w:t xml:space="preserve">[30]. </w:t>
      </w:r>
      <w:r w:rsidRPr="003B224F">
        <w:rPr>
          <w:rFonts w:ascii="Times New Roman" w:hAnsi="Times New Roman"/>
          <w:sz w:val="24"/>
          <w:szCs w:val="24"/>
        </w:rPr>
        <w:t xml:space="preserve">U pacjentów z </w:t>
      </w:r>
      <w:proofErr w:type="spellStart"/>
      <w:r w:rsidRPr="003B224F">
        <w:rPr>
          <w:rFonts w:ascii="Times New Roman" w:hAnsi="Times New Roman"/>
          <w:sz w:val="24"/>
          <w:szCs w:val="24"/>
        </w:rPr>
        <w:t>subkliniczną</w:t>
      </w:r>
      <w:proofErr w:type="spellEnd"/>
      <w:r w:rsidRPr="003B224F">
        <w:rPr>
          <w:rFonts w:ascii="Times New Roman" w:hAnsi="Times New Roman"/>
          <w:sz w:val="24"/>
          <w:szCs w:val="24"/>
        </w:rPr>
        <w:t xml:space="preserve"> nadczynnością tarczycy spowodowaną obecnością toksycznego wola guzowatego lub chorobą Gravesa i Basedowa należy rozważyć ablację tarczycy (</w:t>
      </w:r>
      <w:proofErr w:type="spellStart"/>
      <w:r w:rsidRPr="003B224F">
        <w:rPr>
          <w:rFonts w:ascii="Times New Roman" w:hAnsi="Times New Roman"/>
          <w:sz w:val="24"/>
          <w:szCs w:val="24"/>
        </w:rPr>
        <w:t>radiojod</w:t>
      </w:r>
      <w:proofErr w:type="spellEnd"/>
      <w:r w:rsidRPr="003B224F">
        <w:rPr>
          <w:rFonts w:ascii="Times New Roman" w:hAnsi="Times New Roman"/>
          <w:sz w:val="24"/>
          <w:szCs w:val="24"/>
        </w:rPr>
        <w:t xml:space="preserve"> lub usunięcie tarcz</w:t>
      </w:r>
      <w:r>
        <w:rPr>
          <w:rFonts w:ascii="Times New Roman" w:hAnsi="Times New Roman"/>
          <w:sz w:val="24"/>
          <w:szCs w:val="24"/>
        </w:rPr>
        <w:t>y</w:t>
      </w:r>
      <w:r w:rsidRPr="003B224F">
        <w:rPr>
          <w:rFonts w:ascii="Times New Roman" w:hAnsi="Times New Roman"/>
          <w:sz w:val="24"/>
          <w:szCs w:val="24"/>
        </w:rPr>
        <w:t xml:space="preserve">cy), przed rozpoczęciem leczenia AMIO, jeśli jest to możliwe. </w:t>
      </w:r>
      <w:r>
        <w:rPr>
          <w:rFonts w:ascii="Times New Roman" w:hAnsi="Times New Roman"/>
          <w:sz w:val="24"/>
          <w:szCs w:val="24"/>
        </w:rPr>
        <w:t>Podczas leczenia AMIO należy kontrolować funkcję tarczycy przynajmniej co 6 miesięcy. Zaleca się kontrolę</w:t>
      </w:r>
      <w:r w:rsidRPr="003B224F">
        <w:rPr>
          <w:rFonts w:ascii="Times New Roman" w:hAnsi="Times New Roman"/>
          <w:sz w:val="24"/>
          <w:szCs w:val="24"/>
        </w:rPr>
        <w:t xml:space="preserve"> funkcji tarczycy przed leczeniem AMIO oraz 1 miesiąc i 3 miesiące po włączeniu leczenia, następnie </w:t>
      </w:r>
      <w:r>
        <w:rPr>
          <w:rFonts w:ascii="Times New Roman" w:hAnsi="Times New Roman"/>
          <w:sz w:val="24"/>
          <w:szCs w:val="24"/>
        </w:rPr>
        <w:t>w trakcie trwa</w:t>
      </w:r>
      <w:r w:rsidRPr="003B224F">
        <w:rPr>
          <w:rFonts w:ascii="Times New Roman" w:hAnsi="Times New Roman"/>
          <w:sz w:val="24"/>
          <w:szCs w:val="24"/>
        </w:rPr>
        <w:t xml:space="preserve">nia terapii AMIO w odstępach </w:t>
      </w:r>
      <w:r>
        <w:rPr>
          <w:rFonts w:ascii="Times New Roman" w:hAnsi="Times New Roman"/>
          <w:sz w:val="24"/>
          <w:szCs w:val="24"/>
        </w:rPr>
        <w:t xml:space="preserve">co </w:t>
      </w:r>
      <w:r w:rsidRPr="003B224F">
        <w:rPr>
          <w:rFonts w:ascii="Times New Roman" w:hAnsi="Times New Roman"/>
          <w:sz w:val="24"/>
          <w:szCs w:val="24"/>
        </w:rPr>
        <w:t>3-6 miesięcy</w:t>
      </w:r>
      <w:r>
        <w:rPr>
          <w:rFonts w:ascii="Times New Roman" w:hAnsi="Times New Roman"/>
          <w:sz w:val="24"/>
          <w:szCs w:val="24"/>
        </w:rPr>
        <w:t xml:space="preserve">. Nie jest zalecana kontrola przeciwciał przeciwtarczycowych w trakcie leczenia AMIO, ponieważ terapia AMIO  nie wiąże się z pojawieniem się </w:t>
      </w:r>
      <w:r w:rsidR="00273418">
        <w:rPr>
          <w:rFonts w:ascii="Times New Roman" w:hAnsi="Times New Roman"/>
          <w:sz w:val="24"/>
          <w:szCs w:val="24"/>
        </w:rPr>
        <w:t xml:space="preserve">autoimmunizacyjnej </w:t>
      </w:r>
      <w:r>
        <w:rPr>
          <w:rFonts w:ascii="Times New Roman" w:hAnsi="Times New Roman"/>
          <w:sz w:val="24"/>
          <w:szCs w:val="24"/>
        </w:rPr>
        <w:t xml:space="preserve">choroby tarczycy. </w:t>
      </w:r>
      <w:r w:rsidRPr="0068648E">
        <w:rPr>
          <w:rFonts w:ascii="Times New Roman" w:hAnsi="Times New Roman"/>
          <w:sz w:val="24"/>
          <w:szCs w:val="24"/>
        </w:rPr>
        <w:t xml:space="preserve">  </w:t>
      </w:r>
    </w:p>
    <w:p w14:paraId="4D7BC1DA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C8B525" w14:textId="77777777" w:rsidR="00F878CA" w:rsidRPr="00273AA7" w:rsidRDefault="00F878CA" w:rsidP="00F87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AA7">
        <w:rPr>
          <w:rFonts w:ascii="Times New Roman" w:hAnsi="Times New Roman"/>
          <w:b/>
          <w:sz w:val="24"/>
          <w:szCs w:val="24"/>
        </w:rPr>
        <w:t>Nadcz</w:t>
      </w:r>
      <w:r>
        <w:rPr>
          <w:rFonts w:ascii="Times New Roman" w:hAnsi="Times New Roman"/>
          <w:b/>
          <w:sz w:val="24"/>
          <w:szCs w:val="24"/>
        </w:rPr>
        <w:t>ynność tarczycy indukowana AMIO.</w:t>
      </w:r>
    </w:p>
    <w:p w14:paraId="71DA03F6" w14:textId="5528A480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73AA7">
        <w:rPr>
          <w:rFonts w:ascii="Times New Roman" w:hAnsi="Times New Roman"/>
          <w:sz w:val="24"/>
          <w:szCs w:val="24"/>
        </w:rPr>
        <w:t xml:space="preserve">AIT występuje trzykrotnie częściej u mężczyzn niż u kobiet [31]. </w:t>
      </w:r>
      <w:r w:rsidRPr="0068648E">
        <w:rPr>
          <w:rFonts w:ascii="Times New Roman" w:hAnsi="Times New Roman"/>
          <w:sz w:val="24"/>
          <w:szCs w:val="24"/>
        </w:rPr>
        <w:t xml:space="preserve">AIT </w:t>
      </w:r>
      <w:r>
        <w:rPr>
          <w:rFonts w:ascii="Times New Roman" w:hAnsi="Times New Roman"/>
          <w:sz w:val="24"/>
          <w:szCs w:val="24"/>
        </w:rPr>
        <w:t>zwykle występuje po kilku miesiącach leczenia AMIO, ale może też wystąpić w ciągu kilku początkowych tygodni leczenia</w:t>
      </w:r>
      <w:r w:rsidRPr="0068648E">
        <w:rPr>
          <w:rFonts w:ascii="Times New Roman" w:hAnsi="Times New Roman"/>
          <w:sz w:val="24"/>
          <w:szCs w:val="24"/>
        </w:rPr>
        <w:t xml:space="preserve"> [32]. </w:t>
      </w:r>
      <w:r>
        <w:rPr>
          <w:rFonts w:ascii="Times New Roman" w:hAnsi="Times New Roman"/>
          <w:sz w:val="24"/>
          <w:szCs w:val="24"/>
        </w:rPr>
        <w:t>Początek AIT zależy od typu AIT, krótszy jest w przypadku typu 1 niż w typie 2</w:t>
      </w:r>
      <w:r w:rsidR="00F20671">
        <w:rPr>
          <w:rFonts w:ascii="Times New Roman" w:hAnsi="Times New Roman"/>
          <w:sz w:val="24"/>
          <w:szCs w:val="24"/>
        </w:rPr>
        <w:t xml:space="preserve"> (patrz poniżej)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48E">
        <w:rPr>
          <w:rFonts w:ascii="Times New Roman" w:hAnsi="Times New Roman"/>
          <w:sz w:val="24"/>
          <w:szCs w:val="24"/>
        </w:rPr>
        <w:t xml:space="preserve">[33]. </w:t>
      </w:r>
      <w:r>
        <w:rPr>
          <w:rFonts w:ascii="Times New Roman" w:hAnsi="Times New Roman"/>
          <w:sz w:val="24"/>
          <w:szCs w:val="24"/>
        </w:rPr>
        <w:t>Objętość tarczycy również wpływa na czas wystąpienia AIT</w:t>
      </w:r>
      <w:r w:rsidRPr="0068648E">
        <w:rPr>
          <w:rFonts w:ascii="Times New Roman" w:hAnsi="Times New Roman"/>
          <w:sz w:val="24"/>
          <w:szCs w:val="24"/>
        </w:rPr>
        <w:t xml:space="preserve"> [33]. </w:t>
      </w:r>
      <w:r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lastRenderedPageBreak/>
        <w:t xml:space="preserve">powodu długiego okresu półtrwania AMIO, AIT może również pojawić się kilka miesięcy po zakończeniu leczenia </w:t>
      </w:r>
      <w:r w:rsidRPr="0068648E">
        <w:rPr>
          <w:rFonts w:ascii="Times New Roman" w:hAnsi="Times New Roman"/>
          <w:sz w:val="24"/>
          <w:szCs w:val="24"/>
        </w:rPr>
        <w:t xml:space="preserve">[34]. </w:t>
      </w:r>
      <w:r w:rsidRPr="00FA4A9E">
        <w:rPr>
          <w:rFonts w:ascii="Times New Roman" w:hAnsi="Times New Roman"/>
          <w:sz w:val="24"/>
          <w:szCs w:val="24"/>
        </w:rPr>
        <w:t>Wyróżniamy dwa</w:t>
      </w:r>
      <w:r w:rsidR="00D77B15">
        <w:rPr>
          <w:rFonts w:ascii="Times New Roman" w:hAnsi="Times New Roman"/>
          <w:sz w:val="24"/>
          <w:szCs w:val="24"/>
        </w:rPr>
        <w:t xml:space="preserve"> </w:t>
      </w:r>
      <w:r w:rsidRPr="00FA4A9E">
        <w:rPr>
          <w:rFonts w:ascii="Times New Roman" w:hAnsi="Times New Roman"/>
          <w:sz w:val="24"/>
          <w:szCs w:val="24"/>
        </w:rPr>
        <w:t xml:space="preserve">główne typy AIT. </w:t>
      </w:r>
      <w:r w:rsidRPr="001D4C8B">
        <w:rPr>
          <w:rFonts w:ascii="Times New Roman" w:hAnsi="Times New Roman"/>
          <w:sz w:val="24"/>
          <w:szCs w:val="24"/>
        </w:rPr>
        <w:t xml:space="preserve">Typ 1 AIT występuje u pacjentów z wcześniejszą patologią tarczycy, </w:t>
      </w:r>
      <w:r>
        <w:rPr>
          <w:rFonts w:ascii="Times New Roman" w:hAnsi="Times New Roman"/>
          <w:sz w:val="24"/>
          <w:szCs w:val="24"/>
        </w:rPr>
        <w:t>taką</w:t>
      </w:r>
      <w:r w:rsidRPr="001D4C8B">
        <w:rPr>
          <w:rFonts w:ascii="Times New Roman" w:hAnsi="Times New Roman"/>
          <w:sz w:val="24"/>
          <w:szCs w:val="24"/>
        </w:rPr>
        <w:t xml:space="preserve"> jak wole guzowate czy utajona choroba Gravesa I Basedowa.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4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 tych chorych nagłe obładowanie jodem spowodowane stosowaniem AMIO, może wyzwolić zwiększoną syntezę hormonów w gruczole tarczowym i wywołać jawną nadczynność tarczycy</w:t>
      </w:r>
      <w:r w:rsidRPr="0068648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efekt Jod-Basedow</w:t>
      </w:r>
      <w:r w:rsidRPr="0068648E">
        <w:rPr>
          <w:rFonts w:ascii="Times New Roman" w:hAnsi="Times New Roman"/>
          <w:sz w:val="24"/>
          <w:szCs w:val="24"/>
        </w:rPr>
        <w:t>) [26].</w:t>
      </w:r>
    </w:p>
    <w:p w14:paraId="53D6E50F" w14:textId="77777777" w:rsidR="00F878CA" w:rsidRPr="0002632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D4C8B">
        <w:rPr>
          <w:rFonts w:ascii="Times New Roman" w:hAnsi="Times New Roman"/>
          <w:sz w:val="24"/>
          <w:szCs w:val="24"/>
        </w:rPr>
        <w:t>Typ 2 AIT pojawia się u pacjentów z prawidłową lub nieznacznie powiększoną tarczycą I wynika bezpośrednio z toksycz</w:t>
      </w:r>
      <w:r>
        <w:rPr>
          <w:rFonts w:ascii="Times New Roman" w:hAnsi="Times New Roman"/>
          <w:sz w:val="24"/>
          <w:szCs w:val="24"/>
        </w:rPr>
        <w:t>nego działania AMIO (lub jodu)</w:t>
      </w:r>
      <w:r w:rsidRPr="001D4C8B">
        <w:rPr>
          <w:rFonts w:ascii="Times New Roman" w:hAnsi="Times New Roman"/>
          <w:sz w:val="24"/>
          <w:szCs w:val="24"/>
        </w:rPr>
        <w:t xml:space="preserve">, wywołując </w:t>
      </w:r>
      <w:r>
        <w:rPr>
          <w:rFonts w:ascii="Times New Roman" w:hAnsi="Times New Roman"/>
          <w:sz w:val="24"/>
          <w:szCs w:val="24"/>
        </w:rPr>
        <w:t xml:space="preserve">zapalenie tarczycy z rozpadem </w:t>
      </w:r>
      <w:r w:rsidRPr="001D4C8B">
        <w:rPr>
          <w:rFonts w:ascii="Times New Roman" w:hAnsi="Times New Roman"/>
          <w:sz w:val="24"/>
          <w:szCs w:val="24"/>
        </w:rPr>
        <w:t xml:space="preserve">[24]. </w:t>
      </w:r>
      <w:r>
        <w:rPr>
          <w:rFonts w:ascii="Times New Roman" w:hAnsi="Times New Roman"/>
          <w:sz w:val="24"/>
          <w:szCs w:val="24"/>
        </w:rPr>
        <w:t xml:space="preserve">Badanie histopatologiczne tkanki tarczycowej może potwierdzić obecność procesu zapalnego, nacieki histiocytów oraz włóknienie </w:t>
      </w:r>
      <w:r w:rsidRPr="0068648E">
        <w:rPr>
          <w:rFonts w:ascii="Times New Roman" w:hAnsi="Times New Roman"/>
          <w:sz w:val="24"/>
          <w:szCs w:val="24"/>
        </w:rPr>
        <w:t xml:space="preserve">[35]. </w:t>
      </w:r>
      <w:r>
        <w:rPr>
          <w:rFonts w:ascii="Times New Roman" w:hAnsi="Times New Roman"/>
          <w:sz w:val="24"/>
          <w:szCs w:val="24"/>
        </w:rPr>
        <w:t>Zdarza się, że różnicowanie obu typów AIT jest trudne. W niektórych przypadkach oba typy AIT oraz patomechanizmy odpowiedzialne za wystąpienie choroby mogą współistnieć u jednego chorego, taki typ nazywamy mieszanym lub niezdefiniowanym (Tabela</w:t>
      </w:r>
      <w:r w:rsidRPr="0002632E">
        <w:rPr>
          <w:rFonts w:ascii="Times New Roman" w:hAnsi="Times New Roman"/>
          <w:sz w:val="24"/>
          <w:szCs w:val="24"/>
        </w:rPr>
        <w:t xml:space="preserve"> 3). </w:t>
      </w:r>
    </w:p>
    <w:p w14:paraId="761E517A" w14:textId="77777777" w:rsidR="00F878CA" w:rsidRPr="0002632E" w:rsidRDefault="00F878CA" w:rsidP="00F878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cią</w:t>
      </w:r>
      <w:r w:rsidRPr="0002632E">
        <w:rPr>
          <w:rFonts w:ascii="Times New Roman" w:hAnsi="Times New Roman"/>
          <w:sz w:val="24"/>
          <w:szCs w:val="24"/>
        </w:rPr>
        <w:t xml:space="preserve">gu ostatnich 20 lat trend dotyczący występowania typów AIT zmienił się. Aktualnie typ </w:t>
      </w:r>
      <w:r>
        <w:rPr>
          <w:rFonts w:ascii="Times New Roman" w:hAnsi="Times New Roman"/>
          <w:sz w:val="24"/>
          <w:szCs w:val="24"/>
        </w:rPr>
        <w:t>2 występuje czę</w:t>
      </w:r>
      <w:r w:rsidRPr="0002632E">
        <w:rPr>
          <w:rFonts w:ascii="Times New Roman" w:hAnsi="Times New Roman"/>
          <w:sz w:val="24"/>
          <w:szCs w:val="24"/>
        </w:rPr>
        <w:t>ściej, jest to około 90% wszystkich przypadków AIT. Nie do końca znane są przyczyny tego stanu, należy wziąć pod uwagę fakt, że pacjenci kwalifikowani do leczenia AMIO są dokładnie badani w kierunk</w:t>
      </w:r>
      <w:r>
        <w:rPr>
          <w:rFonts w:ascii="Times New Roman" w:hAnsi="Times New Roman"/>
          <w:sz w:val="24"/>
          <w:szCs w:val="24"/>
        </w:rPr>
        <w:t xml:space="preserve">u występowania chorób tarczycy w porównaniu do tego co było w przeszłości </w:t>
      </w:r>
      <w:r w:rsidRPr="0002632E">
        <w:rPr>
          <w:rFonts w:ascii="Times New Roman" w:hAnsi="Times New Roman"/>
          <w:sz w:val="24"/>
          <w:szCs w:val="24"/>
        </w:rPr>
        <w:t>[35].</w:t>
      </w:r>
    </w:p>
    <w:p w14:paraId="0428BE25" w14:textId="77777777" w:rsidR="00F878CA" w:rsidRPr="0068648E" w:rsidRDefault="00F878CA" w:rsidP="00F878CA">
      <w:pPr>
        <w:numPr>
          <w:ilvl w:val="0"/>
          <w:numId w:val="42"/>
        </w:numPr>
        <w:tabs>
          <w:tab w:val="left" w:pos="16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Kliniczne objawy AIT.</w:t>
      </w:r>
    </w:p>
    <w:p w14:paraId="2A1338A1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705241" w14:textId="77777777" w:rsidR="00F878CA" w:rsidRPr="000628E6" w:rsidRDefault="00F878CA" w:rsidP="00F878CA">
      <w:pPr>
        <w:pStyle w:val="Pa9"/>
        <w:spacing w:line="360" w:lineRule="auto"/>
        <w:jc w:val="both"/>
        <w:rPr>
          <w:rFonts w:ascii="Times New Roman" w:hAnsi="Times New Roman" w:cs="Times New Roman"/>
        </w:rPr>
      </w:pPr>
      <w:r w:rsidRPr="000628E6">
        <w:rPr>
          <w:rFonts w:ascii="Times New Roman" w:hAnsi="Times New Roman" w:cs="Times New Roman"/>
        </w:rPr>
        <w:t xml:space="preserve">Większość objawów AIT jest podobna do tych występujących nadczynności tarczycy o innej etiologii i </w:t>
      </w:r>
      <w:r>
        <w:rPr>
          <w:rFonts w:ascii="Times New Roman" w:hAnsi="Times New Roman" w:cs="Times New Roman"/>
        </w:rPr>
        <w:t>obejmują</w:t>
      </w:r>
      <w:r w:rsidRPr="000628E6">
        <w:rPr>
          <w:rFonts w:ascii="Times New Roman" w:hAnsi="Times New Roman" w:cs="Times New Roman"/>
        </w:rPr>
        <w:t xml:space="preserve"> spadek masy ciała, nietolerancję ciepła, męczliwość, osłabienie siły mięśniowej, biegunki, skąpe miesiączkowanie, nerwowość </w:t>
      </w:r>
      <w:r>
        <w:rPr>
          <w:rFonts w:ascii="Times New Roman" w:hAnsi="Times New Roman" w:cs="Times New Roman"/>
        </w:rPr>
        <w:t>i</w:t>
      </w:r>
      <w:r w:rsidRPr="00062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kołatanie serca.</w:t>
      </w:r>
      <w:r w:rsidRPr="00062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Dodatkowo u chorych z AIT mogą występować następujące objawy: </w:t>
      </w:r>
    </w:p>
    <w:p w14:paraId="76105250" w14:textId="77777777" w:rsidR="00F878CA" w:rsidRPr="000628E6" w:rsidRDefault="00F878CA" w:rsidP="00F878CA">
      <w:pPr>
        <w:numPr>
          <w:ilvl w:val="0"/>
          <w:numId w:val="22"/>
        </w:numPr>
        <w:spacing w:after="0" w:line="360" w:lineRule="auto"/>
        <w:ind w:left="714" w:hanging="357"/>
        <w:jc w:val="both"/>
        <w:rPr>
          <w:lang w:eastAsia="pl-PL"/>
        </w:rPr>
      </w:pPr>
      <w:r w:rsidRPr="000628E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AIT często występuje u osób starszych,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 osób tych może występować apatia,</w:t>
      </w:r>
      <w:r w:rsidRPr="000628E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spadek apetytu czy depresja [36].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U chorych powyżej 60 roku życia, ponad 50% może mieć typowe objawy nadczynności tarczycy, przy czym dominuje spadek masy ciała. </w:t>
      </w:r>
    </w:p>
    <w:p w14:paraId="6B32CAEF" w14:textId="77777777" w:rsidR="00F878CA" w:rsidRPr="000628E6" w:rsidRDefault="00F878CA" w:rsidP="00F878CA">
      <w:pPr>
        <w:pStyle w:val="P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0628E6">
        <w:rPr>
          <w:rFonts w:ascii="Times New Roman" w:hAnsi="Times New Roman" w:cs="Times New Roman"/>
        </w:rPr>
        <w:t>Nawrót lub zaostrzenie choroby serca lub arytmii podczas leczenia AMIO u chorych</w:t>
      </w:r>
      <w:r>
        <w:rPr>
          <w:rFonts w:ascii="Times New Roman" w:hAnsi="Times New Roman" w:cs="Times New Roman"/>
        </w:rPr>
        <w:t>, u których wcześ</w:t>
      </w:r>
      <w:r w:rsidRPr="000628E6">
        <w:rPr>
          <w:rFonts w:ascii="Times New Roman" w:hAnsi="Times New Roman" w:cs="Times New Roman"/>
        </w:rPr>
        <w:t xml:space="preserve">niej choroba serca była dobrze kontrolowana </w:t>
      </w:r>
      <w:r>
        <w:rPr>
          <w:rFonts w:ascii="Times New Roman" w:hAnsi="Times New Roman" w:cs="Times New Roman"/>
        </w:rPr>
        <w:t xml:space="preserve">może być pierwszym objawem AIT </w:t>
      </w:r>
      <w:r w:rsidRPr="000628E6">
        <w:rPr>
          <w:rFonts w:ascii="Times New Roman" w:hAnsi="Times New Roman" w:cs="Times New Roman"/>
        </w:rPr>
        <w:t xml:space="preserve">[37,38]. </w:t>
      </w:r>
    </w:p>
    <w:p w14:paraId="16A0270A" w14:textId="77777777" w:rsidR="00F878CA" w:rsidRPr="00352C0C" w:rsidRDefault="00F878CA" w:rsidP="00F878CA">
      <w:pPr>
        <w:pStyle w:val="Pa9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A4A9E">
        <w:rPr>
          <w:rFonts w:ascii="Times New Roman" w:hAnsi="Times New Roman" w:cs="Times New Roman"/>
        </w:rPr>
        <w:t>Wielu chorych z migotaniem przedsionków jest leczonych lekami przeciwkrzepliwymi, aby zmniejszyć ryzyko zakrzepowo-zatorowe.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Warfaryna</w:t>
      </w:r>
      <w:proofErr w:type="spellEnd"/>
      <w:r>
        <w:rPr>
          <w:rFonts w:ascii="Times New Roman" w:hAnsi="Times New Roman" w:cs="Times New Roman"/>
        </w:rPr>
        <w:t xml:space="preserve"> hamuje syntezę czynników krzepnięcia zależnych od witaminy K (II, VII, IX i X). W </w:t>
      </w:r>
      <w:r>
        <w:rPr>
          <w:rFonts w:ascii="Times New Roman" w:hAnsi="Times New Roman" w:cs="Times New Roman"/>
        </w:rPr>
        <w:lastRenderedPageBreak/>
        <w:t xml:space="preserve">nadczynności tarczycy farmakokinetyka </w:t>
      </w:r>
      <w:proofErr w:type="spellStart"/>
      <w:r>
        <w:rPr>
          <w:rFonts w:ascii="Times New Roman" w:hAnsi="Times New Roman" w:cs="Times New Roman"/>
        </w:rPr>
        <w:t>warfaryny</w:t>
      </w:r>
      <w:proofErr w:type="spellEnd"/>
      <w:r>
        <w:rPr>
          <w:rFonts w:ascii="Times New Roman" w:hAnsi="Times New Roman" w:cs="Times New Roman"/>
        </w:rPr>
        <w:t xml:space="preserve"> nie zmienia się, jednak zwiększa się degradacja czynników krzepnięcia zależnych od witaminy K, co nasila efekty działania </w:t>
      </w:r>
      <w:proofErr w:type="spellStart"/>
      <w:r>
        <w:rPr>
          <w:rFonts w:ascii="Times New Roman" w:hAnsi="Times New Roman" w:cs="Times New Roman"/>
        </w:rPr>
        <w:t>warfaryny</w:t>
      </w:r>
      <w:proofErr w:type="spellEnd"/>
      <w:r w:rsidRPr="0068648E">
        <w:rPr>
          <w:rFonts w:ascii="Times New Roman" w:hAnsi="Times New Roman" w:cs="Times New Roman"/>
          <w:color w:val="221E1F"/>
        </w:rPr>
        <w:t>.</w:t>
      </w:r>
      <w:r w:rsidRPr="0068648E">
        <w:rPr>
          <w:rStyle w:val="A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E1F"/>
        </w:rPr>
        <w:t xml:space="preserve">Uważa się, że niewyjaśniona zwiększona wrażliwość na </w:t>
      </w:r>
      <w:proofErr w:type="spellStart"/>
      <w:r>
        <w:rPr>
          <w:rFonts w:ascii="Times New Roman" w:hAnsi="Times New Roman" w:cs="Times New Roman"/>
          <w:color w:val="221E1F"/>
        </w:rPr>
        <w:t>warfarynę</w:t>
      </w:r>
      <w:proofErr w:type="spellEnd"/>
      <w:r>
        <w:rPr>
          <w:rFonts w:ascii="Times New Roman" w:hAnsi="Times New Roman" w:cs="Times New Roman"/>
          <w:color w:val="221E1F"/>
        </w:rPr>
        <w:t xml:space="preserve"> oraz konieczność zmniejszenia jej dawki pozwala podejrzewać nadczynność tarczycy </w:t>
      </w:r>
      <w:r w:rsidRPr="00FA4A9E">
        <w:rPr>
          <w:rFonts w:ascii="Times New Roman" w:hAnsi="Times New Roman" w:cs="Times New Roman"/>
          <w:color w:val="221E1F"/>
        </w:rPr>
        <w:t xml:space="preserve">[39,40]. </w:t>
      </w:r>
      <w:r w:rsidRPr="00352C0C">
        <w:rPr>
          <w:rFonts w:ascii="Times New Roman" w:hAnsi="Times New Roman"/>
        </w:rPr>
        <w:t xml:space="preserve">AMIO może wpływać na </w:t>
      </w:r>
      <w:r w:rsidR="00DE3330" w:rsidRPr="00352C0C">
        <w:rPr>
          <w:rFonts w:ascii="Times New Roman" w:hAnsi="Times New Roman"/>
        </w:rPr>
        <w:t>metabolizm</w:t>
      </w:r>
      <w:r w:rsidRPr="00352C0C">
        <w:rPr>
          <w:rFonts w:ascii="Times New Roman" w:hAnsi="Times New Roman"/>
        </w:rPr>
        <w:t xml:space="preserve"> </w:t>
      </w:r>
      <w:proofErr w:type="spellStart"/>
      <w:r w:rsidRPr="00352C0C">
        <w:rPr>
          <w:rFonts w:ascii="Times New Roman" w:hAnsi="Times New Roman"/>
        </w:rPr>
        <w:t>warfaryny</w:t>
      </w:r>
      <w:proofErr w:type="spellEnd"/>
      <w:r w:rsidRPr="00352C0C">
        <w:rPr>
          <w:rFonts w:ascii="Times New Roman" w:hAnsi="Times New Roman"/>
        </w:rPr>
        <w:t xml:space="preserve"> </w:t>
      </w:r>
      <w:r w:rsidRPr="00352C0C">
        <w:rPr>
          <w:rFonts w:ascii="Times New Roman" w:hAnsi="Times New Roman"/>
          <w:i/>
        </w:rPr>
        <w:t xml:space="preserve">per </w:t>
      </w:r>
      <w:proofErr w:type="spellStart"/>
      <w:r w:rsidRPr="00352C0C">
        <w:rPr>
          <w:rFonts w:ascii="Times New Roman" w:hAnsi="Times New Roman"/>
          <w:i/>
        </w:rPr>
        <w:t>se</w:t>
      </w:r>
      <w:proofErr w:type="spellEnd"/>
      <w:r w:rsidRPr="00352C0C">
        <w:rPr>
          <w:rFonts w:ascii="Times New Roman" w:hAnsi="Times New Roman"/>
        </w:rPr>
        <w:t xml:space="preserve">, niezależnie od nadczynności tarczycy; obecność zaburzeń genetycznych wpływających na </w:t>
      </w:r>
      <w:r w:rsidR="00DE3330" w:rsidRPr="00352C0C">
        <w:rPr>
          <w:rFonts w:ascii="Times New Roman" w:hAnsi="Times New Roman"/>
        </w:rPr>
        <w:t>metabolizm</w:t>
      </w:r>
      <w:r w:rsidRPr="00352C0C">
        <w:rPr>
          <w:rFonts w:ascii="Times New Roman" w:hAnsi="Times New Roman"/>
        </w:rPr>
        <w:t xml:space="preserve"> </w:t>
      </w:r>
      <w:proofErr w:type="spellStart"/>
      <w:r w:rsidRPr="00352C0C">
        <w:rPr>
          <w:rFonts w:ascii="Times New Roman" w:hAnsi="Times New Roman"/>
        </w:rPr>
        <w:t>warfaryny</w:t>
      </w:r>
      <w:proofErr w:type="spellEnd"/>
      <w:r w:rsidRPr="00352C0C">
        <w:rPr>
          <w:rFonts w:ascii="Times New Roman" w:hAnsi="Times New Roman"/>
        </w:rPr>
        <w:t xml:space="preserve"> (CYP2C9*3/*3, VKORC1*3/*3) może dodatkowo zwiększać ryzyko przedawkowania leku [41]. </w:t>
      </w:r>
      <w:r>
        <w:rPr>
          <w:rFonts w:ascii="Times New Roman" w:hAnsi="Times New Roman"/>
        </w:rPr>
        <w:t xml:space="preserve">Leczenie </w:t>
      </w:r>
      <w:proofErr w:type="spellStart"/>
      <w:r>
        <w:rPr>
          <w:rFonts w:ascii="Times New Roman" w:hAnsi="Times New Roman"/>
        </w:rPr>
        <w:t>warfaryną</w:t>
      </w:r>
      <w:proofErr w:type="spellEnd"/>
      <w:r>
        <w:rPr>
          <w:rFonts w:ascii="Times New Roman" w:hAnsi="Times New Roman"/>
        </w:rPr>
        <w:t xml:space="preserve"> u chorych z AIT powinno być wprowadzane powoli, zaczynając od małych dawek leku.</w:t>
      </w:r>
    </w:p>
    <w:p w14:paraId="190679FC" w14:textId="77777777" w:rsidR="00F878CA" w:rsidRPr="00F878CA" w:rsidRDefault="00F878CA" w:rsidP="00F878CA">
      <w:pPr>
        <w:pStyle w:val="Pa9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color w:val="221E1F"/>
        </w:rPr>
      </w:pPr>
      <w:r w:rsidRPr="00123E6D">
        <w:rPr>
          <w:rFonts w:ascii="Times New Roman" w:hAnsi="Times New Roman" w:cs="Times New Roman"/>
          <w:color w:val="221E1F"/>
        </w:rPr>
        <w:t>Niezależnie od stężenia hormonów tarczycow</w:t>
      </w:r>
      <w:r>
        <w:rPr>
          <w:rFonts w:ascii="Times New Roman" w:hAnsi="Times New Roman" w:cs="Times New Roman"/>
          <w:color w:val="221E1F"/>
        </w:rPr>
        <w:t xml:space="preserve">ych, przebieg AIT może być </w:t>
      </w:r>
      <w:proofErr w:type="spellStart"/>
      <w:r w:rsidR="00DE3330">
        <w:rPr>
          <w:rFonts w:ascii="Times New Roman" w:hAnsi="Times New Roman" w:cs="Times New Roman"/>
          <w:color w:val="221E1F"/>
        </w:rPr>
        <w:t>skąpo</w:t>
      </w:r>
      <w:r w:rsidR="00DE3330" w:rsidRPr="00123E6D">
        <w:rPr>
          <w:rFonts w:ascii="Times New Roman" w:hAnsi="Times New Roman" w:cs="Times New Roman"/>
          <w:color w:val="221E1F"/>
        </w:rPr>
        <w:t>objawowy</w:t>
      </w:r>
      <w:proofErr w:type="spellEnd"/>
      <w:r w:rsidRPr="00123E6D">
        <w:rPr>
          <w:rFonts w:ascii="Times New Roman" w:hAnsi="Times New Roman" w:cs="Times New Roman"/>
          <w:color w:val="221E1F"/>
        </w:rPr>
        <w:t xml:space="preserve">, szczególnie na początku choroby. </w:t>
      </w:r>
      <w:proofErr w:type="spellStart"/>
      <w:r w:rsidRPr="00354FE4">
        <w:rPr>
          <w:rFonts w:ascii="Times New Roman" w:hAnsi="Times New Roman" w:cs="Times New Roman"/>
          <w:color w:val="221E1F"/>
        </w:rPr>
        <w:t>Skąpoobjawowy</w:t>
      </w:r>
      <w:proofErr w:type="spellEnd"/>
      <w:r w:rsidRPr="00354FE4">
        <w:rPr>
          <w:rFonts w:ascii="Times New Roman" w:hAnsi="Times New Roman" w:cs="Times New Roman"/>
          <w:color w:val="221E1F"/>
        </w:rPr>
        <w:t xml:space="preserve"> przebieg choroby może być przyczyną pomyłek diagnostycznych. Przebieg taki wynikać może z fizjologicznego działania AMIO, takiego jak: antagonistyczny efekt na receptory </w:t>
      </w:r>
      <w:r w:rsidRPr="00354FE4">
        <w:rPr>
          <w:rFonts w:ascii="Times New Roman" w:hAnsi="Times New Roman"/>
          <w:color w:val="221E1F"/>
        </w:rPr>
        <w:t xml:space="preserve">β-adrenergiczne, hamowanie </w:t>
      </w:r>
      <w:proofErr w:type="spellStart"/>
      <w:r w:rsidRPr="00354FE4">
        <w:rPr>
          <w:rFonts w:ascii="Times New Roman" w:hAnsi="Times New Roman"/>
          <w:color w:val="221E1F"/>
        </w:rPr>
        <w:t>dejodynacji</w:t>
      </w:r>
      <w:proofErr w:type="spellEnd"/>
      <w:r w:rsidRPr="00354FE4">
        <w:rPr>
          <w:rFonts w:ascii="Times New Roman" w:hAnsi="Times New Roman"/>
          <w:color w:val="221E1F"/>
        </w:rPr>
        <w:t xml:space="preserve"> T4 do T3, blokada wiązania hormonów tarczycowych do receptora T3 w sercu. </w:t>
      </w:r>
    </w:p>
    <w:p w14:paraId="288279BC" w14:textId="77777777" w:rsidR="00F878CA" w:rsidRPr="00354FE4" w:rsidRDefault="00F878CA" w:rsidP="00F878C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21E1F"/>
          <w:sz w:val="24"/>
          <w:szCs w:val="24"/>
          <w:lang w:eastAsia="pl-PL"/>
        </w:rPr>
      </w:pPr>
      <w:r w:rsidRPr="00354FE4">
        <w:rPr>
          <w:rFonts w:ascii="Times New Roman" w:hAnsi="Times New Roman"/>
          <w:color w:val="221E1F"/>
          <w:sz w:val="24"/>
          <w:szCs w:val="24"/>
        </w:rPr>
        <w:t>Z drugiej strony, AIT może charakteryzować się bardzo ciężkim przebiegiem, szczególnie u osób młodych, u których kliniczna manifestacja jest identyczna jak w przypadku spontanicznej nadczynności</w:t>
      </w:r>
      <w:r>
        <w:rPr>
          <w:rFonts w:ascii="Times New Roman" w:hAnsi="Times New Roman"/>
          <w:color w:val="221E1F"/>
          <w:sz w:val="24"/>
          <w:szCs w:val="24"/>
        </w:rPr>
        <w:t xml:space="preserve"> tarczycy </w:t>
      </w:r>
      <w:r w:rsidRPr="00354FE4">
        <w:rPr>
          <w:rFonts w:ascii="Times New Roman" w:hAnsi="Times New Roman"/>
          <w:color w:val="221E1F"/>
          <w:sz w:val="24"/>
          <w:szCs w:val="24"/>
          <w:lang w:eastAsia="pl-PL"/>
        </w:rPr>
        <w:t>[25,31,42]</w:t>
      </w:r>
      <w:r w:rsidRPr="00354FE4">
        <w:rPr>
          <w:rFonts w:ascii="Times New Roman" w:hAnsi="Times New Roman"/>
          <w:b/>
          <w:color w:val="221E1F"/>
          <w:sz w:val="24"/>
          <w:szCs w:val="24"/>
          <w:lang w:eastAsia="pl-PL"/>
        </w:rPr>
        <w:t>.</w:t>
      </w:r>
    </w:p>
    <w:p w14:paraId="3084FC30" w14:textId="77777777" w:rsidR="00F878CA" w:rsidRPr="00354FE4" w:rsidRDefault="00F878CA" w:rsidP="00F878C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/>
          <w:color w:val="221E1F"/>
          <w:sz w:val="24"/>
          <w:szCs w:val="24"/>
          <w:lang w:eastAsia="pl-PL"/>
        </w:rPr>
      </w:pPr>
    </w:p>
    <w:p w14:paraId="78CB7D93" w14:textId="77777777" w:rsidR="00F878CA" w:rsidRPr="00B84869" w:rsidRDefault="00F878CA" w:rsidP="00F878C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21E1F"/>
          <w:sz w:val="24"/>
          <w:szCs w:val="24"/>
          <w:lang w:eastAsia="pl-PL"/>
        </w:rPr>
      </w:pPr>
      <w:r w:rsidRPr="00B84869">
        <w:rPr>
          <w:rFonts w:ascii="Times New Roman" w:hAnsi="Times New Roman"/>
          <w:b/>
          <w:i/>
          <w:color w:val="221E1F"/>
          <w:sz w:val="24"/>
          <w:szCs w:val="24"/>
          <w:lang w:eastAsia="pl-PL"/>
        </w:rPr>
        <w:t xml:space="preserve">Różnicowanie nadczynności tarczycy indukowanej </w:t>
      </w:r>
      <w:proofErr w:type="spellStart"/>
      <w:r w:rsidRPr="00B84869">
        <w:rPr>
          <w:rFonts w:ascii="Times New Roman" w:hAnsi="Times New Roman"/>
          <w:b/>
          <w:i/>
          <w:color w:val="221E1F"/>
          <w:sz w:val="24"/>
          <w:szCs w:val="24"/>
          <w:lang w:eastAsia="pl-PL"/>
        </w:rPr>
        <w:t>amiodaronem</w:t>
      </w:r>
      <w:proofErr w:type="spellEnd"/>
      <w:r w:rsidRPr="00B84869">
        <w:rPr>
          <w:rFonts w:ascii="Times New Roman" w:hAnsi="Times New Roman"/>
          <w:b/>
          <w:i/>
          <w:color w:val="221E1F"/>
          <w:sz w:val="24"/>
          <w:szCs w:val="24"/>
          <w:lang w:eastAsia="pl-PL"/>
        </w:rPr>
        <w:t xml:space="preserve">. </w:t>
      </w:r>
    </w:p>
    <w:p w14:paraId="319D5CD3" w14:textId="36620EDB" w:rsidR="00F878CA" w:rsidRPr="00647F9C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74526">
        <w:rPr>
          <w:rFonts w:ascii="Times New Roman" w:hAnsi="Times New Roman"/>
          <w:color w:val="221E1F"/>
          <w:sz w:val="24"/>
          <w:szCs w:val="24"/>
          <w:lang w:eastAsia="pl-PL"/>
        </w:rPr>
        <w:t xml:space="preserve">Większość ośrodków wyróżnia dwa główne typy AIT, ponieważ ich leczenie I przebieg znacząco się różnią [42]. Niektóre ośrodki zalecają leczenie wszystkich chorych z AIT w ten sam sposób zaczynając od </w:t>
      </w:r>
      <w:proofErr w:type="spellStart"/>
      <w:r w:rsidR="00923EF5">
        <w:rPr>
          <w:rFonts w:ascii="Times New Roman" w:hAnsi="Times New Roman"/>
          <w:color w:val="221E1F"/>
          <w:sz w:val="24"/>
          <w:szCs w:val="24"/>
          <w:lang w:eastAsia="pl-PL"/>
        </w:rPr>
        <w:t>metimazolu</w:t>
      </w:r>
      <w:proofErr w:type="spellEnd"/>
      <w:r w:rsidR="00923EF5">
        <w:rPr>
          <w:rFonts w:ascii="Times New Roman" w:hAnsi="Times New Roman"/>
          <w:color w:val="221E1F"/>
          <w:sz w:val="24"/>
          <w:szCs w:val="24"/>
          <w:lang w:eastAsia="pl-PL"/>
        </w:rPr>
        <w:t xml:space="preserve"> (</w:t>
      </w:r>
      <w:r w:rsidRPr="00374526">
        <w:rPr>
          <w:rFonts w:ascii="Times New Roman" w:hAnsi="Times New Roman"/>
          <w:color w:val="221E1F"/>
          <w:sz w:val="24"/>
          <w:szCs w:val="24"/>
          <w:lang w:eastAsia="pl-PL"/>
        </w:rPr>
        <w:t>MMI</w:t>
      </w:r>
      <w:r w:rsidR="00923EF5">
        <w:rPr>
          <w:rFonts w:ascii="Times New Roman" w:hAnsi="Times New Roman"/>
          <w:color w:val="221E1F"/>
          <w:sz w:val="24"/>
          <w:szCs w:val="24"/>
          <w:lang w:eastAsia="pl-PL"/>
        </w:rPr>
        <w:t>)</w:t>
      </w:r>
      <w:r w:rsidRPr="00374526">
        <w:rPr>
          <w:rFonts w:ascii="Times New Roman" w:hAnsi="Times New Roman"/>
          <w:color w:val="221E1F"/>
          <w:sz w:val="24"/>
          <w:szCs w:val="24"/>
          <w:lang w:eastAsia="pl-PL"/>
        </w:rPr>
        <w:t xml:space="preserve"> i sterydów; takie postępowanie wymaga sprawdzenia w różnych populacjach (np. odnośnie spożycia jodu). </w:t>
      </w:r>
      <w:r>
        <w:rPr>
          <w:rFonts w:ascii="Times New Roman" w:hAnsi="Times New Roman"/>
          <w:color w:val="221E1F"/>
          <w:sz w:val="24"/>
          <w:szCs w:val="24"/>
          <w:lang w:eastAsia="pl-PL"/>
        </w:rPr>
        <w:t xml:space="preserve">Zahamowane TSH i podwyższone FT4 oraz FT3 występują w obu typach AIT i nie różnicują typu choroby. </w:t>
      </w:r>
      <w:r w:rsidRPr="00374526">
        <w:rPr>
          <w:rFonts w:ascii="Times New Roman" w:hAnsi="Times New Roman"/>
          <w:color w:val="221E1F"/>
          <w:sz w:val="24"/>
          <w:szCs w:val="24"/>
          <w:lang w:eastAsia="pl-PL"/>
        </w:rPr>
        <w:t>Zwiększony (&gt;4) stosunek T4/T3 jest bardziej charakterystyczny dla zapalenia tarczycy z rozpadem</w:t>
      </w:r>
      <w:r w:rsidRPr="00374526">
        <w:rPr>
          <w:rFonts w:ascii="Times New Roman" w:hAnsi="Times New Roman"/>
          <w:sz w:val="24"/>
          <w:szCs w:val="24"/>
        </w:rPr>
        <w:t xml:space="preserve"> [43], ale nie jest istotnie pomocne w indywidualnych przypadkach chorych z AIT, ponieważ w chorobie tej FT4 jest zwykle wyższe od FT3 i wynika to z hamowania </w:t>
      </w:r>
      <w:proofErr w:type="spellStart"/>
      <w:r w:rsidRPr="00374526">
        <w:rPr>
          <w:rFonts w:ascii="Times New Roman" w:hAnsi="Times New Roman"/>
          <w:sz w:val="24"/>
          <w:szCs w:val="24"/>
        </w:rPr>
        <w:t>dejodynazy</w:t>
      </w:r>
      <w:proofErr w:type="spellEnd"/>
      <w:r w:rsidRPr="00374526">
        <w:rPr>
          <w:rFonts w:ascii="Times New Roman" w:hAnsi="Times New Roman"/>
          <w:sz w:val="24"/>
          <w:szCs w:val="24"/>
        </w:rPr>
        <w:t xml:space="preserve"> D1 [35]. </w:t>
      </w:r>
      <w:r>
        <w:rPr>
          <w:rFonts w:ascii="Times New Roman" w:hAnsi="Times New Roman"/>
          <w:sz w:val="24"/>
          <w:szCs w:val="24"/>
        </w:rPr>
        <w:t xml:space="preserve">Poszukiwanie typowych przeciwciał (szczególnie przeciwko receptorowi dla TSH) jest wskazane u pacjentów, u których podłoża choroby leży najpewniej choroba Gravesa i Basedowa </w:t>
      </w:r>
      <w:r w:rsidRPr="002E7C2E">
        <w:rPr>
          <w:rFonts w:ascii="Times New Roman" w:hAnsi="Times New Roman"/>
          <w:sz w:val="24"/>
          <w:szCs w:val="24"/>
          <w:lang w:eastAsia="pl-PL"/>
        </w:rPr>
        <w:t xml:space="preserve">[2]. </w:t>
      </w:r>
      <w:r>
        <w:rPr>
          <w:rFonts w:ascii="Times New Roman" w:hAnsi="Times New Roman"/>
          <w:sz w:val="24"/>
          <w:szCs w:val="24"/>
          <w:lang w:eastAsia="pl-PL"/>
        </w:rPr>
        <w:t xml:space="preserve">Tylko </w:t>
      </w:r>
      <w:r w:rsidRPr="00FA73FA">
        <w:rPr>
          <w:rFonts w:ascii="Times New Roman" w:hAnsi="Times New Roman"/>
          <w:sz w:val="24"/>
          <w:szCs w:val="24"/>
          <w:lang w:eastAsia="pl-PL"/>
        </w:rPr>
        <w:t xml:space="preserve">8% pacjentów z typem 2 AIT ma obecne przeciwciała przeciwtarczycowe w badaniach laboratoryjnych. U pacjentów w </w:t>
      </w:r>
      <w:proofErr w:type="spellStart"/>
      <w:r w:rsidRPr="00FA73FA">
        <w:rPr>
          <w:rFonts w:ascii="Times New Roman" w:hAnsi="Times New Roman"/>
          <w:sz w:val="24"/>
          <w:szCs w:val="24"/>
          <w:lang w:eastAsia="pl-PL"/>
        </w:rPr>
        <w:t>eutyreozie</w:t>
      </w:r>
      <w:proofErr w:type="spellEnd"/>
      <w:r w:rsidRPr="00FA73FA">
        <w:rPr>
          <w:rFonts w:ascii="Times New Roman" w:hAnsi="Times New Roman"/>
          <w:sz w:val="24"/>
          <w:szCs w:val="24"/>
          <w:lang w:eastAsia="pl-PL"/>
        </w:rPr>
        <w:t>, z utajonym autoimmun</w:t>
      </w:r>
      <w:r w:rsidR="00273418">
        <w:rPr>
          <w:rFonts w:ascii="Times New Roman" w:hAnsi="Times New Roman"/>
          <w:sz w:val="24"/>
          <w:szCs w:val="24"/>
          <w:lang w:eastAsia="pl-PL"/>
        </w:rPr>
        <w:t xml:space="preserve">izacyjnym </w:t>
      </w:r>
      <w:r w:rsidRPr="00FA73FA">
        <w:rPr>
          <w:rFonts w:ascii="Times New Roman" w:hAnsi="Times New Roman"/>
          <w:sz w:val="24"/>
          <w:szCs w:val="24"/>
          <w:lang w:eastAsia="pl-PL"/>
        </w:rPr>
        <w:t>zapaleniem t</w:t>
      </w:r>
      <w:r>
        <w:rPr>
          <w:rFonts w:ascii="Times New Roman" w:hAnsi="Times New Roman"/>
          <w:sz w:val="24"/>
          <w:szCs w:val="24"/>
          <w:lang w:eastAsia="pl-PL"/>
        </w:rPr>
        <w:t xml:space="preserve">arczycy, AMIO może wywołać proces rozpadu tarczycy, prowadząc do rozwoju typu 2 AIT </w:t>
      </w:r>
      <w:r w:rsidRPr="00BC6F92">
        <w:rPr>
          <w:rFonts w:ascii="Times New Roman" w:hAnsi="Times New Roman"/>
          <w:sz w:val="24"/>
          <w:szCs w:val="24"/>
          <w:lang w:eastAsia="pl-PL"/>
        </w:rPr>
        <w:t xml:space="preserve">[35,44]. </w:t>
      </w:r>
      <w:r w:rsidR="00E51E52">
        <w:rPr>
          <w:rFonts w:ascii="Times New Roman" w:hAnsi="Times New Roman"/>
          <w:sz w:val="24"/>
          <w:szCs w:val="24"/>
          <w:lang w:eastAsia="pl-PL"/>
        </w:rPr>
        <w:t xml:space="preserve">Oznaczanie innych </w:t>
      </w:r>
      <w:r w:rsidR="005461CE">
        <w:rPr>
          <w:rFonts w:ascii="Times New Roman" w:hAnsi="Times New Roman"/>
          <w:sz w:val="24"/>
          <w:szCs w:val="24"/>
          <w:lang w:eastAsia="pl-PL"/>
        </w:rPr>
        <w:t>w</w:t>
      </w:r>
      <w:r w:rsidR="00E51E52">
        <w:rPr>
          <w:rFonts w:ascii="Times New Roman" w:hAnsi="Times New Roman"/>
          <w:sz w:val="24"/>
          <w:szCs w:val="24"/>
          <w:lang w:eastAsia="pl-PL"/>
        </w:rPr>
        <w:t>skaźników</w:t>
      </w:r>
      <w:r>
        <w:rPr>
          <w:rFonts w:ascii="Times New Roman" w:hAnsi="Times New Roman"/>
          <w:sz w:val="24"/>
          <w:szCs w:val="24"/>
          <w:lang w:eastAsia="pl-PL"/>
        </w:rPr>
        <w:t>, taki</w:t>
      </w:r>
      <w:r w:rsidR="00E51E52">
        <w:rPr>
          <w:rFonts w:ascii="Times New Roman" w:hAnsi="Times New Roman"/>
          <w:sz w:val="24"/>
          <w:szCs w:val="24"/>
          <w:lang w:eastAsia="pl-PL"/>
        </w:rPr>
        <w:t>ch</w:t>
      </w:r>
      <w:r>
        <w:rPr>
          <w:rFonts w:ascii="Times New Roman" w:hAnsi="Times New Roman"/>
          <w:sz w:val="24"/>
          <w:szCs w:val="24"/>
          <w:lang w:eastAsia="pl-PL"/>
        </w:rPr>
        <w:t xml:space="preserve"> jak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interleukina-6, białko C-reaktywne, tyreoglobulina nie </w:t>
      </w:r>
      <w:r w:rsidR="00E51E52">
        <w:rPr>
          <w:rFonts w:ascii="Times New Roman" w:hAnsi="Times New Roman"/>
          <w:sz w:val="24"/>
          <w:szCs w:val="24"/>
          <w:lang w:eastAsia="pl-PL"/>
        </w:rPr>
        <w:t>jest</w:t>
      </w:r>
      <w:r>
        <w:rPr>
          <w:rFonts w:ascii="Times New Roman" w:hAnsi="Times New Roman"/>
          <w:sz w:val="24"/>
          <w:szCs w:val="24"/>
          <w:lang w:eastAsia="pl-PL"/>
        </w:rPr>
        <w:t xml:space="preserve"> użyteczne w praktyce klinicznej </w:t>
      </w:r>
      <w:r w:rsidRPr="00BC6F92">
        <w:rPr>
          <w:rFonts w:ascii="Times New Roman" w:hAnsi="Times New Roman"/>
          <w:sz w:val="24"/>
          <w:szCs w:val="24"/>
        </w:rPr>
        <w:t xml:space="preserve">[45]. </w:t>
      </w:r>
      <w:r w:rsidRPr="00CE6BBF">
        <w:rPr>
          <w:rFonts w:ascii="Times New Roman" w:hAnsi="Times New Roman"/>
          <w:sz w:val="24"/>
          <w:szCs w:val="24"/>
        </w:rPr>
        <w:t xml:space="preserve">Wychwyt jodu (RAIU) zwykle jest niski w typie 1 AIT, ale może być </w:t>
      </w:r>
      <w:r w:rsidR="00E51E52">
        <w:rPr>
          <w:rFonts w:ascii="Times New Roman" w:hAnsi="Times New Roman"/>
          <w:sz w:val="24"/>
          <w:szCs w:val="24"/>
        </w:rPr>
        <w:t>prawidłowy</w:t>
      </w:r>
      <w:r w:rsidRPr="00CE6BBF">
        <w:rPr>
          <w:rFonts w:ascii="Times New Roman" w:hAnsi="Times New Roman"/>
          <w:sz w:val="24"/>
          <w:szCs w:val="24"/>
        </w:rPr>
        <w:t xml:space="preserve"> lub podwyższony z powodu obecności autonomicznej tkanki tarczycowej. </w:t>
      </w:r>
      <w:r w:rsidRPr="00673221">
        <w:rPr>
          <w:rFonts w:ascii="Times New Roman" w:hAnsi="Times New Roman"/>
          <w:sz w:val="24"/>
          <w:szCs w:val="24"/>
        </w:rPr>
        <w:t xml:space="preserve">Przeciwnie, w typie 2 wychwyt jest bardzo niski lub całkowicie zahamowany z powodu rozpadu </w:t>
      </w:r>
      <w:r>
        <w:rPr>
          <w:rFonts w:ascii="Times New Roman" w:hAnsi="Times New Roman"/>
          <w:sz w:val="24"/>
          <w:szCs w:val="24"/>
        </w:rPr>
        <w:t xml:space="preserve">i zniszczenia tkanki tarczycowej </w:t>
      </w:r>
      <w:r w:rsidRPr="00673221">
        <w:rPr>
          <w:rFonts w:ascii="Times New Roman" w:hAnsi="Times New Roman"/>
          <w:sz w:val="24"/>
          <w:szCs w:val="24"/>
        </w:rPr>
        <w:t xml:space="preserve">[26]. </w:t>
      </w:r>
      <w:r w:rsidRPr="00647F9C">
        <w:rPr>
          <w:rFonts w:ascii="Times New Roman" w:hAnsi="Times New Roman"/>
          <w:sz w:val="24"/>
          <w:szCs w:val="24"/>
        </w:rPr>
        <w:t>Wyniki dotyczące RAIU różnią się zależnie od publikacji</w:t>
      </w:r>
      <w:r>
        <w:rPr>
          <w:rFonts w:ascii="Times New Roman" w:hAnsi="Times New Roman"/>
          <w:sz w:val="24"/>
          <w:szCs w:val="24"/>
        </w:rPr>
        <w:t>, prawdopodobnie z powodu</w:t>
      </w:r>
      <w:r w:rsidR="00436AB7">
        <w:rPr>
          <w:rFonts w:ascii="Times New Roman" w:hAnsi="Times New Roman"/>
          <w:sz w:val="24"/>
          <w:szCs w:val="24"/>
        </w:rPr>
        <w:t xml:space="preserve"> różnic</w:t>
      </w:r>
      <w:r w:rsidRPr="00647F9C">
        <w:rPr>
          <w:rFonts w:ascii="Times New Roman" w:hAnsi="Times New Roman"/>
          <w:sz w:val="24"/>
          <w:szCs w:val="24"/>
        </w:rPr>
        <w:t xml:space="preserve"> </w:t>
      </w:r>
      <w:r w:rsidR="00436AB7">
        <w:rPr>
          <w:rFonts w:ascii="Times New Roman" w:hAnsi="Times New Roman"/>
          <w:sz w:val="24"/>
          <w:szCs w:val="24"/>
        </w:rPr>
        <w:t xml:space="preserve">w </w:t>
      </w:r>
      <w:r w:rsidRPr="00647F9C">
        <w:rPr>
          <w:rFonts w:ascii="Times New Roman" w:hAnsi="Times New Roman"/>
          <w:sz w:val="24"/>
          <w:szCs w:val="24"/>
        </w:rPr>
        <w:t>kwalifikacji chorych do</w:t>
      </w:r>
      <w:r>
        <w:rPr>
          <w:rFonts w:ascii="Times New Roman" w:hAnsi="Times New Roman"/>
          <w:sz w:val="24"/>
          <w:szCs w:val="24"/>
        </w:rPr>
        <w:t xml:space="preserve"> badań oraz </w:t>
      </w:r>
      <w:r w:rsidR="00436AB7">
        <w:rPr>
          <w:rFonts w:ascii="Times New Roman" w:hAnsi="Times New Roman"/>
          <w:sz w:val="24"/>
          <w:szCs w:val="24"/>
        </w:rPr>
        <w:t xml:space="preserve">obecności </w:t>
      </w:r>
      <w:r>
        <w:rPr>
          <w:rFonts w:ascii="Times New Roman" w:hAnsi="Times New Roman"/>
          <w:sz w:val="24"/>
          <w:szCs w:val="24"/>
        </w:rPr>
        <w:t xml:space="preserve">czynników </w:t>
      </w:r>
      <w:r w:rsidR="00436AB7">
        <w:rPr>
          <w:rFonts w:ascii="Times New Roman" w:hAnsi="Times New Roman"/>
          <w:sz w:val="24"/>
          <w:szCs w:val="24"/>
        </w:rPr>
        <w:t xml:space="preserve">wpływających na wychwyt jodu </w:t>
      </w:r>
      <w:r>
        <w:rPr>
          <w:rFonts w:ascii="Times New Roman" w:hAnsi="Times New Roman"/>
          <w:sz w:val="24"/>
          <w:szCs w:val="24"/>
        </w:rPr>
        <w:t>(np. spożyci</w:t>
      </w:r>
      <w:r w:rsidR="00436AB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jodu), </w:t>
      </w:r>
      <w:r w:rsidR="00436AB7">
        <w:rPr>
          <w:rFonts w:ascii="Times New Roman" w:hAnsi="Times New Roman"/>
          <w:sz w:val="24"/>
          <w:szCs w:val="24"/>
        </w:rPr>
        <w:t>co ostatecznie</w:t>
      </w:r>
      <w:r>
        <w:rPr>
          <w:rFonts w:ascii="Times New Roman" w:hAnsi="Times New Roman"/>
          <w:sz w:val="24"/>
          <w:szCs w:val="24"/>
        </w:rPr>
        <w:t xml:space="preserve"> mogł</w:t>
      </w:r>
      <w:r w:rsidR="00436AB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wpłynąć na wyniki</w:t>
      </w:r>
      <w:r w:rsidRPr="00647F9C">
        <w:rPr>
          <w:rFonts w:ascii="Times New Roman" w:hAnsi="Times New Roman"/>
          <w:sz w:val="24"/>
          <w:szCs w:val="24"/>
        </w:rPr>
        <w:t xml:space="preserve"> [44]. </w:t>
      </w:r>
    </w:p>
    <w:p w14:paraId="0D839815" w14:textId="77777777" w:rsidR="00436AB7" w:rsidRDefault="00F878CA" w:rsidP="00F878CA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09C2">
        <w:rPr>
          <w:rFonts w:ascii="Times New Roman" w:hAnsi="Times New Roman"/>
          <w:sz w:val="24"/>
          <w:szCs w:val="24"/>
          <w:lang w:eastAsia="pl-PL"/>
        </w:rPr>
        <w:t>Ostatnio, scyntygrafia tarczycy z użyciem [99mTc]2-methoxy-isobutyl-isonitrile (MIBI) była proponowana jako badanie potencjalnie po</w:t>
      </w:r>
      <w:r>
        <w:rPr>
          <w:rFonts w:ascii="Times New Roman" w:hAnsi="Times New Roman"/>
          <w:sz w:val="24"/>
          <w:szCs w:val="24"/>
          <w:lang w:eastAsia="pl-PL"/>
        </w:rPr>
        <w:t xml:space="preserve">mocne w różnicowaniu typów AIT </w:t>
      </w:r>
      <w:r w:rsidRPr="000E09C2">
        <w:rPr>
          <w:rFonts w:ascii="Times New Roman" w:hAnsi="Times New Roman"/>
          <w:sz w:val="24"/>
          <w:szCs w:val="24"/>
          <w:lang w:eastAsia="pl-PL"/>
        </w:rPr>
        <w:t xml:space="preserve">[46]. </w:t>
      </w:r>
      <w:r w:rsidRPr="0070493F">
        <w:rPr>
          <w:rFonts w:ascii="Times New Roman" w:hAnsi="Times New Roman"/>
          <w:sz w:val="24"/>
          <w:szCs w:val="24"/>
          <w:lang w:eastAsia="pl-PL"/>
        </w:rPr>
        <w:t>W jednym badaniu stwierdzono obecność wychwytu znacznika w typie 1 AIT, co sugeruje nadczynność tkanki tarczycowej, podczas gdy w typie 2 nie stwier</w:t>
      </w:r>
      <w:r>
        <w:rPr>
          <w:rFonts w:ascii="Times New Roman" w:hAnsi="Times New Roman"/>
          <w:sz w:val="24"/>
          <w:szCs w:val="24"/>
          <w:lang w:eastAsia="pl-PL"/>
        </w:rPr>
        <w:t xml:space="preserve">dzono </w:t>
      </w:r>
      <w:r w:rsidRPr="0070493F">
        <w:rPr>
          <w:rFonts w:ascii="Times New Roman" w:hAnsi="Times New Roman"/>
          <w:sz w:val="24"/>
          <w:szCs w:val="24"/>
          <w:lang w:eastAsia="pl-PL"/>
        </w:rPr>
        <w:t xml:space="preserve">obecności wychwytu MIBI; 4 </w:t>
      </w:r>
      <w:r>
        <w:rPr>
          <w:rFonts w:ascii="Times New Roman" w:hAnsi="Times New Roman"/>
          <w:sz w:val="24"/>
          <w:szCs w:val="24"/>
          <w:lang w:eastAsia="pl-PL"/>
        </w:rPr>
        <w:t xml:space="preserve">pacjentów z nieokreślonym typem AIT miało również nieznaczny, przetrwały wychwyt MIBI oraz szybkie wypłukiwanie znacznika </w:t>
      </w:r>
      <w:r w:rsidRPr="0070493F">
        <w:rPr>
          <w:rFonts w:ascii="Times New Roman" w:hAnsi="Times New Roman"/>
          <w:sz w:val="24"/>
          <w:szCs w:val="24"/>
          <w:lang w:eastAsia="pl-PL"/>
        </w:rPr>
        <w:t xml:space="preserve">[46]. </w:t>
      </w:r>
      <w:r>
        <w:rPr>
          <w:rFonts w:ascii="Times New Roman" w:hAnsi="Times New Roman"/>
          <w:sz w:val="24"/>
          <w:szCs w:val="24"/>
          <w:lang w:eastAsia="pl-PL"/>
        </w:rPr>
        <w:t xml:space="preserve">Mimo obiecujących wyników, badanie wymaga oceny na większej grupie chorych i nie jest jeszcze stosowane w praktyce klinicznej. </w:t>
      </w:r>
    </w:p>
    <w:p w14:paraId="7CFEDE32" w14:textId="0C6E28DC" w:rsidR="00F878CA" w:rsidRPr="00F878CA" w:rsidRDefault="00F878CA" w:rsidP="00F878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0446">
        <w:rPr>
          <w:rFonts w:ascii="Times New Roman" w:hAnsi="Times New Roman"/>
          <w:sz w:val="24"/>
          <w:szCs w:val="24"/>
          <w:lang w:eastAsia="pl-PL"/>
        </w:rPr>
        <w:t xml:space="preserve">USG tarczycy często wykazuje obecność wola, obniżoną </w:t>
      </w:r>
      <w:proofErr w:type="spellStart"/>
      <w:r w:rsidRPr="00120446">
        <w:rPr>
          <w:rFonts w:ascii="Times New Roman" w:hAnsi="Times New Roman"/>
          <w:sz w:val="24"/>
          <w:szCs w:val="24"/>
          <w:lang w:eastAsia="pl-PL"/>
        </w:rPr>
        <w:t>echogeniczność</w:t>
      </w:r>
      <w:proofErr w:type="spellEnd"/>
      <w:r w:rsidRPr="00120446">
        <w:rPr>
          <w:rFonts w:ascii="Times New Roman" w:hAnsi="Times New Roman"/>
          <w:sz w:val="24"/>
          <w:szCs w:val="24"/>
          <w:lang w:eastAsia="pl-PL"/>
        </w:rPr>
        <w:t xml:space="preserve"> i/lub zmiany ogniskowe w typie 1 AIT, zaś w typie 2 AIT obraz tarczycy w badaniu USG jest zwykle prawidłowy lub może występować niewielkie wole. Jednak tradycyjna </w:t>
      </w:r>
      <w:proofErr w:type="spellStart"/>
      <w:r w:rsidRPr="00120446">
        <w:rPr>
          <w:rFonts w:ascii="Times New Roman" w:hAnsi="Times New Roman"/>
          <w:sz w:val="24"/>
          <w:szCs w:val="24"/>
          <w:lang w:eastAsia="pl-PL"/>
        </w:rPr>
        <w:t>sonografia</w:t>
      </w:r>
      <w:proofErr w:type="spellEnd"/>
      <w:r w:rsidRPr="00120446">
        <w:rPr>
          <w:rFonts w:ascii="Times New Roman" w:hAnsi="Times New Roman"/>
          <w:sz w:val="24"/>
          <w:szCs w:val="24"/>
          <w:lang w:eastAsia="pl-PL"/>
        </w:rPr>
        <w:t xml:space="preserve"> nie daje nam informacji dotyczących </w:t>
      </w:r>
      <w:r>
        <w:rPr>
          <w:rFonts w:ascii="Times New Roman" w:hAnsi="Times New Roman"/>
          <w:sz w:val="24"/>
          <w:szCs w:val="24"/>
          <w:lang w:eastAsia="pl-PL"/>
        </w:rPr>
        <w:t xml:space="preserve">czynności gruczołu, zaś obecność wola/guzków nie zawsze przesądza o mechanizmie AIT. </w:t>
      </w:r>
      <w:r w:rsidRPr="005C79E0">
        <w:rPr>
          <w:rFonts w:ascii="Times New Roman" w:hAnsi="Times New Roman"/>
          <w:sz w:val="24"/>
          <w:szCs w:val="24"/>
          <w:lang w:eastAsia="pl-PL"/>
        </w:rPr>
        <w:t xml:space="preserve">Ultrasonografia z użyciem </w:t>
      </w:r>
      <w:proofErr w:type="spellStart"/>
      <w:r w:rsidRPr="005C79E0">
        <w:rPr>
          <w:rFonts w:ascii="Times New Roman" w:hAnsi="Times New Roman"/>
          <w:sz w:val="24"/>
          <w:szCs w:val="24"/>
        </w:rPr>
        <w:t>Doppler’a</w:t>
      </w:r>
      <w:proofErr w:type="spellEnd"/>
      <w:r w:rsidRPr="005C79E0">
        <w:rPr>
          <w:rFonts w:ascii="Times New Roman" w:hAnsi="Times New Roman"/>
          <w:sz w:val="24"/>
          <w:szCs w:val="24"/>
        </w:rPr>
        <w:t xml:space="preserve"> może ujawnić prawidłowy/zwiększony przepływ (w gruczole nadczynnym) w większości przypadków AIT typu 1 lub </w:t>
      </w:r>
      <w:r>
        <w:rPr>
          <w:rFonts w:ascii="Times New Roman" w:hAnsi="Times New Roman"/>
          <w:sz w:val="24"/>
          <w:szCs w:val="24"/>
        </w:rPr>
        <w:t>zmniejszony/</w:t>
      </w:r>
      <w:r w:rsidRPr="005C79E0">
        <w:rPr>
          <w:rFonts w:ascii="Times New Roman" w:hAnsi="Times New Roman"/>
          <w:sz w:val="24"/>
          <w:szCs w:val="24"/>
        </w:rPr>
        <w:t xml:space="preserve">brak przepływu </w:t>
      </w:r>
      <w:r>
        <w:rPr>
          <w:rFonts w:ascii="Times New Roman" w:hAnsi="Times New Roman"/>
          <w:sz w:val="24"/>
          <w:szCs w:val="24"/>
        </w:rPr>
        <w:t xml:space="preserve"> (rozpad gruczołu) w 2 typie </w:t>
      </w:r>
      <w:r w:rsidRPr="005C79E0">
        <w:rPr>
          <w:rFonts w:ascii="Times New Roman" w:hAnsi="Times New Roman"/>
          <w:sz w:val="24"/>
          <w:szCs w:val="24"/>
        </w:rPr>
        <w:t>AIT [</w:t>
      </w:r>
      <w:r w:rsidRPr="005C79E0" w:rsidDel="00B07B3E">
        <w:rPr>
          <w:rFonts w:ascii="Times New Roman" w:hAnsi="Times New Roman"/>
          <w:sz w:val="24"/>
          <w:szCs w:val="24"/>
        </w:rPr>
        <w:t xml:space="preserve"> </w:t>
      </w:r>
      <w:r w:rsidRPr="005C79E0">
        <w:rPr>
          <w:rFonts w:ascii="Times New Roman" w:hAnsi="Times New Roman"/>
          <w:sz w:val="24"/>
          <w:szCs w:val="24"/>
        </w:rPr>
        <w:t xml:space="preserve">47,48]. </w:t>
      </w:r>
      <w:r>
        <w:rPr>
          <w:rFonts w:ascii="Times New Roman" w:hAnsi="Times New Roman"/>
          <w:sz w:val="24"/>
          <w:szCs w:val="24"/>
        </w:rPr>
        <w:t xml:space="preserve">Ocena tarczycy w badaniu USG jest niezbędna dla prawidłowego rozpoznania. </w:t>
      </w:r>
    </w:p>
    <w:p w14:paraId="589F124F" w14:textId="77777777" w:rsidR="00F878CA" w:rsidRPr="005A43CD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A43CD">
        <w:rPr>
          <w:rFonts w:ascii="Times New Roman" w:hAnsi="Times New Roman"/>
          <w:sz w:val="24"/>
          <w:szCs w:val="24"/>
        </w:rPr>
        <w:t xml:space="preserve">Różnicowanie między oboma typami AIT jest ważne, ponieważ ma bezpośredni wpływ na postępowanie z chorym. </w:t>
      </w:r>
      <w:r>
        <w:rPr>
          <w:rFonts w:ascii="Times New Roman" w:hAnsi="Times New Roman"/>
          <w:sz w:val="24"/>
          <w:szCs w:val="24"/>
        </w:rPr>
        <w:t>Zastosowanie kilku narzędzi diagnostycznych poprawia różnicowanie AIT, ale niekiedy może być zawodne.</w:t>
      </w:r>
    </w:p>
    <w:p w14:paraId="698E3B23" w14:textId="77777777" w:rsidR="00F878CA" w:rsidRPr="005A43CD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7F90C6" w14:textId="77777777" w:rsidR="00F878CA" w:rsidRPr="005A43CD" w:rsidRDefault="00F878CA" w:rsidP="00F878CA">
      <w:pPr>
        <w:tabs>
          <w:tab w:val="left" w:pos="16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E1B45B" w14:textId="77777777" w:rsidR="00F878CA" w:rsidRPr="005A43CD" w:rsidRDefault="00F878CA" w:rsidP="00F878CA">
      <w:pPr>
        <w:tabs>
          <w:tab w:val="left" w:pos="16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D0B1EB" w14:textId="77777777" w:rsidR="00F878CA" w:rsidRPr="005A43CD" w:rsidRDefault="00F878CA" w:rsidP="00F878CA">
      <w:pPr>
        <w:tabs>
          <w:tab w:val="left" w:pos="16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2465A50" w14:textId="77777777" w:rsidR="00F878CA" w:rsidRPr="005A43CD" w:rsidRDefault="00F878CA" w:rsidP="00F878CA">
      <w:pPr>
        <w:tabs>
          <w:tab w:val="left" w:pos="16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039604" w14:textId="77777777" w:rsidR="00F878CA" w:rsidRPr="005A43CD" w:rsidRDefault="00F878CA" w:rsidP="00F878CA">
      <w:pPr>
        <w:tabs>
          <w:tab w:val="left" w:pos="16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49EE0F5" w14:textId="77777777" w:rsidR="00F878CA" w:rsidRPr="005A43CD" w:rsidRDefault="00F878CA" w:rsidP="00F878CA">
      <w:pPr>
        <w:tabs>
          <w:tab w:val="left" w:pos="16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E28F81D" w14:textId="77777777" w:rsidR="00F878CA" w:rsidRPr="005A43CD" w:rsidRDefault="00F878CA" w:rsidP="00F878CA">
      <w:pPr>
        <w:tabs>
          <w:tab w:val="left" w:pos="16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C33399" w14:textId="77777777" w:rsidR="00F878CA" w:rsidRPr="00F878CA" w:rsidRDefault="00F878CA" w:rsidP="00F878CA">
      <w:pPr>
        <w:tabs>
          <w:tab w:val="left" w:pos="163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78CA">
        <w:rPr>
          <w:rFonts w:ascii="Times New Roman" w:hAnsi="Times New Roman"/>
          <w:sz w:val="24"/>
          <w:szCs w:val="24"/>
        </w:rPr>
        <w:br w:type="page"/>
      </w:r>
      <w:r w:rsidRPr="00F878CA">
        <w:rPr>
          <w:rFonts w:ascii="Times New Roman" w:hAnsi="Times New Roman"/>
          <w:sz w:val="24"/>
          <w:szCs w:val="24"/>
        </w:rPr>
        <w:lastRenderedPageBreak/>
        <w:t xml:space="preserve">Tabela 3. Różnicowanie 1 i 2 typu AIT.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149"/>
        <w:gridCol w:w="3070"/>
      </w:tblGrid>
      <w:tr w:rsidR="00F878CA" w:rsidRPr="005A43CD" w14:paraId="53B3C6C5" w14:textId="77777777" w:rsidTr="00F445C7">
        <w:tc>
          <w:tcPr>
            <w:tcW w:w="3070" w:type="dxa"/>
          </w:tcPr>
          <w:p w14:paraId="6F9F3DDC" w14:textId="77777777" w:rsidR="00F878CA" w:rsidRPr="00F878CA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B15137D" w14:textId="77777777" w:rsidR="00F878CA" w:rsidRPr="005A43CD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Typ</w:t>
            </w:r>
            <w:r w:rsidRPr="005A43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AIT</w:t>
            </w:r>
          </w:p>
        </w:tc>
        <w:tc>
          <w:tcPr>
            <w:tcW w:w="3071" w:type="dxa"/>
          </w:tcPr>
          <w:p w14:paraId="029971EA" w14:textId="77777777" w:rsidR="00F878CA" w:rsidRPr="005A43CD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Typ</w:t>
            </w:r>
            <w:proofErr w:type="spellEnd"/>
            <w:r w:rsidRPr="005A43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AIT</w:t>
            </w:r>
          </w:p>
        </w:tc>
      </w:tr>
      <w:tr w:rsidR="00F878CA" w:rsidRPr="00DA4C4F" w14:paraId="6783E799" w14:textId="77777777" w:rsidTr="00F445C7">
        <w:tc>
          <w:tcPr>
            <w:tcW w:w="3070" w:type="dxa"/>
          </w:tcPr>
          <w:p w14:paraId="32DD4637" w14:textId="77777777" w:rsidR="00F878CA" w:rsidRPr="005A43CD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Obecność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wcześniejszej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patologii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tarczycy</w:t>
            </w:r>
            <w:proofErr w:type="spellEnd"/>
          </w:p>
        </w:tc>
        <w:tc>
          <w:tcPr>
            <w:tcW w:w="3071" w:type="dxa"/>
          </w:tcPr>
          <w:p w14:paraId="6DDB83DE" w14:textId="77777777" w:rsidR="00F878CA" w:rsidRPr="005A43CD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Tak</w:t>
            </w:r>
            <w:proofErr w:type="spellEnd"/>
          </w:p>
        </w:tc>
        <w:tc>
          <w:tcPr>
            <w:tcW w:w="3071" w:type="dxa"/>
          </w:tcPr>
          <w:p w14:paraId="195EDE53" w14:textId="77777777" w:rsidR="00F878CA" w:rsidRPr="00DA4C4F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C4F">
              <w:rPr>
                <w:rFonts w:ascii="Times New Roman" w:hAnsi="Times New Roman"/>
                <w:sz w:val="24"/>
                <w:szCs w:val="24"/>
              </w:rPr>
              <w:t xml:space="preserve">Nie (małe wole może być obecne)  </w:t>
            </w:r>
          </w:p>
        </w:tc>
      </w:tr>
      <w:tr w:rsidR="00F878CA" w:rsidRPr="0068648E" w14:paraId="20FC35BD" w14:textId="77777777" w:rsidTr="00F445C7">
        <w:tc>
          <w:tcPr>
            <w:tcW w:w="3070" w:type="dxa"/>
          </w:tcPr>
          <w:p w14:paraId="4A58C36E" w14:textId="77777777" w:rsidR="00F878CA" w:rsidRPr="005A43CD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Mechanizm</w:t>
            </w:r>
          </w:p>
        </w:tc>
        <w:tc>
          <w:tcPr>
            <w:tcW w:w="3071" w:type="dxa"/>
          </w:tcPr>
          <w:p w14:paraId="4A4E2D8D" w14:textId="77777777" w:rsidR="00F878CA" w:rsidRPr="00FE5096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96">
              <w:rPr>
                <w:rFonts w:ascii="Times New Roman" w:hAnsi="Times New Roman"/>
                <w:sz w:val="24"/>
                <w:szCs w:val="24"/>
              </w:rPr>
              <w:t>Nadmierna produkcja hormonów tarczycowych (prawdziwa nadczynność tarczycy)</w:t>
            </w:r>
          </w:p>
        </w:tc>
        <w:tc>
          <w:tcPr>
            <w:tcW w:w="3071" w:type="dxa"/>
          </w:tcPr>
          <w:p w14:paraId="343644DA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Destrukcja tarczycy (zapalenie tarczycy z rozpadem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878CA" w:rsidRPr="00FE5096" w14:paraId="632C79CF" w14:textId="77777777" w:rsidTr="00F445C7">
        <w:tc>
          <w:tcPr>
            <w:tcW w:w="3070" w:type="dxa"/>
          </w:tcPr>
          <w:p w14:paraId="06A665A3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Występowanie</w:t>
            </w:r>
          </w:p>
        </w:tc>
        <w:tc>
          <w:tcPr>
            <w:tcW w:w="3071" w:type="dxa"/>
          </w:tcPr>
          <w:p w14:paraId="3895C6C0" w14:textId="77777777" w:rsidR="00F878CA" w:rsidRPr="00FE5096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5096">
              <w:rPr>
                <w:rFonts w:ascii="Times New Roman" w:hAnsi="Times New Roman"/>
                <w:sz w:val="24"/>
                <w:szCs w:val="24"/>
              </w:rPr>
              <w:t>Cześciej</w:t>
            </w:r>
            <w:proofErr w:type="spellEnd"/>
            <w:r w:rsidRPr="00FE5096">
              <w:rPr>
                <w:rFonts w:ascii="Times New Roman" w:hAnsi="Times New Roman"/>
                <w:sz w:val="24"/>
                <w:szCs w:val="24"/>
              </w:rPr>
              <w:t xml:space="preserve"> obecne na terenie niedoboru jodu</w:t>
            </w:r>
          </w:p>
        </w:tc>
        <w:tc>
          <w:tcPr>
            <w:tcW w:w="3071" w:type="dxa"/>
          </w:tcPr>
          <w:p w14:paraId="64F697DA" w14:textId="77777777" w:rsidR="00F878CA" w:rsidRPr="00FE5096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096">
              <w:rPr>
                <w:rFonts w:ascii="Times New Roman" w:hAnsi="Times New Roman"/>
                <w:sz w:val="24"/>
                <w:szCs w:val="24"/>
              </w:rPr>
              <w:t>Częściej obecne na terenach z wystarczającą podażą jodu</w:t>
            </w:r>
          </w:p>
        </w:tc>
      </w:tr>
      <w:tr w:rsidR="00F878CA" w:rsidRPr="0068648E" w14:paraId="37F3BBFB" w14:textId="77777777" w:rsidTr="00F445C7">
        <w:tc>
          <w:tcPr>
            <w:tcW w:w="3070" w:type="dxa"/>
          </w:tcPr>
          <w:p w14:paraId="3C49DE74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Okres przyjmowania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amiodaronu</w:t>
            </w:r>
            <w:proofErr w:type="spellEnd"/>
          </w:p>
        </w:tc>
        <w:tc>
          <w:tcPr>
            <w:tcW w:w="3071" w:type="dxa"/>
          </w:tcPr>
          <w:p w14:paraId="78E7E353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Zwykle krótszy (&lt;1-2 lat)</w:t>
            </w:r>
          </w:p>
        </w:tc>
        <w:tc>
          <w:tcPr>
            <w:tcW w:w="3071" w:type="dxa"/>
          </w:tcPr>
          <w:p w14:paraId="7308E986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Zwykle dłuższy (&gt;2 lat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878CA" w:rsidRPr="0068648E" w14:paraId="783CDCBD" w14:textId="77777777" w:rsidTr="00F445C7">
        <w:tc>
          <w:tcPr>
            <w:tcW w:w="3070" w:type="dxa"/>
          </w:tcPr>
          <w:p w14:paraId="1C7F613B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Morfologia tarczycy</w:t>
            </w:r>
          </w:p>
        </w:tc>
        <w:tc>
          <w:tcPr>
            <w:tcW w:w="3071" w:type="dxa"/>
          </w:tcPr>
          <w:p w14:paraId="5DC1CE20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Wole wieloguzkowe lub rozlane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14:paraId="6F0D9C94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Okazjonalnie małe wole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78CA" w:rsidRPr="0068648E" w14:paraId="243A94B6" w14:textId="77777777" w:rsidTr="00F445C7">
        <w:tc>
          <w:tcPr>
            <w:tcW w:w="3070" w:type="dxa"/>
          </w:tcPr>
          <w:p w14:paraId="51ED2BFB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Wychwyt jodu</w:t>
            </w:r>
          </w:p>
        </w:tc>
        <w:tc>
          <w:tcPr>
            <w:tcW w:w="3071" w:type="dxa"/>
          </w:tcPr>
          <w:p w14:paraId="12BD16A0" w14:textId="5AC548DD" w:rsidR="00F878CA" w:rsidRPr="0068648E" w:rsidRDefault="00F878CA" w:rsidP="00E5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Niski/</w:t>
            </w:r>
            <w:r w:rsidR="00E51E52">
              <w:rPr>
                <w:rFonts w:ascii="Times New Roman" w:hAnsi="Times New Roman"/>
                <w:sz w:val="24"/>
                <w:szCs w:val="24"/>
              </w:rPr>
              <w:t>prawidłow</w:t>
            </w:r>
            <w:r>
              <w:rPr>
                <w:rFonts w:ascii="Times New Roman" w:hAnsi="Times New Roman"/>
                <w:sz w:val="24"/>
                <w:szCs w:val="24"/>
              </w:rPr>
              <w:t>y/zwiększony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14:paraId="7B19B4D0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Niski/brak</w:t>
            </w:r>
          </w:p>
        </w:tc>
      </w:tr>
      <w:tr w:rsidR="00F878CA" w:rsidRPr="0068648E" w14:paraId="373F6045" w14:textId="77777777" w:rsidTr="00F445C7">
        <w:tc>
          <w:tcPr>
            <w:tcW w:w="3070" w:type="dxa"/>
          </w:tcPr>
          <w:p w14:paraId="7667DB69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648E">
              <w:rPr>
                <w:rFonts w:ascii="Times New Roman" w:hAnsi="Times New Roman"/>
                <w:sz w:val="24"/>
                <w:szCs w:val="24"/>
              </w:rPr>
              <w:t>MIBI</w:t>
            </w:r>
          </w:p>
        </w:tc>
        <w:tc>
          <w:tcPr>
            <w:tcW w:w="3071" w:type="dxa"/>
          </w:tcPr>
          <w:p w14:paraId="09594E6C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Retencja znacznika w tarczycy</w:t>
            </w:r>
          </w:p>
        </w:tc>
        <w:tc>
          <w:tcPr>
            <w:tcW w:w="3071" w:type="dxa"/>
          </w:tcPr>
          <w:p w14:paraId="422241B4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Brak wychwytu</w:t>
            </w:r>
          </w:p>
        </w:tc>
      </w:tr>
      <w:tr w:rsidR="00F878CA" w:rsidRPr="0068648E" w14:paraId="6A537A44" w14:textId="77777777" w:rsidTr="00F445C7">
        <w:tc>
          <w:tcPr>
            <w:tcW w:w="3070" w:type="dxa"/>
          </w:tcPr>
          <w:p w14:paraId="155D14A8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Stosunek T4/T3</w:t>
            </w:r>
          </w:p>
        </w:tc>
        <w:tc>
          <w:tcPr>
            <w:tcW w:w="3071" w:type="dxa"/>
          </w:tcPr>
          <w:p w14:paraId="2EEE1F7D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Zwykle 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 xml:space="preserve"> &lt;4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14:paraId="003AC991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Zwykle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 xml:space="preserve"> &gt;4</w:t>
            </w:r>
          </w:p>
        </w:tc>
      </w:tr>
      <w:tr w:rsidR="00F878CA" w:rsidRPr="0068648E" w14:paraId="4CA95999" w14:textId="77777777" w:rsidTr="00F445C7">
        <w:tc>
          <w:tcPr>
            <w:tcW w:w="3070" w:type="dxa"/>
          </w:tcPr>
          <w:p w14:paraId="1F86848F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Przeciwciała przeciwtarczycowe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8648E">
              <w:rPr>
                <w:rFonts w:ascii="Times New Roman" w:hAnsi="Times New Roman"/>
                <w:sz w:val="24"/>
                <w:szCs w:val="24"/>
              </w:rPr>
              <w:t>TRAb</w:t>
            </w:r>
            <w:proofErr w:type="spellEnd"/>
          </w:p>
        </w:tc>
        <w:tc>
          <w:tcPr>
            <w:tcW w:w="3071" w:type="dxa"/>
          </w:tcPr>
          <w:p w14:paraId="06981B7F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Obecne w chorobie Gravesa i Basedowa</w:t>
            </w:r>
          </w:p>
        </w:tc>
        <w:tc>
          <w:tcPr>
            <w:tcW w:w="3071" w:type="dxa"/>
          </w:tcPr>
          <w:p w14:paraId="14639DCC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Zwykle nieobecne</w:t>
            </w:r>
          </w:p>
        </w:tc>
      </w:tr>
      <w:tr w:rsidR="00F878CA" w:rsidRPr="0068648E" w14:paraId="51477C66" w14:textId="77777777" w:rsidTr="00F445C7">
        <w:tc>
          <w:tcPr>
            <w:tcW w:w="3070" w:type="dxa"/>
          </w:tcPr>
          <w:p w14:paraId="17DF2F28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Samoistna remisja</w:t>
            </w:r>
          </w:p>
        </w:tc>
        <w:tc>
          <w:tcPr>
            <w:tcW w:w="3071" w:type="dxa"/>
          </w:tcPr>
          <w:p w14:paraId="6820CC93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Brak</w:t>
            </w:r>
          </w:p>
        </w:tc>
        <w:tc>
          <w:tcPr>
            <w:tcW w:w="3071" w:type="dxa"/>
          </w:tcPr>
          <w:p w14:paraId="4D550256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Możliwa</w:t>
            </w:r>
          </w:p>
        </w:tc>
      </w:tr>
      <w:tr w:rsidR="00F878CA" w:rsidRPr="00FA4A9E" w14:paraId="7851B50A" w14:textId="77777777" w:rsidTr="00F445C7">
        <w:tc>
          <w:tcPr>
            <w:tcW w:w="3070" w:type="dxa"/>
          </w:tcPr>
          <w:p w14:paraId="3E7C491E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USG tarczycy</w:t>
            </w:r>
          </w:p>
        </w:tc>
        <w:tc>
          <w:tcPr>
            <w:tcW w:w="3071" w:type="dxa"/>
          </w:tcPr>
          <w:p w14:paraId="410DEB99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Obecność guzków lub wole rozlane</w:t>
            </w:r>
          </w:p>
        </w:tc>
        <w:tc>
          <w:tcPr>
            <w:tcW w:w="3071" w:type="dxa"/>
          </w:tcPr>
          <w:p w14:paraId="4E143568" w14:textId="77777777" w:rsidR="00F878CA" w:rsidRPr="00FA4A9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Prawidłowa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hipoechogeniczna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)/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małe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wole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878CA" w:rsidRPr="0068648E" w14:paraId="79D06609" w14:textId="77777777" w:rsidTr="00F445C7">
        <w:tc>
          <w:tcPr>
            <w:tcW w:w="3070" w:type="dxa"/>
          </w:tcPr>
          <w:p w14:paraId="719B2DCD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Badanie z użyciem Dopplera</w:t>
            </w:r>
          </w:p>
        </w:tc>
        <w:tc>
          <w:tcPr>
            <w:tcW w:w="3071" w:type="dxa"/>
          </w:tcPr>
          <w:p w14:paraId="69390456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Zwiększone unaczynienie</w:t>
            </w:r>
          </w:p>
        </w:tc>
        <w:tc>
          <w:tcPr>
            <w:tcW w:w="3071" w:type="dxa"/>
          </w:tcPr>
          <w:p w14:paraId="4B68429D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Brak unaczynienia</w:t>
            </w:r>
            <w:r w:rsidRPr="006864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878CA" w:rsidRPr="0068648E" w14:paraId="7DE26371" w14:textId="77777777" w:rsidTr="00F445C7">
        <w:tc>
          <w:tcPr>
            <w:tcW w:w="3070" w:type="dxa"/>
          </w:tcPr>
          <w:p w14:paraId="4AE761C7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Preferowany rodzaj terapii</w:t>
            </w:r>
          </w:p>
        </w:tc>
        <w:tc>
          <w:tcPr>
            <w:tcW w:w="3071" w:type="dxa"/>
          </w:tcPr>
          <w:p w14:paraId="299EE889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Leczenie przeciwtarczycowe</w:t>
            </w:r>
          </w:p>
        </w:tc>
        <w:tc>
          <w:tcPr>
            <w:tcW w:w="3071" w:type="dxa"/>
          </w:tcPr>
          <w:p w14:paraId="504B900F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Sterydy</w:t>
            </w:r>
          </w:p>
        </w:tc>
      </w:tr>
      <w:tr w:rsidR="00F878CA" w:rsidRPr="0068648E" w14:paraId="37CA4B34" w14:textId="77777777" w:rsidTr="00F445C7">
        <w:tc>
          <w:tcPr>
            <w:tcW w:w="3070" w:type="dxa"/>
          </w:tcPr>
          <w:p w14:paraId="710DD7A4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Następowa niedoczynność tarczycy</w:t>
            </w:r>
          </w:p>
        </w:tc>
        <w:tc>
          <w:tcPr>
            <w:tcW w:w="3071" w:type="dxa"/>
          </w:tcPr>
          <w:p w14:paraId="3B169681" w14:textId="77777777" w:rsidR="00F878CA" w:rsidRPr="0068648E" w:rsidRDefault="00F878CA" w:rsidP="00F445C7">
            <w:pPr>
              <w:tabs>
                <w:tab w:val="left" w:pos="15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Raczej nie</w:t>
            </w:r>
          </w:p>
        </w:tc>
        <w:tc>
          <w:tcPr>
            <w:tcW w:w="3071" w:type="dxa"/>
          </w:tcPr>
          <w:p w14:paraId="6C98AA4D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Możliwe </w:t>
            </w:r>
          </w:p>
        </w:tc>
      </w:tr>
      <w:tr w:rsidR="00F878CA" w:rsidRPr="0068648E" w14:paraId="15B04B0C" w14:textId="77777777" w:rsidTr="00F445C7">
        <w:tc>
          <w:tcPr>
            <w:tcW w:w="3070" w:type="dxa"/>
          </w:tcPr>
          <w:p w14:paraId="66B3CDD9" w14:textId="77777777" w:rsidR="00F878CA" w:rsidRPr="00FA4A9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Późniejsze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leczenie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choroby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tarczycy</w:t>
            </w:r>
            <w:proofErr w:type="spellEnd"/>
          </w:p>
        </w:tc>
        <w:tc>
          <w:tcPr>
            <w:tcW w:w="3071" w:type="dxa"/>
          </w:tcPr>
          <w:p w14:paraId="1AECF45F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Prawdopodobne</w:t>
            </w:r>
          </w:p>
        </w:tc>
        <w:tc>
          <w:tcPr>
            <w:tcW w:w="3071" w:type="dxa"/>
          </w:tcPr>
          <w:p w14:paraId="0F67A1A1" w14:textId="77777777" w:rsidR="00F878CA" w:rsidRPr="0068648E" w:rsidRDefault="00F878CA" w:rsidP="00F4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Nie </w:t>
            </w:r>
          </w:p>
        </w:tc>
      </w:tr>
    </w:tbl>
    <w:p w14:paraId="273BCF9F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221E1F"/>
          <w:sz w:val="24"/>
          <w:szCs w:val="24"/>
          <w:lang w:eastAsia="pl-PL"/>
        </w:rPr>
      </w:pPr>
    </w:p>
    <w:p w14:paraId="3C98CC72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E80868" w14:textId="77777777" w:rsidR="00F878CA" w:rsidRPr="0068648E" w:rsidRDefault="00F878CA" w:rsidP="00F878CA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Postępowanie w nadczynności tarczycy indukowanej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amiodaronem</w:t>
      </w:r>
      <w:proofErr w:type="spellEnd"/>
    </w:p>
    <w:p w14:paraId="7C975332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5FA810" w14:textId="1CE8C6B2" w:rsidR="00F878CA" w:rsidRPr="00DC5008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9225B">
        <w:rPr>
          <w:rFonts w:ascii="Times New Roman" w:hAnsi="Times New Roman"/>
          <w:sz w:val="24"/>
          <w:szCs w:val="24"/>
        </w:rPr>
        <w:t>AIT niesie za sobą trzy razy większe ryzyko ciężkich powikłań sercowo-naczyniowy</w:t>
      </w:r>
      <w:r>
        <w:rPr>
          <w:rFonts w:ascii="Times New Roman" w:hAnsi="Times New Roman"/>
          <w:sz w:val="24"/>
          <w:szCs w:val="24"/>
        </w:rPr>
        <w:t xml:space="preserve">ch niż u osób w </w:t>
      </w:r>
      <w:proofErr w:type="spellStart"/>
      <w:r>
        <w:rPr>
          <w:rFonts w:ascii="Times New Roman" w:hAnsi="Times New Roman"/>
          <w:sz w:val="24"/>
          <w:szCs w:val="24"/>
        </w:rPr>
        <w:t>eutyreozie</w:t>
      </w:r>
      <w:proofErr w:type="spellEnd"/>
      <w:r>
        <w:rPr>
          <w:rFonts w:ascii="Times New Roman" w:hAnsi="Times New Roman"/>
          <w:sz w:val="24"/>
          <w:szCs w:val="24"/>
        </w:rPr>
        <w:t>, z tego powodu</w:t>
      </w:r>
      <w:r w:rsidRPr="0019225B">
        <w:rPr>
          <w:rFonts w:ascii="Times New Roman" w:hAnsi="Times New Roman"/>
          <w:sz w:val="24"/>
          <w:szCs w:val="24"/>
        </w:rPr>
        <w:t xml:space="preserve"> </w:t>
      </w:r>
      <w:r w:rsidR="00436AB7">
        <w:rPr>
          <w:rFonts w:ascii="Times New Roman" w:hAnsi="Times New Roman"/>
          <w:sz w:val="24"/>
          <w:szCs w:val="24"/>
        </w:rPr>
        <w:t xml:space="preserve">najważniejsze jest </w:t>
      </w:r>
      <w:r w:rsidRPr="0019225B">
        <w:rPr>
          <w:rFonts w:ascii="Times New Roman" w:hAnsi="Times New Roman"/>
          <w:sz w:val="24"/>
          <w:szCs w:val="24"/>
        </w:rPr>
        <w:t>szybkie włącz</w:t>
      </w:r>
      <w:r>
        <w:rPr>
          <w:rFonts w:ascii="Times New Roman" w:hAnsi="Times New Roman"/>
          <w:sz w:val="24"/>
          <w:szCs w:val="24"/>
        </w:rPr>
        <w:t>enie</w:t>
      </w:r>
      <w:r w:rsidR="00436AB7">
        <w:rPr>
          <w:rFonts w:ascii="Times New Roman" w:hAnsi="Times New Roman"/>
          <w:sz w:val="24"/>
          <w:szCs w:val="24"/>
        </w:rPr>
        <w:t xml:space="preserve"> odpowiedniego</w:t>
      </w:r>
      <w:r>
        <w:rPr>
          <w:rFonts w:ascii="Times New Roman" w:hAnsi="Times New Roman"/>
          <w:sz w:val="24"/>
          <w:szCs w:val="24"/>
        </w:rPr>
        <w:t xml:space="preserve"> leczenia</w:t>
      </w:r>
      <w:r w:rsidRPr="0019225B">
        <w:rPr>
          <w:rFonts w:ascii="Times New Roman" w:hAnsi="Times New Roman"/>
          <w:sz w:val="24"/>
          <w:szCs w:val="24"/>
        </w:rPr>
        <w:t xml:space="preserve"> [38,49,50]. </w:t>
      </w:r>
      <w:r w:rsidRPr="00C43BE9">
        <w:rPr>
          <w:rFonts w:ascii="Times New Roman" w:hAnsi="Times New Roman"/>
          <w:sz w:val="24"/>
          <w:szCs w:val="24"/>
        </w:rPr>
        <w:t>Decyzja dotycząca kontynuowania lub zaprzesta</w:t>
      </w:r>
      <w:r w:rsidR="00E61F84">
        <w:rPr>
          <w:rFonts w:ascii="Times New Roman" w:hAnsi="Times New Roman"/>
          <w:sz w:val="24"/>
          <w:szCs w:val="24"/>
        </w:rPr>
        <w:t>nia stosowania AMIO jest trudna i</w:t>
      </w:r>
      <w:r w:rsidRPr="00C43BE9">
        <w:rPr>
          <w:rFonts w:ascii="Times New Roman" w:hAnsi="Times New Roman"/>
          <w:sz w:val="24"/>
          <w:szCs w:val="24"/>
        </w:rPr>
        <w:t xml:space="preserve"> nie </w:t>
      </w:r>
      <w:r>
        <w:rPr>
          <w:rFonts w:ascii="Times New Roman" w:hAnsi="Times New Roman"/>
          <w:sz w:val="24"/>
          <w:szCs w:val="24"/>
        </w:rPr>
        <w:t xml:space="preserve">ma w tym względzie </w:t>
      </w:r>
      <w:r w:rsidR="00E61F84">
        <w:rPr>
          <w:rFonts w:ascii="Times New Roman" w:hAnsi="Times New Roman"/>
          <w:sz w:val="24"/>
          <w:szCs w:val="24"/>
        </w:rPr>
        <w:t>jednoznacznego konsensusu</w:t>
      </w:r>
      <w:r>
        <w:rPr>
          <w:rFonts w:ascii="Times New Roman" w:hAnsi="Times New Roman"/>
          <w:sz w:val="24"/>
          <w:szCs w:val="24"/>
        </w:rPr>
        <w:t xml:space="preserve">. </w:t>
      </w:r>
      <w:r w:rsidR="00E61F84">
        <w:rPr>
          <w:rFonts w:ascii="Times New Roman" w:hAnsi="Times New Roman"/>
          <w:sz w:val="24"/>
          <w:szCs w:val="24"/>
        </w:rPr>
        <w:t xml:space="preserve">Przy podejmowaniu decyzji </w:t>
      </w:r>
      <w:r>
        <w:rPr>
          <w:rFonts w:ascii="Times New Roman" w:hAnsi="Times New Roman"/>
          <w:sz w:val="24"/>
          <w:szCs w:val="24"/>
        </w:rPr>
        <w:t xml:space="preserve"> </w:t>
      </w:r>
      <w:r w:rsidR="00E61F84">
        <w:rPr>
          <w:rFonts w:ascii="Times New Roman" w:hAnsi="Times New Roman"/>
          <w:sz w:val="24"/>
          <w:szCs w:val="24"/>
        </w:rPr>
        <w:t xml:space="preserve">z jednej strony </w:t>
      </w:r>
      <w:r w:rsidR="00F20671">
        <w:rPr>
          <w:rFonts w:ascii="Times New Roman" w:hAnsi="Times New Roman"/>
          <w:sz w:val="24"/>
          <w:szCs w:val="24"/>
        </w:rPr>
        <w:t xml:space="preserve">należy </w:t>
      </w:r>
      <w:r w:rsidR="00E61F84">
        <w:rPr>
          <w:rFonts w:ascii="Times New Roman" w:hAnsi="Times New Roman"/>
          <w:sz w:val="24"/>
          <w:szCs w:val="24"/>
        </w:rPr>
        <w:t xml:space="preserve">brać pod uwagę </w:t>
      </w:r>
      <w:r>
        <w:rPr>
          <w:rFonts w:ascii="Times New Roman" w:hAnsi="Times New Roman"/>
          <w:sz w:val="24"/>
          <w:szCs w:val="24"/>
        </w:rPr>
        <w:t xml:space="preserve">pozytywny efekt AMIO na zagrażające życiu zaburzenia rytmu serca, </w:t>
      </w:r>
      <w:r w:rsidR="00F20671">
        <w:rPr>
          <w:rFonts w:ascii="Times New Roman" w:hAnsi="Times New Roman"/>
          <w:sz w:val="24"/>
          <w:szCs w:val="24"/>
        </w:rPr>
        <w:t xml:space="preserve">z drugiej strony </w:t>
      </w:r>
      <w:r>
        <w:rPr>
          <w:rFonts w:ascii="Times New Roman" w:hAnsi="Times New Roman"/>
          <w:sz w:val="24"/>
          <w:szCs w:val="24"/>
        </w:rPr>
        <w:t xml:space="preserve">należy </w:t>
      </w:r>
      <w:r w:rsidR="00E61F84">
        <w:rPr>
          <w:rFonts w:ascii="Times New Roman" w:hAnsi="Times New Roman"/>
          <w:sz w:val="24"/>
          <w:szCs w:val="24"/>
        </w:rPr>
        <w:t xml:space="preserve">również </w:t>
      </w:r>
      <w:r>
        <w:rPr>
          <w:rFonts w:ascii="Times New Roman" w:hAnsi="Times New Roman"/>
          <w:sz w:val="24"/>
          <w:szCs w:val="24"/>
        </w:rPr>
        <w:t>pamiętać, że AMIO ma długi okres półtrwania (dlatego brak jest natychmiastowej poprawy w zakresie czynności tarczycy po jego odstawieniu)</w:t>
      </w:r>
      <w:r w:rsidR="00F20671">
        <w:rPr>
          <w:rFonts w:ascii="Times New Roman" w:hAnsi="Times New Roman"/>
          <w:sz w:val="24"/>
          <w:szCs w:val="24"/>
        </w:rPr>
        <w:t xml:space="preserve">, oraz dodatkowo zmniejsza on konwersję T4 do T3. Z tego powodu </w:t>
      </w:r>
      <w:r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lastRenderedPageBreak/>
        <w:t>odstawieniu AMIO może się</w:t>
      </w:r>
      <w:r w:rsidR="00E61F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pojawić </w:t>
      </w:r>
      <w:r w:rsidR="00F20671">
        <w:rPr>
          <w:rFonts w:ascii="Times New Roman" w:hAnsi="Times New Roman"/>
          <w:sz w:val="24"/>
          <w:szCs w:val="24"/>
        </w:rPr>
        <w:t xml:space="preserve">zaostrzenie objawów sercowych oraz nasilenie objawów nadczynności tarczycy </w:t>
      </w:r>
      <w:r w:rsidRPr="00DC5008">
        <w:rPr>
          <w:rFonts w:ascii="Times New Roman" w:hAnsi="Times New Roman"/>
          <w:sz w:val="24"/>
          <w:szCs w:val="24"/>
        </w:rPr>
        <w:t>[38,51].</w:t>
      </w:r>
    </w:p>
    <w:p w14:paraId="74BF543D" w14:textId="53576425" w:rsidR="00F878CA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A5E57">
        <w:rPr>
          <w:rFonts w:ascii="Times New Roman" w:hAnsi="Times New Roman"/>
          <w:sz w:val="24"/>
          <w:szCs w:val="24"/>
        </w:rPr>
        <w:t>Istotne jest również, że DEA wiąże się z wewnąt</w:t>
      </w:r>
      <w:r w:rsidR="00E61F84">
        <w:rPr>
          <w:rFonts w:ascii="Times New Roman" w:hAnsi="Times New Roman"/>
          <w:sz w:val="24"/>
          <w:szCs w:val="24"/>
        </w:rPr>
        <w:t>rzkomórkowym receptorem dla T3 i</w:t>
      </w:r>
      <w:r w:rsidRPr="003A5E57">
        <w:rPr>
          <w:rFonts w:ascii="Times New Roman" w:hAnsi="Times New Roman"/>
          <w:sz w:val="24"/>
          <w:szCs w:val="24"/>
        </w:rPr>
        <w:t xml:space="preserve"> działa jako antagonista</w:t>
      </w:r>
      <w:r w:rsidR="00E61F84" w:rsidRPr="00E61F84">
        <w:rPr>
          <w:rFonts w:ascii="Times New Roman" w:hAnsi="Times New Roman"/>
          <w:sz w:val="24"/>
          <w:szCs w:val="24"/>
        </w:rPr>
        <w:t xml:space="preserve"> </w:t>
      </w:r>
      <w:r w:rsidR="00E61F84" w:rsidRPr="003A5E57">
        <w:rPr>
          <w:rFonts w:ascii="Times New Roman" w:hAnsi="Times New Roman"/>
          <w:sz w:val="24"/>
          <w:szCs w:val="24"/>
        </w:rPr>
        <w:t>T3</w:t>
      </w:r>
      <w:r w:rsidRPr="003A5E57">
        <w:rPr>
          <w:rFonts w:ascii="Times New Roman" w:hAnsi="Times New Roman"/>
          <w:sz w:val="24"/>
          <w:szCs w:val="24"/>
        </w:rPr>
        <w:t xml:space="preserve">, stąd kontynuowanie stosowania AMIO </w:t>
      </w:r>
      <w:r>
        <w:rPr>
          <w:rFonts w:ascii="Times New Roman" w:hAnsi="Times New Roman"/>
          <w:sz w:val="24"/>
          <w:szCs w:val="24"/>
        </w:rPr>
        <w:t>i</w:t>
      </w:r>
      <w:r w:rsidRPr="003A5E57">
        <w:rPr>
          <w:rFonts w:ascii="Times New Roman" w:hAnsi="Times New Roman"/>
          <w:sz w:val="24"/>
          <w:szCs w:val="24"/>
        </w:rPr>
        <w:t xml:space="preserve"> leczenie lekami przeciwtarczycowymi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ATDs</w:t>
      </w:r>
      <w:proofErr w:type="spellEnd"/>
      <w:r>
        <w:rPr>
          <w:rFonts w:ascii="Times New Roman" w:hAnsi="Times New Roman"/>
          <w:sz w:val="24"/>
          <w:szCs w:val="24"/>
        </w:rPr>
        <w:t xml:space="preserve">) może być jedyną opcją u niektórych chorych </w:t>
      </w:r>
      <w:r w:rsidRPr="003A5E57">
        <w:rPr>
          <w:rFonts w:ascii="Times New Roman" w:hAnsi="Times New Roman"/>
          <w:sz w:val="24"/>
          <w:szCs w:val="24"/>
        </w:rPr>
        <w:t xml:space="preserve">[19]. </w:t>
      </w:r>
    </w:p>
    <w:p w14:paraId="291B56D5" w14:textId="77777777" w:rsidR="00F20671" w:rsidRPr="003A5E57" w:rsidRDefault="00F20671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EB897C7" w14:textId="6D15FBAD" w:rsidR="00F878CA" w:rsidRPr="00F20671" w:rsidRDefault="00F878CA" w:rsidP="00F878CA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1 AIT</w:t>
      </w:r>
    </w:p>
    <w:p w14:paraId="1AA37BBF" w14:textId="2AFF14DA" w:rsidR="00F878CA" w:rsidRPr="00F878CA" w:rsidRDefault="00F878CA" w:rsidP="00F878CA">
      <w:pPr>
        <w:pStyle w:val="HTML-wstpniesformatowany"/>
        <w:spacing w:line="36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C91B73">
        <w:rPr>
          <w:rFonts w:ascii="Times New Roman" w:hAnsi="Times New Roman"/>
          <w:sz w:val="24"/>
          <w:szCs w:val="24"/>
          <w:lang w:val="pl-PL"/>
        </w:rPr>
        <w:t>Postępowanie w typie 1 AIT jest oparte na stosowaniu leków przeciwtarczycowych</w:t>
      </w:r>
      <w:r w:rsidRPr="00C91B73">
        <w:rPr>
          <w:rFonts w:ascii="Times New Roman" w:hAnsi="Times New Roman"/>
          <w:sz w:val="24"/>
          <w:szCs w:val="24"/>
        </w:rPr>
        <w:t xml:space="preserve"> (ATD)</w:t>
      </w:r>
      <w:r w:rsidRPr="00C91B73">
        <w:rPr>
          <w:rFonts w:ascii="Times New Roman" w:hAnsi="Times New Roman"/>
          <w:sz w:val="24"/>
          <w:szCs w:val="24"/>
          <w:lang w:val="pl-PL"/>
        </w:rPr>
        <w:t xml:space="preserve">, szczególnie metamizolu (MMI), w celu blokowania syntezy hormonów tarczycowych [14,50,52]. U pacjentów leczonych </w:t>
      </w:r>
      <w:r w:rsidRPr="00C91B73">
        <w:rPr>
          <w:rFonts w:ascii="Times New Roman" w:hAnsi="Times New Roman"/>
          <w:sz w:val="24"/>
          <w:szCs w:val="24"/>
          <w:lang w:val="pl-PL" w:eastAsia="pl-PL"/>
        </w:rPr>
        <w:t>AMIO, tarczyca zawiera ogromne ilości jodu i</w:t>
      </w:r>
      <w:r w:rsidRPr="00C91B73">
        <w:rPr>
          <w:rFonts w:ascii="Times New Roman" w:hAnsi="Times New Roman"/>
          <w:sz w:val="24"/>
          <w:szCs w:val="24"/>
          <w:lang w:eastAsia="pl-PL"/>
        </w:rPr>
        <w:t xml:space="preserve"> jest oporna na stosowanie ATD</w:t>
      </w:r>
      <w:r w:rsidRPr="00C91B73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C91B73">
        <w:rPr>
          <w:rFonts w:ascii="Times New Roman" w:hAnsi="Times New Roman"/>
          <w:sz w:val="24"/>
          <w:szCs w:val="24"/>
        </w:rPr>
        <w:t>Odpowiednio, bardzo duże dawki początkowe metamizolu (nawet do</w:t>
      </w:r>
      <w:r w:rsidRPr="00C91B73">
        <w:rPr>
          <w:rFonts w:ascii="Times New Roman" w:hAnsi="Times New Roman"/>
          <w:sz w:val="24"/>
          <w:szCs w:val="24"/>
          <w:lang w:val="pl-PL"/>
        </w:rPr>
        <w:t xml:space="preserve"> 60 mg/d</w:t>
      </w:r>
      <w:proofErr w:type="spellStart"/>
      <w:r w:rsidRPr="00C91B73">
        <w:rPr>
          <w:rFonts w:ascii="Times New Roman" w:hAnsi="Times New Roman"/>
          <w:sz w:val="24"/>
          <w:szCs w:val="24"/>
        </w:rPr>
        <w:t>obę</w:t>
      </w:r>
      <w:proofErr w:type="spellEnd"/>
      <w:r w:rsidRPr="00C91B73">
        <w:rPr>
          <w:rFonts w:ascii="Times New Roman" w:hAnsi="Times New Roman"/>
          <w:sz w:val="24"/>
          <w:szCs w:val="24"/>
        </w:rPr>
        <w:t>) mogą być konieczne</w:t>
      </w:r>
      <w:r w:rsidRPr="00C91B73">
        <w:rPr>
          <w:rFonts w:ascii="Times New Roman" w:hAnsi="Times New Roman"/>
          <w:sz w:val="24"/>
          <w:szCs w:val="24"/>
          <w:lang w:val="pl-PL"/>
        </w:rPr>
        <w:t>. Propylotiouracyl (PTU) kiedyś był lekiem szczególnie zalecanym, gdyż hamuje aktywność</w:t>
      </w:r>
      <w:r w:rsidRPr="00C91B73">
        <w:rPr>
          <w:rFonts w:ascii="Times New Roman" w:hAnsi="Times New Roman"/>
          <w:sz w:val="24"/>
          <w:szCs w:val="24"/>
        </w:rPr>
        <w:t xml:space="preserve"> 5’dejodynazy</w:t>
      </w:r>
      <w:r w:rsidRPr="00C91B73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C91B73">
        <w:rPr>
          <w:rFonts w:ascii="Times New Roman" w:hAnsi="Times New Roman"/>
          <w:sz w:val="24"/>
          <w:szCs w:val="24"/>
        </w:rPr>
        <w:t xml:space="preserve">Ostatnio jednak, US </w:t>
      </w:r>
      <w:r w:rsidRPr="00C91B73">
        <w:rPr>
          <w:rFonts w:ascii="Times New Roman" w:hAnsi="Times New Roman"/>
          <w:sz w:val="24"/>
          <w:szCs w:val="24"/>
          <w:lang w:val="pl-PL"/>
        </w:rPr>
        <w:t xml:space="preserve">FDA wydała ostrzeżenie dotyczące potencjalnego toksycznego działania PTU na wątrobę [53]. </w:t>
      </w:r>
      <w:r w:rsidRPr="00C91B73">
        <w:rPr>
          <w:rFonts w:ascii="Times New Roman" w:hAnsi="Times New Roman"/>
          <w:sz w:val="24"/>
          <w:szCs w:val="24"/>
        </w:rPr>
        <w:t xml:space="preserve">Pacjenci otrzymujący duże dawki MMI powinni być ostrzegani przed potencjalnymi działaniami ubocznymi, głównie dotyczącymi działania </w:t>
      </w:r>
      <w:proofErr w:type="spellStart"/>
      <w:r w:rsidRPr="00C91B73">
        <w:rPr>
          <w:rFonts w:ascii="Times New Roman" w:hAnsi="Times New Roman"/>
          <w:sz w:val="24"/>
          <w:szCs w:val="24"/>
        </w:rPr>
        <w:t>supresyjnego</w:t>
      </w:r>
      <w:proofErr w:type="spellEnd"/>
      <w:r w:rsidRPr="00C91B73">
        <w:rPr>
          <w:rFonts w:ascii="Times New Roman" w:hAnsi="Times New Roman"/>
          <w:sz w:val="24"/>
          <w:szCs w:val="24"/>
        </w:rPr>
        <w:t xml:space="preserve"> na szpik. </w:t>
      </w:r>
      <w:r w:rsidRPr="00C91B73">
        <w:rPr>
          <w:rFonts w:ascii="Times New Roman" w:hAnsi="Times New Roman"/>
          <w:sz w:val="24"/>
          <w:szCs w:val="24"/>
          <w:lang w:val="pl-PL"/>
        </w:rPr>
        <w:t xml:space="preserve">Aby zwiększyć wrażliwość tarczycy i jej odpowiedź na </w:t>
      </w:r>
      <w:proofErr w:type="spellStart"/>
      <w:r w:rsidRPr="00C91B73">
        <w:rPr>
          <w:rFonts w:ascii="Times New Roman" w:hAnsi="Times New Roman"/>
          <w:sz w:val="24"/>
          <w:szCs w:val="24"/>
          <w:lang w:val="pl-PL"/>
        </w:rPr>
        <w:t>tionamidy</w:t>
      </w:r>
      <w:proofErr w:type="spellEnd"/>
      <w:r w:rsidRPr="00C91B73">
        <w:rPr>
          <w:rFonts w:ascii="Times New Roman" w:hAnsi="Times New Roman"/>
          <w:sz w:val="24"/>
          <w:szCs w:val="24"/>
          <w:lang w:val="pl-PL"/>
        </w:rPr>
        <w:t xml:space="preserve"> zaleca się stosowanie nadchloranu sodu lub potasu, który zmniejsza wychwyt jodu przez tarczycę, jest stosowany od 2-6 tygodni.</w:t>
      </w:r>
      <w:r w:rsidRPr="00C91B73">
        <w:rPr>
          <w:rFonts w:ascii="Times New Roman" w:hAnsi="Times New Roman"/>
          <w:sz w:val="24"/>
          <w:szCs w:val="24"/>
          <w:lang w:val="pl-PL" w:eastAsia="pl-PL"/>
        </w:rPr>
        <w:t xml:space="preserve"> Zaleca się stosowanie dawek nie większych niż 1g/dobę, co wystarcza. Stosowanie dawek nie</w:t>
      </w:r>
      <w:r w:rsidR="00B05D98">
        <w:rPr>
          <w:rFonts w:ascii="Times New Roman" w:hAnsi="Times New Roman"/>
          <w:sz w:val="24"/>
          <w:szCs w:val="24"/>
          <w:lang w:val="pl-PL" w:eastAsia="pl-PL"/>
        </w:rPr>
        <w:t>przekraczających</w:t>
      </w:r>
      <w:r w:rsidRPr="00C91B73">
        <w:rPr>
          <w:rFonts w:ascii="Times New Roman" w:hAnsi="Times New Roman"/>
          <w:sz w:val="24"/>
          <w:szCs w:val="24"/>
          <w:lang w:val="pl-PL" w:eastAsia="pl-PL"/>
        </w:rPr>
        <w:t xml:space="preserve"> 1 g / dobę jest wystarczające u większości pacjentów w celu zminimalizowania działań niepożądanych, zwłaszcza na nerki i szpiku kostny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C91B73">
        <w:rPr>
          <w:rFonts w:ascii="Times New Roman" w:hAnsi="Times New Roman"/>
          <w:sz w:val="24"/>
          <w:szCs w:val="24"/>
          <w:lang w:val="pl-PL"/>
        </w:rPr>
        <w:t xml:space="preserve">[7].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Glukokortykoidy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są zalecane w ciężkich i mieszanych przypadkach. </w:t>
      </w:r>
    </w:p>
    <w:p w14:paraId="0CCF08AF" w14:textId="16CFA84B" w:rsidR="00F878CA" w:rsidRPr="00F30C99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C99">
        <w:rPr>
          <w:rFonts w:ascii="Times New Roman" w:hAnsi="Times New Roman"/>
          <w:sz w:val="24"/>
          <w:szCs w:val="24"/>
        </w:rPr>
        <w:t xml:space="preserve">Radykalne leczenie, poprzez zastosowanie leczenia </w:t>
      </w:r>
      <w:proofErr w:type="spellStart"/>
      <w:r w:rsidRPr="00F30C99">
        <w:rPr>
          <w:rFonts w:ascii="Times New Roman" w:hAnsi="Times New Roman"/>
          <w:sz w:val="24"/>
          <w:szCs w:val="24"/>
        </w:rPr>
        <w:t>radiojodem</w:t>
      </w:r>
      <w:proofErr w:type="spellEnd"/>
      <w:r w:rsidRPr="00F30C99">
        <w:rPr>
          <w:rFonts w:ascii="Times New Roman" w:hAnsi="Times New Roman"/>
          <w:sz w:val="24"/>
          <w:szCs w:val="24"/>
        </w:rPr>
        <w:t xml:space="preserve"> </w:t>
      </w:r>
      <w:r w:rsidR="00B05D98">
        <w:rPr>
          <w:rFonts w:ascii="Times New Roman" w:hAnsi="Times New Roman"/>
          <w:sz w:val="24"/>
          <w:szCs w:val="24"/>
        </w:rPr>
        <w:t xml:space="preserve">(z wyboru) </w:t>
      </w:r>
      <w:r w:rsidRPr="00F30C99">
        <w:rPr>
          <w:rFonts w:ascii="Times New Roman" w:hAnsi="Times New Roman"/>
          <w:sz w:val="24"/>
          <w:szCs w:val="24"/>
        </w:rPr>
        <w:t>lub zabieg operacyjny po uzyskaniu kontroli w typie 1 AIT j</w:t>
      </w:r>
      <w:r>
        <w:rPr>
          <w:rFonts w:ascii="Times New Roman" w:hAnsi="Times New Roman"/>
          <w:sz w:val="24"/>
          <w:szCs w:val="24"/>
        </w:rPr>
        <w:t>est zwykle zalecane</w:t>
      </w:r>
      <w:r w:rsidRPr="00F30C99">
        <w:rPr>
          <w:rFonts w:ascii="Times New Roman" w:hAnsi="Times New Roman"/>
          <w:sz w:val="24"/>
          <w:szCs w:val="24"/>
        </w:rPr>
        <w:t xml:space="preserve">. Termin leczenia zależy od ciężkości nadczynności tarczycy, odpowiedzi na leki, RAIU oraz zaleceń prowadzącego endokrynologa. </w:t>
      </w:r>
      <w:r>
        <w:rPr>
          <w:rFonts w:ascii="Times New Roman" w:hAnsi="Times New Roman"/>
          <w:sz w:val="24"/>
          <w:szCs w:val="24"/>
        </w:rPr>
        <w:t>Radykalne leczenie nadczynności tarczycy pozwala na ponowne włączenie AMIO, jeśli byłoby to konieczne, bez ryzyka nawrotu nadczynności tarczycy.</w:t>
      </w:r>
    </w:p>
    <w:p w14:paraId="7D8CE12F" w14:textId="77777777" w:rsidR="00F878CA" w:rsidRPr="00F30C99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0A7D072" w14:textId="77777777" w:rsidR="00F878CA" w:rsidRPr="0068648E" w:rsidRDefault="00F878CA" w:rsidP="00F878CA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 2 AIT</w:t>
      </w:r>
    </w:p>
    <w:p w14:paraId="60F46F5E" w14:textId="77777777" w:rsidR="00F878CA" w:rsidRPr="006C22B0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30C99">
        <w:rPr>
          <w:rFonts w:ascii="Times New Roman" w:hAnsi="Times New Roman"/>
          <w:sz w:val="24"/>
          <w:szCs w:val="24"/>
        </w:rPr>
        <w:t xml:space="preserve">Jeżeli po stwierdzeniu wystąpienia AIT typu 2 AMIO nie jest kontynuowany to większość pacjentów uzyskuje </w:t>
      </w:r>
      <w:proofErr w:type="spellStart"/>
      <w:r w:rsidRPr="00F30C99">
        <w:rPr>
          <w:rFonts w:ascii="Times New Roman" w:hAnsi="Times New Roman"/>
          <w:sz w:val="24"/>
          <w:szCs w:val="24"/>
        </w:rPr>
        <w:t>eutyreozę</w:t>
      </w:r>
      <w:proofErr w:type="spellEnd"/>
      <w:r w:rsidRPr="00F30C99">
        <w:rPr>
          <w:rFonts w:ascii="Times New Roman" w:hAnsi="Times New Roman"/>
          <w:sz w:val="24"/>
          <w:szCs w:val="24"/>
        </w:rPr>
        <w:t xml:space="preserve"> w ciągu</w:t>
      </w:r>
      <w:r>
        <w:rPr>
          <w:rFonts w:ascii="Times New Roman" w:hAnsi="Times New Roman"/>
          <w:sz w:val="24"/>
          <w:szCs w:val="24"/>
        </w:rPr>
        <w:t xml:space="preserve"> 3-5 miesięcy od zaprzestania stosowania leku </w:t>
      </w:r>
      <w:r w:rsidRPr="00F30C99">
        <w:rPr>
          <w:rFonts w:ascii="Times New Roman" w:hAnsi="Times New Roman"/>
          <w:sz w:val="24"/>
          <w:szCs w:val="24"/>
        </w:rPr>
        <w:t xml:space="preserve">[44,54]. </w:t>
      </w:r>
      <w:r w:rsidRPr="00F878CA">
        <w:rPr>
          <w:rFonts w:ascii="Times New Roman" w:hAnsi="Times New Roman"/>
          <w:sz w:val="24"/>
          <w:szCs w:val="24"/>
        </w:rPr>
        <w:t xml:space="preserve">Niektórzy pacjenci mogą przejść w niedoczynność tarczycy [54]. </w:t>
      </w:r>
      <w:r w:rsidRPr="0022241F">
        <w:rPr>
          <w:rFonts w:ascii="Times New Roman" w:hAnsi="Times New Roman"/>
          <w:sz w:val="24"/>
          <w:szCs w:val="24"/>
        </w:rPr>
        <w:t>Typ 2 AIT może ulec samoistnemu wyleczeniu, dlatego niektórzy autorzy sugerowali, że kontynuowanie AMIO nie wpływa na skuteczność leczenia glikokortykoidami</w:t>
      </w:r>
      <w:r w:rsidRPr="0022241F">
        <w:rPr>
          <w:rFonts w:ascii="Times New Roman" w:hAnsi="Times New Roman"/>
          <w:sz w:val="24"/>
          <w:szCs w:val="24"/>
          <w:lang w:eastAsia="pl-PL"/>
        </w:rPr>
        <w:t xml:space="preserve"> [55].Te ostatnie są konieczne u </w:t>
      </w:r>
      <w:r w:rsidRPr="0022241F">
        <w:rPr>
          <w:rFonts w:ascii="Times New Roman" w:hAnsi="Times New Roman"/>
          <w:sz w:val="24"/>
          <w:szCs w:val="24"/>
          <w:lang w:eastAsia="pl-PL"/>
        </w:rPr>
        <w:lastRenderedPageBreak/>
        <w:t>większości chorych</w:t>
      </w:r>
      <w:r>
        <w:rPr>
          <w:rFonts w:ascii="Times New Roman" w:hAnsi="Times New Roman"/>
          <w:sz w:val="24"/>
          <w:szCs w:val="24"/>
          <w:lang w:eastAsia="pl-PL"/>
        </w:rPr>
        <w:t xml:space="preserve"> z jawną nadczynnością tarczycy</w:t>
      </w:r>
      <w:r w:rsidRPr="0022241F">
        <w:rPr>
          <w:rFonts w:ascii="Times New Roman" w:hAnsi="Times New Roman"/>
          <w:sz w:val="24"/>
          <w:szCs w:val="24"/>
          <w:lang w:eastAsia="pl-PL"/>
        </w:rPr>
        <w:t xml:space="preserve">. Początkowa dawka </w:t>
      </w:r>
      <w:proofErr w:type="spellStart"/>
      <w:r w:rsidRPr="0022241F">
        <w:rPr>
          <w:rFonts w:ascii="Times New Roman" w:hAnsi="Times New Roman"/>
          <w:sz w:val="24"/>
          <w:szCs w:val="24"/>
          <w:lang w:eastAsia="pl-PL"/>
        </w:rPr>
        <w:t>prednisonu</w:t>
      </w:r>
      <w:proofErr w:type="spellEnd"/>
      <w:r w:rsidRPr="0022241F">
        <w:rPr>
          <w:rFonts w:ascii="Times New Roman" w:hAnsi="Times New Roman"/>
          <w:sz w:val="24"/>
          <w:szCs w:val="24"/>
          <w:lang w:eastAsia="pl-PL"/>
        </w:rPr>
        <w:t xml:space="preserve"> wynosi od 0.5 do 0.7 mg/kg masy ciała na dobę, dawka powinna być stopniowo </w:t>
      </w:r>
      <w:r>
        <w:rPr>
          <w:rFonts w:ascii="Times New Roman" w:hAnsi="Times New Roman"/>
          <w:sz w:val="24"/>
          <w:szCs w:val="24"/>
          <w:lang w:eastAsia="pl-PL"/>
        </w:rPr>
        <w:t>zmniejszana i odstawiona zwykle po 3 miesiącach stosowania</w:t>
      </w:r>
      <w:r w:rsidRPr="0022241F">
        <w:rPr>
          <w:rFonts w:ascii="Times New Roman" w:hAnsi="Times New Roman"/>
          <w:sz w:val="24"/>
          <w:szCs w:val="24"/>
          <w:lang w:eastAsia="pl-PL"/>
        </w:rPr>
        <w:t xml:space="preserve">[2]. </w:t>
      </w:r>
      <w:r>
        <w:rPr>
          <w:rFonts w:ascii="Times New Roman" w:hAnsi="Times New Roman"/>
          <w:sz w:val="24"/>
          <w:szCs w:val="24"/>
          <w:lang w:eastAsia="pl-PL"/>
        </w:rPr>
        <w:t xml:space="preserve">Odpowiedź na leczenie jest natychmiastowa, połowa pacjentów jest wyleczona w ciągu 4 tygodni </w:t>
      </w:r>
      <w:r w:rsidRPr="004B6E5A">
        <w:rPr>
          <w:rFonts w:ascii="Times New Roman" w:hAnsi="Times New Roman"/>
          <w:sz w:val="24"/>
          <w:szCs w:val="24"/>
          <w:lang w:eastAsia="pl-PL"/>
        </w:rPr>
        <w:t xml:space="preserve">[56]. </w:t>
      </w:r>
      <w:r>
        <w:rPr>
          <w:rFonts w:ascii="Times New Roman" w:hAnsi="Times New Roman"/>
          <w:sz w:val="24"/>
          <w:szCs w:val="24"/>
          <w:lang w:eastAsia="pl-PL"/>
        </w:rPr>
        <w:t>W niektórych przypadkach odpowiedź na leczenie może być opóźniona, najpewniej w wyniku mieszanej etiologii choroby</w:t>
      </w:r>
      <w:r w:rsidRPr="004B6E5A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C82810">
        <w:rPr>
          <w:rFonts w:ascii="Times New Roman" w:hAnsi="Times New Roman"/>
          <w:sz w:val="24"/>
          <w:szCs w:val="24"/>
          <w:lang w:eastAsia="pl-PL"/>
        </w:rPr>
        <w:t xml:space="preserve">Używając matematycznego modelu, można przewidywać pojawienie się </w:t>
      </w:r>
      <w:proofErr w:type="spellStart"/>
      <w:r w:rsidRPr="00C82810">
        <w:rPr>
          <w:rFonts w:ascii="Times New Roman" w:hAnsi="Times New Roman"/>
          <w:sz w:val="24"/>
          <w:szCs w:val="24"/>
          <w:lang w:eastAsia="pl-PL"/>
        </w:rPr>
        <w:t>eutyreozy</w:t>
      </w:r>
      <w:proofErr w:type="spellEnd"/>
      <w:r w:rsidRPr="00C82810">
        <w:rPr>
          <w:rFonts w:ascii="Times New Roman" w:hAnsi="Times New Roman"/>
          <w:sz w:val="24"/>
          <w:szCs w:val="24"/>
          <w:lang w:eastAsia="pl-PL"/>
        </w:rPr>
        <w:t xml:space="preserve"> po średnio 40 dniach leczenia [56].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Tionamidy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nie są lekami pierwszego rzutu w typie 2 AIT, ponieważ mechanizm choroby nie jest zależny od zwiększonej syntezy hormonów. Ostatnie badania retrospektywne wśród chorych z typem 2 AIT pokazują, że po ok 6 tygodniach terapii więcej niż 85% pacjentów leczonych ATD było nadczynnych, w porównaniu do jedynie 24% leczonych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prednizonem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82810">
        <w:rPr>
          <w:rFonts w:ascii="Times New Roman" w:hAnsi="Times New Roman"/>
          <w:sz w:val="24"/>
          <w:szCs w:val="24"/>
          <w:lang w:eastAsia="pl-PL"/>
        </w:rPr>
        <w:t xml:space="preserve">[57]. </w:t>
      </w:r>
      <w:r>
        <w:rPr>
          <w:rFonts w:ascii="Times New Roman" w:hAnsi="Times New Roman"/>
          <w:sz w:val="24"/>
          <w:szCs w:val="24"/>
          <w:lang w:eastAsia="pl-PL"/>
        </w:rPr>
        <w:t>Dalsza o</w:t>
      </w:r>
      <w:r w:rsidRPr="00C82810">
        <w:rPr>
          <w:rFonts w:ascii="Times New Roman" w:hAnsi="Times New Roman"/>
          <w:sz w:val="24"/>
          <w:szCs w:val="24"/>
          <w:lang w:eastAsia="pl-PL"/>
        </w:rPr>
        <w:t>bserwacja tych pacjentów jest konieczna, ponieważ choroba może nawrócić I lecz</w:t>
      </w:r>
      <w:r>
        <w:rPr>
          <w:rFonts w:ascii="Times New Roman" w:hAnsi="Times New Roman"/>
          <w:sz w:val="24"/>
          <w:szCs w:val="24"/>
          <w:lang w:eastAsia="pl-PL"/>
        </w:rPr>
        <w:t>enie będzie ponownie konieczne</w:t>
      </w:r>
      <w:r w:rsidRPr="00C82810">
        <w:rPr>
          <w:rFonts w:ascii="Times New Roman" w:hAnsi="Times New Roman"/>
          <w:sz w:val="24"/>
          <w:szCs w:val="24"/>
        </w:rPr>
        <w:t xml:space="preserve"> [14,50]. Do 17% pacjentów może rozwinąć niedoczynność tarczycy, zależny od rozległośc</w:t>
      </w:r>
      <w:r>
        <w:rPr>
          <w:rFonts w:ascii="Times New Roman" w:hAnsi="Times New Roman"/>
          <w:sz w:val="24"/>
          <w:szCs w:val="24"/>
        </w:rPr>
        <w:t xml:space="preserve">i i nasilenia rozpadu tarczycy </w:t>
      </w:r>
      <w:r w:rsidRPr="00C82810">
        <w:rPr>
          <w:rFonts w:ascii="Times New Roman" w:hAnsi="Times New Roman"/>
          <w:sz w:val="24"/>
          <w:szCs w:val="24"/>
        </w:rPr>
        <w:t xml:space="preserve">[44]. </w:t>
      </w:r>
      <w:r w:rsidRPr="001A6C8B">
        <w:rPr>
          <w:rFonts w:ascii="Times New Roman" w:hAnsi="Times New Roman"/>
          <w:sz w:val="24"/>
          <w:szCs w:val="24"/>
        </w:rPr>
        <w:t xml:space="preserve">W większości przypadków, biochemiczne i kliniczne ustępowanie </w:t>
      </w:r>
      <w:proofErr w:type="spellStart"/>
      <w:r w:rsidRPr="001A6C8B">
        <w:rPr>
          <w:rFonts w:ascii="Times New Roman" w:hAnsi="Times New Roman"/>
          <w:sz w:val="24"/>
          <w:szCs w:val="24"/>
        </w:rPr>
        <w:t>tyreotoksykozy</w:t>
      </w:r>
      <w:proofErr w:type="spellEnd"/>
      <w:r w:rsidRPr="001A6C8B">
        <w:rPr>
          <w:rFonts w:ascii="Times New Roman" w:hAnsi="Times New Roman"/>
          <w:sz w:val="24"/>
          <w:szCs w:val="24"/>
        </w:rPr>
        <w:t xml:space="preserve"> rozpoczyna się w ciągu kilku dni od rozpoczęcia terapii [52]. Kwas </w:t>
      </w:r>
      <w:proofErr w:type="spellStart"/>
      <w:r w:rsidRPr="001A6C8B">
        <w:rPr>
          <w:rFonts w:ascii="Times New Roman" w:hAnsi="Times New Roman"/>
          <w:sz w:val="24"/>
          <w:szCs w:val="24"/>
        </w:rPr>
        <w:t>jopanowy</w:t>
      </w:r>
      <w:proofErr w:type="spellEnd"/>
      <w:r w:rsidRPr="001A6C8B">
        <w:rPr>
          <w:rFonts w:ascii="Times New Roman" w:hAnsi="Times New Roman"/>
          <w:sz w:val="24"/>
          <w:szCs w:val="24"/>
        </w:rPr>
        <w:t xml:space="preserve"> jest doustnym związkiem kontrastowym stosowanym do badań radiologicznych z użyciem kontrastu, jego dodatkową cechą jest hamowanie aktywności </w:t>
      </w:r>
      <w:proofErr w:type="spellStart"/>
      <w:r w:rsidRPr="001A6C8B">
        <w:rPr>
          <w:rFonts w:ascii="Times New Roman" w:hAnsi="Times New Roman"/>
          <w:sz w:val="24"/>
          <w:szCs w:val="24"/>
        </w:rPr>
        <w:t>dejodynazy</w:t>
      </w:r>
      <w:proofErr w:type="spellEnd"/>
      <w:r w:rsidRPr="001A6C8B">
        <w:rPr>
          <w:rFonts w:ascii="Times New Roman" w:hAnsi="Times New Roman"/>
          <w:sz w:val="24"/>
          <w:szCs w:val="24"/>
        </w:rPr>
        <w:t xml:space="preserve"> 2. W  wyjątkowych sytuacjach jest stosowany przez krótki czas w stanach nadczynności tarczycy w celu szybszej kontroli </w:t>
      </w:r>
      <w:proofErr w:type="spellStart"/>
      <w:r w:rsidRPr="001A6C8B">
        <w:rPr>
          <w:rFonts w:ascii="Times New Roman" w:hAnsi="Times New Roman"/>
          <w:sz w:val="24"/>
          <w:szCs w:val="24"/>
        </w:rPr>
        <w:t>tyreotoksykozy</w:t>
      </w:r>
      <w:proofErr w:type="spellEnd"/>
      <w:r w:rsidRPr="001A6C8B">
        <w:rPr>
          <w:rFonts w:ascii="Times New Roman" w:hAnsi="Times New Roman"/>
          <w:sz w:val="24"/>
          <w:szCs w:val="24"/>
        </w:rPr>
        <w:t xml:space="preserve"> [58]. </w:t>
      </w:r>
      <w:r w:rsidRPr="006C22B0">
        <w:rPr>
          <w:rFonts w:ascii="Times New Roman" w:hAnsi="Times New Roman"/>
          <w:sz w:val="24"/>
          <w:szCs w:val="24"/>
        </w:rPr>
        <w:t xml:space="preserve">Z powodu wystąpienia efektu ucieczki i nawrotu nadczynności tarczycy długoterminowe stosowanie kwasu </w:t>
      </w:r>
      <w:proofErr w:type="spellStart"/>
      <w:r w:rsidRPr="006C22B0">
        <w:rPr>
          <w:rFonts w:ascii="Times New Roman" w:hAnsi="Times New Roman"/>
          <w:sz w:val="24"/>
          <w:szCs w:val="24"/>
        </w:rPr>
        <w:t>jopanowego</w:t>
      </w:r>
      <w:proofErr w:type="spellEnd"/>
      <w:r w:rsidRPr="006C22B0">
        <w:rPr>
          <w:rFonts w:ascii="Times New Roman" w:hAnsi="Times New Roman"/>
          <w:sz w:val="24"/>
          <w:szCs w:val="24"/>
        </w:rPr>
        <w:t xml:space="preserve"> lub innych środków kontrastowych zawierających jod nie jest zalecane. </w:t>
      </w:r>
      <w:proofErr w:type="spellStart"/>
      <w:r w:rsidRPr="006C22B0">
        <w:rPr>
          <w:rFonts w:ascii="Times New Roman" w:hAnsi="Times New Roman"/>
          <w:sz w:val="24"/>
          <w:szCs w:val="24"/>
        </w:rPr>
        <w:t>Prednizon</w:t>
      </w:r>
      <w:proofErr w:type="spellEnd"/>
      <w:r w:rsidRPr="006C22B0">
        <w:rPr>
          <w:rFonts w:ascii="Times New Roman" w:hAnsi="Times New Roman"/>
          <w:sz w:val="24"/>
          <w:szCs w:val="24"/>
        </w:rPr>
        <w:t xml:space="preserve"> jest lekiem skuteczniejszym od kwasu </w:t>
      </w:r>
      <w:proofErr w:type="spellStart"/>
      <w:r w:rsidRPr="006C22B0">
        <w:rPr>
          <w:rFonts w:ascii="Times New Roman" w:hAnsi="Times New Roman"/>
          <w:sz w:val="24"/>
          <w:szCs w:val="24"/>
        </w:rPr>
        <w:t>jopanowego</w:t>
      </w:r>
      <w:proofErr w:type="spellEnd"/>
      <w:r w:rsidRPr="006C22B0">
        <w:rPr>
          <w:rFonts w:ascii="Times New Roman" w:hAnsi="Times New Roman"/>
          <w:sz w:val="24"/>
          <w:szCs w:val="24"/>
        </w:rPr>
        <w:t xml:space="preserve">, ale może on być zastosowany w typie 2 AIT, jeśli potrzebna jest szybka kontrola choroby, jak to ma miejsce w sytuacji </w:t>
      </w:r>
      <w:r>
        <w:rPr>
          <w:rFonts w:ascii="Times New Roman" w:hAnsi="Times New Roman"/>
          <w:sz w:val="24"/>
          <w:szCs w:val="24"/>
        </w:rPr>
        <w:t xml:space="preserve">wskazań do </w:t>
      </w:r>
      <w:r w:rsidRPr="006C22B0">
        <w:rPr>
          <w:rFonts w:ascii="Times New Roman" w:hAnsi="Times New Roman"/>
          <w:sz w:val="24"/>
          <w:szCs w:val="24"/>
        </w:rPr>
        <w:t xml:space="preserve">pilnej </w:t>
      </w:r>
      <w:proofErr w:type="spellStart"/>
      <w:r w:rsidRPr="006C22B0">
        <w:rPr>
          <w:rFonts w:ascii="Times New Roman" w:hAnsi="Times New Roman"/>
          <w:sz w:val="24"/>
          <w:szCs w:val="24"/>
        </w:rPr>
        <w:t>tyreoidektomii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6C22B0">
        <w:rPr>
          <w:rFonts w:ascii="Times New Roman" w:hAnsi="Times New Roman"/>
          <w:sz w:val="24"/>
          <w:szCs w:val="24"/>
        </w:rPr>
        <w:t>[58].</w:t>
      </w:r>
    </w:p>
    <w:p w14:paraId="1C614DB4" w14:textId="77777777" w:rsidR="00F878CA" w:rsidRPr="00F64665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BEEC316" w14:textId="77777777" w:rsidR="00F878CA" w:rsidRPr="00F64665" w:rsidRDefault="00F878CA" w:rsidP="00F878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64665">
        <w:rPr>
          <w:rFonts w:ascii="Times New Roman" w:hAnsi="Times New Roman"/>
          <w:b/>
          <w:sz w:val="24"/>
          <w:szCs w:val="24"/>
        </w:rPr>
        <w:t>Mieszany/nieokreślony typ AIT</w:t>
      </w:r>
    </w:p>
    <w:p w14:paraId="2680CA75" w14:textId="753E14A1" w:rsidR="00D71BD2" w:rsidRDefault="00F878CA" w:rsidP="00F878CA">
      <w:pPr>
        <w:pStyle w:val="HTML-wstpniesformatowany"/>
        <w:spacing w:line="360" w:lineRule="auto"/>
        <w:rPr>
          <w:rFonts w:ascii="Times New Roman" w:hAnsi="Times New Roman"/>
          <w:sz w:val="24"/>
          <w:szCs w:val="24"/>
          <w:lang w:val="pl-PL" w:eastAsia="pl-PL"/>
        </w:rPr>
      </w:pPr>
      <w:r w:rsidRPr="00F64665">
        <w:rPr>
          <w:rFonts w:ascii="Times New Roman" w:hAnsi="Times New Roman"/>
          <w:sz w:val="24"/>
          <w:szCs w:val="24"/>
          <w:lang w:val="pl-PL"/>
        </w:rPr>
        <w:t xml:space="preserve">W typie mieszanym/nieokreślonym AIT lub jeśli diagnoza jest niepewna uzasadnione jest rozpoczęcie terapii łączonej, Metamizolem w dawce 40-60 mg/dobę </w:t>
      </w:r>
      <w:r w:rsidRPr="00F64665">
        <w:rPr>
          <w:rFonts w:ascii="Times New Roman" w:hAnsi="Times New Roman"/>
          <w:sz w:val="24"/>
          <w:szCs w:val="24"/>
        </w:rPr>
        <w:t>i</w:t>
      </w:r>
      <w:r w:rsidRPr="00F64665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F64665">
        <w:rPr>
          <w:rFonts w:ascii="Times New Roman" w:hAnsi="Times New Roman"/>
          <w:sz w:val="24"/>
          <w:szCs w:val="24"/>
          <w:lang w:val="pl-PL"/>
        </w:rPr>
        <w:t>prednizonem</w:t>
      </w:r>
      <w:proofErr w:type="spellEnd"/>
      <w:r w:rsidRPr="00F6466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64665">
        <w:rPr>
          <w:rFonts w:ascii="Times New Roman" w:hAnsi="Times New Roman"/>
          <w:sz w:val="24"/>
          <w:szCs w:val="24"/>
        </w:rPr>
        <w:t xml:space="preserve">40-50 mg/dobę, aby uniknąć opóźnienia w uzyskaniu </w:t>
      </w:r>
      <w:proofErr w:type="spellStart"/>
      <w:r w:rsidRPr="00F64665">
        <w:rPr>
          <w:rFonts w:ascii="Times New Roman" w:hAnsi="Times New Roman"/>
          <w:sz w:val="24"/>
          <w:szCs w:val="24"/>
        </w:rPr>
        <w:t>eutyreozy</w:t>
      </w:r>
      <w:proofErr w:type="spellEnd"/>
      <w:r w:rsidRPr="00F64665">
        <w:rPr>
          <w:rFonts w:ascii="Times New Roman" w:hAnsi="Times New Roman"/>
          <w:sz w:val="24"/>
          <w:szCs w:val="24"/>
        </w:rPr>
        <w:t>.</w:t>
      </w:r>
      <w:r w:rsidRPr="00F6466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64665">
        <w:rPr>
          <w:rFonts w:ascii="Times New Roman" w:hAnsi="Times New Roman"/>
          <w:sz w:val="24"/>
          <w:szCs w:val="24"/>
        </w:rPr>
        <w:t xml:space="preserve">Wystąpienie szybkiej poprawy przemawia za typem 2 i powinno zostać rozważone odstawienie MMI. Słaba odpowiedź na leczenie wskazuje na typ 1 choroby. Wtedy zaleca się stopniowe zmniejszanie dawki </w:t>
      </w:r>
      <w:proofErr w:type="spellStart"/>
      <w:r w:rsidRPr="00F64665">
        <w:rPr>
          <w:rFonts w:ascii="Times New Roman" w:hAnsi="Times New Roman"/>
          <w:sz w:val="24"/>
          <w:szCs w:val="24"/>
        </w:rPr>
        <w:t>prednizonu</w:t>
      </w:r>
      <w:proofErr w:type="spellEnd"/>
      <w:r w:rsidRPr="00F64665">
        <w:rPr>
          <w:rFonts w:ascii="Times New Roman" w:hAnsi="Times New Roman"/>
          <w:sz w:val="24"/>
          <w:szCs w:val="24"/>
        </w:rPr>
        <w:t xml:space="preserve"> i kontynuowanie leczenia MMI. </w:t>
      </w:r>
      <w:r w:rsidRPr="00F878CA">
        <w:rPr>
          <w:rFonts w:ascii="Times New Roman" w:hAnsi="Times New Roman"/>
          <w:sz w:val="24"/>
          <w:szCs w:val="24"/>
          <w:lang w:val="pl-PL"/>
        </w:rPr>
        <w:t xml:space="preserve">Wymagana jest ścisła obserwacja. </w:t>
      </w:r>
      <w:r w:rsidRPr="00F64665">
        <w:rPr>
          <w:rFonts w:ascii="Times New Roman" w:hAnsi="Times New Roman"/>
          <w:sz w:val="24"/>
          <w:szCs w:val="24"/>
          <w:lang w:val="pl-PL"/>
        </w:rPr>
        <w:t xml:space="preserve">Nadchloran, leczenie </w:t>
      </w:r>
      <w:proofErr w:type="spellStart"/>
      <w:r w:rsidRPr="00F64665">
        <w:rPr>
          <w:rFonts w:ascii="Times New Roman" w:hAnsi="Times New Roman"/>
          <w:sz w:val="24"/>
          <w:szCs w:val="24"/>
          <w:lang w:val="pl-PL"/>
        </w:rPr>
        <w:t>radiojodem</w:t>
      </w:r>
      <w:proofErr w:type="spellEnd"/>
      <w:r w:rsidRPr="00F64665">
        <w:rPr>
          <w:rFonts w:ascii="Times New Roman" w:hAnsi="Times New Roman"/>
          <w:sz w:val="24"/>
          <w:szCs w:val="24"/>
          <w:lang w:val="pl-PL"/>
        </w:rPr>
        <w:t xml:space="preserve"> (jeśli możliwe) lub zabieg chirurgiczny powinny zostać rozważone jeśli odpowiedź na prowadzone l</w:t>
      </w:r>
      <w:proofErr w:type="spellStart"/>
      <w:r w:rsidRPr="00F64665">
        <w:rPr>
          <w:rFonts w:ascii="Times New Roman" w:hAnsi="Times New Roman"/>
          <w:sz w:val="24"/>
          <w:szCs w:val="24"/>
        </w:rPr>
        <w:t>eczenie</w:t>
      </w:r>
      <w:proofErr w:type="spellEnd"/>
      <w:r w:rsidRPr="00F64665">
        <w:rPr>
          <w:rFonts w:ascii="Times New Roman" w:hAnsi="Times New Roman"/>
          <w:sz w:val="24"/>
          <w:szCs w:val="24"/>
        </w:rPr>
        <w:t xml:space="preserve"> nie jest wystarczająca </w:t>
      </w:r>
      <w:r w:rsidRPr="00F64665">
        <w:rPr>
          <w:rFonts w:ascii="Times New Roman" w:hAnsi="Times New Roman"/>
          <w:sz w:val="24"/>
          <w:szCs w:val="24"/>
          <w:lang w:val="pl-PL"/>
        </w:rPr>
        <w:t>[59].</w:t>
      </w:r>
      <w:r w:rsidRPr="00F64665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F64665">
        <w:rPr>
          <w:rFonts w:ascii="Times New Roman" w:hAnsi="Times New Roman"/>
          <w:sz w:val="24"/>
          <w:szCs w:val="24"/>
          <w:lang w:eastAsia="pl-PL"/>
        </w:rPr>
        <w:t xml:space="preserve">Indukowane jodem zapalenie </w:t>
      </w:r>
      <w:r w:rsidRPr="00F64665">
        <w:rPr>
          <w:rFonts w:ascii="Times New Roman" w:hAnsi="Times New Roman"/>
          <w:sz w:val="24"/>
          <w:szCs w:val="24"/>
          <w:lang w:eastAsia="pl-PL"/>
        </w:rPr>
        <w:lastRenderedPageBreak/>
        <w:t xml:space="preserve">tarczycy z rozpadem może wystąpić również u pacjentów z </w:t>
      </w:r>
      <w:r w:rsidR="00D71BD2">
        <w:rPr>
          <w:rFonts w:ascii="Times New Roman" w:hAnsi="Times New Roman"/>
          <w:sz w:val="24"/>
          <w:szCs w:val="24"/>
          <w:lang w:val="pl-PL" w:eastAsia="pl-PL"/>
        </w:rPr>
        <w:t>wolem</w:t>
      </w:r>
      <w:r w:rsidRPr="00F64665">
        <w:rPr>
          <w:rFonts w:ascii="Times New Roman" w:hAnsi="Times New Roman"/>
          <w:sz w:val="24"/>
          <w:szCs w:val="24"/>
          <w:lang w:eastAsia="pl-PL"/>
        </w:rPr>
        <w:t xml:space="preserve">, co czyni różnicowanie typu 1 od mieszanego/nieokreślonego bardzo trudnym. </w:t>
      </w:r>
      <w:r w:rsidRPr="00F64665">
        <w:rPr>
          <w:rFonts w:ascii="Times New Roman" w:hAnsi="Times New Roman"/>
          <w:sz w:val="24"/>
          <w:szCs w:val="24"/>
          <w:lang w:val="pl-PL" w:eastAsia="pl-PL"/>
        </w:rPr>
        <w:t xml:space="preserve">W tych przypadkach wielu ekspertów zaleca leczenie chorych z użyciem ATD i </w:t>
      </w:r>
      <w:proofErr w:type="spellStart"/>
      <w:r w:rsidRPr="00F64665">
        <w:rPr>
          <w:rFonts w:ascii="Times New Roman" w:hAnsi="Times New Roman"/>
          <w:sz w:val="24"/>
          <w:szCs w:val="24"/>
          <w:lang w:val="pl-PL" w:eastAsia="pl-PL"/>
        </w:rPr>
        <w:t>glukokortykoidów</w:t>
      </w:r>
      <w:proofErr w:type="spellEnd"/>
      <w:r w:rsidRPr="00F64665">
        <w:rPr>
          <w:rFonts w:ascii="Times New Roman" w:hAnsi="Times New Roman"/>
          <w:sz w:val="24"/>
          <w:szCs w:val="24"/>
          <w:lang w:eastAsia="pl-PL"/>
        </w:rPr>
        <w:t xml:space="preserve"> od samego początku </w:t>
      </w:r>
      <w:r w:rsidRPr="00F64665">
        <w:rPr>
          <w:rFonts w:ascii="Times New Roman" w:hAnsi="Times New Roman"/>
          <w:sz w:val="24"/>
          <w:szCs w:val="24"/>
          <w:lang w:val="pl-PL" w:eastAsia="pl-PL"/>
        </w:rPr>
        <w:t xml:space="preserve">[60]. </w:t>
      </w:r>
    </w:p>
    <w:p w14:paraId="71BF14E1" w14:textId="35E3A0FA" w:rsidR="00F878CA" w:rsidRPr="00F64665" w:rsidRDefault="00F878CA" w:rsidP="00F878CA">
      <w:pPr>
        <w:pStyle w:val="HTML-wstpniesformatowany"/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F64665">
        <w:rPr>
          <w:rFonts w:ascii="Times New Roman" w:hAnsi="Times New Roman"/>
          <w:sz w:val="24"/>
          <w:szCs w:val="24"/>
        </w:rPr>
        <w:t>Niektórzy ek</w:t>
      </w:r>
      <w:r>
        <w:rPr>
          <w:rFonts w:ascii="Times New Roman" w:hAnsi="Times New Roman"/>
          <w:sz w:val="24"/>
          <w:szCs w:val="24"/>
        </w:rPr>
        <w:t>sperci</w:t>
      </w:r>
      <w:r w:rsidRPr="00F64665">
        <w:rPr>
          <w:rFonts w:ascii="Times New Roman" w:hAnsi="Times New Roman"/>
          <w:sz w:val="24"/>
          <w:szCs w:val="24"/>
          <w:lang w:val="pl-PL"/>
        </w:rPr>
        <w:t xml:space="preserve"> obawiają się stosowania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glikokortykosteroid</w:t>
      </w:r>
      <w:r w:rsidRPr="00F64665">
        <w:rPr>
          <w:rFonts w:ascii="Times New Roman" w:hAnsi="Times New Roman"/>
          <w:sz w:val="24"/>
          <w:szCs w:val="24"/>
          <w:lang w:val="pl-PL"/>
        </w:rPr>
        <w:t>ów</w:t>
      </w:r>
      <w:proofErr w:type="spellEnd"/>
      <w:r>
        <w:rPr>
          <w:rFonts w:ascii="Times New Roman" w:hAnsi="Times New Roman"/>
          <w:sz w:val="24"/>
          <w:szCs w:val="24"/>
        </w:rPr>
        <w:t xml:space="preserve"> u pacjentów z chorobami serca</w:t>
      </w:r>
      <w:r w:rsidRPr="00F6466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F64665">
        <w:rPr>
          <w:rFonts w:ascii="Times New Roman" w:hAnsi="Times New Roman"/>
          <w:sz w:val="24"/>
          <w:szCs w:val="24"/>
          <w:lang w:val="pl-PL" w:eastAsia="pl-PL"/>
        </w:rPr>
        <w:t>dlatego zasugerowano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rozpoczęcie terapii od </w:t>
      </w:r>
      <w:proofErr w:type="spellStart"/>
      <w:r>
        <w:rPr>
          <w:rFonts w:ascii="Times New Roman" w:hAnsi="Times New Roman"/>
          <w:sz w:val="24"/>
          <w:szCs w:val="24"/>
          <w:lang w:val="pl-PL" w:eastAsia="pl-PL"/>
        </w:rPr>
        <w:t>tionamidów</w:t>
      </w:r>
      <w:proofErr w:type="spellEnd"/>
      <w:r>
        <w:rPr>
          <w:rFonts w:ascii="Times New Roman" w:hAnsi="Times New Roman"/>
          <w:sz w:val="24"/>
          <w:szCs w:val="24"/>
          <w:lang w:val="pl-PL" w:eastAsia="pl-PL"/>
        </w:rPr>
        <w:t xml:space="preserve"> przez co najmniej miesiąc, a steroidy dołączyć tylko wtedy gdy odpowiedź na leczenie jest słaba lub nie występuje</w:t>
      </w:r>
      <w:r w:rsidRPr="00F64665">
        <w:rPr>
          <w:rFonts w:ascii="Times New Roman" w:hAnsi="Times New Roman"/>
          <w:sz w:val="24"/>
          <w:szCs w:val="24"/>
          <w:lang w:val="pl-PL" w:eastAsia="pl-PL"/>
        </w:rPr>
        <w:t xml:space="preserve"> [61]. W naszej opinii strategia ta może okazać się szkodliwa u pacjentów z ciężkimi chorobami serca</w:t>
      </w:r>
      <w:r>
        <w:rPr>
          <w:rFonts w:ascii="Times New Roman" w:hAnsi="Times New Roman"/>
          <w:sz w:val="24"/>
          <w:szCs w:val="24"/>
          <w:lang w:val="pl-PL" w:eastAsia="pl-PL"/>
        </w:rPr>
        <w:t>, u których czynność tarczycy powinna być niezwłocznie wyrównana.</w:t>
      </w:r>
    </w:p>
    <w:p w14:paraId="4A90FF89" w14:textId="77777777" w:rsidR="00F878CA" w:rsidRPr="00F64665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7A81817" w14:textId="77777777" w:rsidR="00F878CA" w:rsidRPr="00F64665" w:rsidRDefault="00F878CA" w:rsidP="00F878CA">
      <w:pPr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64665">
        <w:rPr>
          <w:rFonts w:ascii="Times New Roman" w:hAnsi="Times New Roman"/>
          <w:b/>
          <w:sz w:val="24"/>
          <w:szCs w:val="24"/>
          <w:lang w:eastAsia="pl-PL"/>
        </w:rPr>
        <w:t>Opcje terapeutyczne u pacjentów z ciężką postacią AIT</w:t>
      </w:r>
    </w:p>
    <w:p w14:paraId="46B104B8" w14:textId="77777777" w:rsidR="00F878CA" w:rsidRPr="0068648E" w:rsidRDefault="00F878CA" w:rsidP="00F878C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Plazmafereza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100EE2EF" w14:textId="77777777" w:rsidR="00E8440A" w:rsidRPr="00E8440A" w:rsidRDefault="00E8440A" w:rsidP="00E84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57"/>
        <w:rPr>
          <w:rFonts w:ascii="Times New Roman" w:hAnsi="Times New Roman"/>
          <w:sz w:val="24"/>
          <w:szCs w:val="24"/>
        </w:rPr>
      </w:pPr>
      <w:r w:rsidRPr="00E8440A">
        <w:rPr>
          <w:rFonts w:ascii="Times New Roman" w:hAnsi="Times New Roman"/>
          <w:sz w:val="24"/>
          <w:szCs w:val="24"/>
        </w:rPr>
        <w:t xml:space="preserve">Skuteczność plazmaferezy jest, oględnie mówiąc, kontrowersyjna [1] Procedura ta jest rzadko stosowana z powodu nietrwałych efektów i wysokich kosztów. Sugerowano, że plazmafereza może być skuteczna w sytuacji, gdy leczenie farmakologiczne nie przyniosło zadowalających efektów. Plazmafereza pozwala na szybkie usunięcie nadmiaru jodu i hormonów tarczycy z krwioobiegu. Plazmafereza może również odgrywać rolę przed </w:t>
      </w:r>
      <w:proofErr w:type="spellStart"/>
      <w:r w:rsidRPr="00E8440A">
        <w:rPr>
          <w:rFonts w:ascii="Times New Roman" w:hAnsi="Times New Roman"/>
          <w:sz w:val="24"/>
          <w:szCs w:val="24"/>
        </w:rPr>
        <w:t>tyreoidektomią</w:t>
      </w:r>
      <w:proofErr w:type="spellEnd"/>
      <w:r w:rsidRPr="00E8440A">
        <w:rPr>
          <w:rFonts w:ascii="Times New Roman" w:hAnsi="Times New Roman"/>
          <w:sz w:val="24"/>
          <w:szCs w:val="24"/>
        </w:rPr>
        <w:t xml:space="preserve"> u chorych z ciężką postacią AIT, którzy są oporni na intensywną terapię farmakologiczną, a być może również u pacjentów, którzy wymagają ciągłego leczenia AMIO [62,63]. W naszej opinii, niestabilni hemodynamicznie chorzy mają złe rokowanie związane z zabiegiem plazmaferezy, szczególnie gdy niewydolność serca pogarsza się. Związane to jest ze zbyt długą ekspozycją na nadmiar hormonów tarczycy i innymi niepożądanymi działaniami AMIO, głównie z toksycznym wpływem na płuca. W Klinice Endokrynologii w Krakowie jeden chory z ciężką postacią AIT został poddany zabiegowi plazmaferezy i zmarł z powodu niewydolności oddechowej [64].</w:t>
      </w:r>
    </w:p>
    <w:p w14:paraId="2624A75E" w14:textId="77777777" w:rsidR="00F878CA" w:rsidRPr="00E8440A" w:rsidRDefault="00F878CA" w:rsidP="00F878C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73591FE" w14:textId="77777777" w:rsidR="00F878CA" w:rsidRPr="0068648E" w:rsidRDefault="00E8440A" w:rsidP="00F878C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Całkowite usunięcie tarczycy</w:t>
      </w:r>
      <w:r w:rsidR="00F878CA" w:rsidRPr="0068648E">
        <w:rPr>
          <w:rFonts w:ascii="Times New Roman" w:hAnsi="Times New Roman"/>
          <w:sz w:val="24"/>
          <w:szCs w:val="24"/>
          <w:lang w:eastAsia="pl-PL"/>
        </w:rPr>
        <w:t>.</w:t>
      </w:r>
    </w:p>
    <w:p w14:paraId="0D2EBD1B" w14:textId="1556CFD3" w:rsidR="00D77B15" w:rsidRPr="00D77B15" w:rsidRDefault="00D77B15" w:rsidP="00D77B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D77B15">
        <w:rPr>
          <w:rFonts w:ascii="Times New Roman" w:hAnsi="Times New Roman"/>
          <w:sz w:val="24"/>
          <w:szCs w:val="24"/>
        </w:rPr>
        <w:t xml:space="preserve">Całkowite wycięcie tarczycy nie jest leczeniem pierwszego rzutu w AIT, szczególnie u pacjentów z ciężkimi chorobami serca . Jednak postępowanie to może okazać się konieczne u pacjentów opornych na inne sposoby leczenia [65-67]. Ostatnie badania wykazały, że całkowite wycięcie tarczycy może być przeprowadzone u pacjentów z AIT bez poważnych powikłań [68-71]. </w:t>
      </w:r>
      <w:proofErr w:type="spellStart"/>
      <w:r w:rsidRPr="00D77B15">
        <w:rPr>
          <w:rFonts w:ascii="Times New Roman" w:hAnsi="Times New Roman"/>
          <w:sz w:val="24"/>
          <w:szCs w:val="24"/>
        </w:rPr>
        <w:t>Pierret</w:t>
      </w:r>
      <w:proofErr w:type="spellEnd"/>
      <w:r w:rsidRPr="00D77B15">
        <w:rPr>
          <w:rFonts w:ascii="Times New Roman" w:hAnsi="Times New Roman"/>
          <w:sz w:val="24"/>
          <w:szCs w:val="24"/>
        </w:rPr>
        <w:t xml:space="preserve"> et al. [72 ] przeprowadzili 11 </w:t>
      </w:r>
      <w:proofErr w:type="spellStart"/>
      <w:r w:rsidRPr="00D77B15">
        <w:rPr>
          <w:rFonts w:ascii="Times New Roman" w:hAnsi="Times New Roman"/>
          <w:sz w:val="24"/>
          <w:szCs w:val="24"/>
        </w:rPr>
        <w:t>tyroidektomii</w:t>
      </w:r>
      <w:proofErr w:type="spellEnd"/>
      <w:r w:rsidRPr="00D77B15">
        <w:rPr>
          <w:rFonts w:ascii="Times New Roman" w:hAnsi="Times New Roman"/>
          <w:sz w:val="24"/>
          <w:szCs w:val="24"/>
        </w:rPr>
        <w:t xml:space="preserve"> u pacjentów z AIT: 9 pacjentów nie miało żadnych powikłań po planowej operacji, zaś 2 pacjentów wymagało operacji ratującej życie z powodu niewydolności wielonarządowej </w:t>
      </w:r>
      <w:r w:rsidRPr="00D77B15">
        <w:rPr>
          <w:rFonts w:ascii="Times New Roman" w:hAnsi="Times New Roman"/>
          <w:sz w:val="24"/>
          <w:szCs w:val="24"/>
        </w:rPr>
        <w:lastRenderedPageBreak/>
        <w:t>oraz powikłań sercowych. Bezpośrednie powikłania pooperacyjne wystąpiły w obu przypadkach [72]. Decyzja o kwalifikacji do zabiegu jest, dlatego do takiego postępowania kwalifikować powinien zespół złożony z doświadczonych endokrynologów , kardiologów i chirurgów. W naszej opinii, operacja nie powinna być opóźniana, jeśli pogarsza  się st</w:t>
      </w:r>
      <w:r w:rsidR="009E2221">
        <w:rPr>
          <w:rFonts w:ascii="Times New Roman" w:hAnsi="Times New Roman"/>
          <w:sz w:val="24"/>
          <w:szCs w:val="24"/>
        </w:rPr>
        <w:t>an hemodynamiczny pacjenta [72]</w:t>
      </w:r>
      <w:r w:rsidRPr="00D77B15">
        <w:rPr>
          <w:rFonts w:ascii="Times New Roman" w:hAnsi="Times New Roman"/>
          <w:sz w:val="24"/>
          <w:szCs w:val="24"/>
        </w:rPr>
        <w:t xml:space="preserve">. Całkowite wycięcie tarczycy, poprzez szybkie przywrócenie </w:t>
      </w:r>
      <w:proofErr w:type="spellStart"/>
      <w:r w:rsidRPr="00D77B15">
        <w:rPr>
          <w:rFonts w:ascii="Times New Roman" w:hAnsi="Times New Roman"/>
          <w:sz w:val="24"/>
          <w:szCs w:val="24"/>
        </w:rPr>
        <w:t>eutyreozy</w:t>
      </w:r>
      <w:proofErr w:type="spellEnd"/>
      <w:r w:rsidRPr="00D77B15">
        <w:rPr>
          <w:rFonts w:ascii="Times New Roman" w:hAnsi="Times New Roman"/>
          <w:sz w:val="24"/>
          <w:szCs w:val="24"/>
        </w:rPr>
        <w:t xml:space="preserve"> , może poprawić czynność serca i zmniejsza ryzyko zgonu u pacjentów z ciężką niewydolnością skurczową lewej komory [73 ]. W celu uzyskania lepszej kontroli nadczynności tarczycy przed operacją konieczne jest zastosowanie przez krótki okres kwasu </w:t>
      </w:r>
      <w:proofErr w:type="spellStart"/>
      <w:r w:rsidRPr="00D77B15">
        <w:rPr>
          <w:rFonts w:ascii="Times New Roman" w:hAnsi="Times New Roman"/>
          <w:sz w:val="24"/>
          <w:szCs w:val="24"/>
        </w:rPr>
        <w:t>jopanowego</w:t>
      </w:r>
      <w:proofErr w:type="spellEnd"/>
      <w:r w:rsidRPr="00D77B15">
        <w:rPr>
          <w:rFonts w:ascii="Times New Roman" w:hAnsi="Times New Roman"/>
          <w:sz w:val="24"/>
          <w:szCs w:val="24"/>
        </w:rPr>
        <w:t xml:space="preserve"> (w połączeniu z ATD) [58] lub wykonanie plazmaferezy. Aby uniknąć wyrzutu T3 po odstawieniu kwasu </w:t>
      </w:r>
      <w:proofErr w:type="spellStart"/>
      <w:r w:rsidRPr="00D77B15">
        <w:rPr>
          <w:rFonts w:ascii="Times New Roman" w:hAnsi="Times New Roman"/>
          <w:sz w:val="24"/>
          <w:szCs w:val="24"/>
        </w:rPr>
        <w:t>jopanowego</w:t>
      </w:r>
      <w:proofErr w:type="spellEnd"/>
      <w:r w:rsidRPr="00D77B15">
        <w:rPr>
          <w:rFonts w:ascii="Times New Roman" w:hAnsi="Times New Roman"/>
          <w:sz w:val="24"/>
          <w:szCs w:val="24"/>
        </w:rPr>
        <w:t xml:space="preserve"> należy kontynuować jego stosowanie przez 7-10 dni po operacji , szczególnie u pacjentów z bardzo wysokim stężeniem hormonów tarczycowych przed operacją. Konieczne jest właściwe przygotowanie pacjentów z AIT do zabiegu za pomocą β-</w:t>
      </w:r>
      <w:proofErr w:type="spellStart"/>
      <w:r w:rsidRPr="00D77B15">
        <w:rPr>
          <w:rFonts w:ascii="Times New Roman" w:hAnsi="Times New Roman"/>
          <w:sz w:val="24"/>
          <w:szCs w:val="24"/>
        </w:rPr>
        <w:t>blokera</w:t>
      </w:r>
      <w:proofErr w:type="spellEnd"/>
      <w:r w:rsidRPr="00D77B1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D77B15">
        <w:rPr>
          <w:rFonts w:ascii="Times New Roman" w:hAnsi="Times New Roman"/>
          <w:sz w:val="24"/>
          <w:szCs w:val="24"/>
        </w:rPr>
        <w:t>glikokortykosteroidów</w:t>
      </w:r>
      <w:proofErr w:type="spellEnd"/>
      <w:r w:rsidRPr="00D77B15">
        <w:rPr>
          <w:rFonts w:ascii="Times New Roman" w:hAnsi="Times New Roman"/>
          <w:sz w:val="24"/>
          <w:szCs w:val="24"/>
        </w:rPr>
        <w:t xml:space="preserve"> [65] . W naszej opinii, operacja jest bezpieczniejsza i bardziej skuteczna od plazmaferezy. Operacja może być konieczna, nawet we wczesnym stadium choroby, zwłaszcza w przełomie tarczycowym, gdy konieczne jest natychmiastowe wyrównanie czynności tarczycy i może uratować życie chorego. Bardzo ważne jest podjęcie decyzji o zabiegu w odpowiednim czasie. W Katedrze Endokrynologii w Krakowie przeprowadzono z sukcesem zabieg całkowitego wycięcia tarczycy w kilku przypadkach AIT zagrażających życiu, nieodpowiadających na leczenie farmakologiczne. Prowadzone było przedoperacyjne leczenie MMI dożylnie, nadchloranem</w:t>
      </w:r>
      <w:r w:rsidR="009E2221">
        <w:rPr>
          <w:rFonts w:ascii="Times New Roman" w:hAnsi="Times New Roman"/>
          <w:sz w:val="24"/>
          <w:szCs w:val="24"/>
        </w:rPr>
        <w:t xml:space="preserve"> sodu</w:t>
      </w:r>
      <w:r w:rsidRPr="00D77B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77B15">
        <w:rPr>
          <w:rFonts w:ascii="Times New Roman" w:hAnsi="Times New Roman"/>
          <w:sz w:val="24"/>
          <w:szCs w:val="24"/>
        </w:rPr>
        <w:t>glikokortykosteroidami</w:t>
      </w:r>
      <w:proofErr w:type="spellEnd"/>
      <w:r w:rsidRPr="00D77B15">
        <w:rPr>
          <w:rFonts w:ascii="Times New Roman" w:hAnsi="Times New Roman"/>
          <w:sz w:val="24"/>
          <w:szCs w:val="24"/>
        </w:rPr>
        <w:t xml:space="preserve"> parenteralnie oraz  </w:t>
      </w:r>
      <w:r w:rsidRPr="00D77B15">
        <w:rPr>
          <w:rFonts w:ascii="Times New Roman" w:hAnsi="Times New Roman"/>
          <w:sz w:val="24"/>
          <w:szCs w:val="24"/>
        </w:rPr>
        <w:sym w:font="Symbol" w:char="F062"/>
      </w:r>
      <w:r w:rsidRPr="00D77B15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D77B15">
        <w:rPr>
          <w:rFonts w:ascii="Times New Roman" w:hAnsi="Times New Roman"/>
          <w:sz w:val="24"/>
          <w:szCs w:val="24"/>
        </w:rPr>
        <w:t>blokerem</w:t>
      </w:r>
      <w:proofErr w:type="spellEnd"/>
      <w:r w:rsidRPr="00D77B15">
        <w:rPr>
          <w:rFonts w:ascii="Times New Roman" w:hAnsi="Times New Roman"/>
          <w:sz w:val="24"/>
          <w:szCs w:val="24"/>
        </w:rPr>
        <w:t xml:space="preserve"> [64 ]. Operacja powinna być także wykonywana jako ostateczna forma terapii u pacjentów z podejrzeniem nowotworu tarczycy, wolem oraz z dużym uciskiem na tchawicę. Zaleca się, aby zabieg był przeprowadzony przez wykwalifikowanego chirurga oraz została dokonana dokładna przedoperacyjna ocena anestezjologiczna.</w:t>
      </w:r>
    </w:p>
    <w:p w14:paraId="551963A3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A105236" w14:textId="77777777" w:rsidR="00F878CA" w:rsidRPr="008D696C" w:rsidRDefault="00D77B15" w:rsidP="008D696C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Lecz</w:t>
      </w:r>
      <w:r w:rsidRPr="008D696C">
        <w:rPr>
          <w:rFonts w:ascii="Times New Roman" w:hAnsi="Times New Roman"/>
          <w:sz w:val="24"/>
          <w:szCs w:val="24"/>
          <w:lang w:eastAsia="pl-PL"/>
        </w:rPr>
        <w:t xml:space="preserve">enie </w:t>
      </w:r>
      <w:proofErr w:type="spellStart"/>
      <w:r w:rsidRPr="008D696C">
        <w:rPr>
          <w:rFonts w:ascii="Times New Roman" w:hAnsi="Times New Roman"/>
          <w:sz w:val="24"/>
          <w:szCs w:val="24"/>
          <w:lang w:eastAsia="pl-PL"/>
        </w:rPr>
        <w:t>ra</w:t>
      </w:r>
      <w:r w:rsidR="00DC142A" w:rsidRPr="008D696C">
        <w:rPr>
          <w:rFonts w:ascii="Times New Roman" w:hAnsi="Times New Roman"/>
          <w:sz w:val="24"/>
          <w:szCs w:val="24"/>
          <w:lang w:eastAsia="pl-PL"/>
        </w:rPr>
        <w:t>diojodem</w:t>
      </w:r>
      <w:proofErr w:type="spellEnd"/>
      <w:r w:rsidR="00F878CA" w:rsidRPr="008D696C">
        <w:rPr>
          <w:rFonts w:ascii="Times New Roman" w:hAnsi="Times New Roman"/>
          <w:sz w:val="24"/>
          <w:szCs w:val="24"/>
          <w:lang w:eastAsia="pl-PL"/>
        </w:rPr>
        <w:t>.</w:t>
      </w:r>
    </w:p>
    <w:p w14:paraId="6F2EADF7" w14:textId="3A2A40B9" w:rsidR="008D696C" w:rsidRPr="008D696C" w:rsidRDefault="008D696C" w:rsidP="008D6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8D696C">
        <w:rPr>
          <w:rFonts w:ascii="Times New Roman" w:hAnsi="Times New Roman"/>
          <w:sz w:val="24"/>
          <w:szCs w:val="24"/>
        </w:rPr>
        <w:t xml:space="preserve">Terapia RAI nie jest zazwyczaj możliwa u pacjentów z AIT z powodu niskiego wychwytu jodu (RAIU) [2,74]. Niektóre badania pokazują jednak, że stosowanie RAI w tych przypadkach może czasami być uzasadnione, zwłaszcza u pacjentów z AIT o przewadze typu 1 [75]. Ponadto ostatnie badanie dotyczące 4 pacjentów z AIT typu 2 pokazuje, że pomimo niskiej wartości RAIU (&lt; 4%), leczenie dużymi dawkami (29-80 </w:t>
      </w:r>
      <w:proofErr w:type="spellStart"/>
      <w:r w:rsidRPr="008D696C">
        <w:rPr>
          <w:rFonts w:ascii="Times New Roman" w:hAnsi="Times New Roman"/>
          <w:sz w:val="24"/>
          <w:szCs w:val="24"/>
        </w:rPr>
        <w:t>mCi</w:t>
      </w:r>
      <w:proofErr w:type="spellEnd"/>
      <w:r w:rsidRPr="008D696C">
        <w:rPr>
          <w:rFonts w:ascii="Times New Roman" w:hAnsi="Times New Roman"/>
          <w:sz w:val="24"/>
          <w:szCs w:val="24"/>
        </w:rPr>
        <w:t xml:space="preserve">) RAI może </w:t>
      </w:r>
      <w:r w:rsidRPr="008D696C">
        <w:rPr>
          <w:rFonts w:ascii="Times New Roman" w:hAnsi="Times New Roman"/>
          <w:sz w:val="24"/>
          <w:szCs w:val="24"/>
        </w:rPr>
        <w:lastRenderedPageBreak/>
        <w:t xml:space="preserve">przywrócić </w:t>
      </w:r>
      <w:proofErr w:type="spellStart"/>
      <w:r w:rsidRPr="008D696C">
        <w:rPr>
          <w:rFonts w:ascii="Times New Roman" w:hAnsi="Times New Roman"/>
          <w:sz w:val="24"/>
          <w:szCs w:val="24"/>
        </w:rPr>
        <w:t>eutyreozę</w:t>
      </w:r>
      <w:proofErr w:type="spellEnd"/>
      <w:r w:rsidRPr="008D696C">
        <w:rPr>
          <w:rFonts w:ascii="Times New Roman" w:hAnsi="Times New Roman"/>
          <w:sz w:val="24"/>
          <w:szCs w:val="24"/>
        </w:rPr>
        <w:t xml:space="preserve"> lub wywoływać niedoczynność tarczycy [76]. W Klinice Endokrynologii w Poznaniu leczono RAI chorych z AIT z niskim RAIU i żaden z leczonych pacjentów nie </w:t>
      </w:r>
      <w:r w:rsidR="00904DC9" w:rsidRPr="008D696C">
        <w:rPr>
          <w:rFonts w:ascii="Times New Roman" w:hAnsi="Times New Roman"/>
          <w:sz w:val="24"/>
          <w:szCs w:val="24"/>
        </w:rPr>
        <w:t>wymagał</w:t>
      </w:r>
      <w:r w:rsidRPr="008D696C">
        <w:rPr>
          <w:rFonts w:ascii="Times New Roman" w:hAnsi="Times New Roman"/>
          <w:sz w:val="24"/>
          <w:szCs w:val="24"/>
        </w:rPr>
        <w:t xml:space="preserve"> terapii RAI po raz drugi [75]. Wartości RAIU może zostać zwiększona poprzez podawanie rekombinowanego ludzkiego TSH u chorych z AIT typu 1 [77]. Podejście to może być ryzykowne, ponieważ rekombinowany ludzki TSH u tych chorych może spowodować wystąpienie trwałego wzrostu stężenia hormonów tarczycy w surowicy [78].</w:t>
      </w:r>
    </w:p>
    <w:p w14:paraId="6CD4E074" w14:textId="77777777" w:rsidR="00F878CA" w:rsidRPr="008D696C" w:rsidRDefault="00F878CA" w:rsidP="00F878C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DB3A891" w14:textId="77777777" w:rsidR="00F878CA" w:rsidRPr="008D696C" w:rsidRDefault="008D696C" w:rsidP="00F878CA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696C">
        <w:rPr>
          <w:rFonts w:ascii="Times New Roman" w:hAnsi="Times New Roman"/>
          <w:sz w:val="24"/>
          <w:szCs w:val="24"/>
        </w:rPr>
        <w:t xml:space="preserve">Embolizacja tętnicy tarczowej u chorych z AIT. </w:t>
      </w:r>
      <w:r w:rsidR="00F878CA" w:rsidRPr="008D696C">
        <w:rPr>
          <w:rFonts w:ascii="Times New Roman" w:hAnsi="Times New Roman"/>
          <w:sz w:val="24"/>
          <w:szCs w:val="24"/>
        </w:rPr>
        <w:t xml:space="preserve"> </w:t>
      </w:r>
    </w:p>
    <w:p w14:paraId="3056A834" w14:textId="77777777" w:rsidR="00F878CA" w:rsidRPr="008D696C" w:rsidRDefault="008D696C" w:rsidP="00F878C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696C">
        <w:rPr>
          <w:rFonts w:ascii="Times New Roman" w:hAnsi="Times New Roman"/>
          <w:sz w:val="24"/>
          <w:szCs w:val="24"/>
        </w:rPr>
        <w:t>Embolizacja tętnicy tarczowej może stanowić potencjalną alternatywę w niektórych przypadkach, ale brak jest dowodów na efektywność i bezpieczeństwo takiego leczenia u chorych z AIT</w:t>
      </w:r>
      <w:r w:rsidR="00F878CA" w:rsidRPr="008D696C">
        <w:rPr>
          <w:rFonts w:ascii="Times New Roman" w:hAnsi="Times New Roman"/>
          <w:sz w:val="24"/>
          <w:szCs w:val="24"/>
        </w:rPr>
        <w:t xml:space="preserve">  [79].</w:t>
      </w:r>
    </w:p>
    <w:p w14:paraId="077FB174" w14:textId="77777777" w:rsidR="00F878CA" w:rsidRPr="008D696C" w:rsidRDefault="00F878CA" w:rsidP="00F878C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8C76B75" w14:textId="77777777" w:rsidR="00F878CA" w:rsidRPr="008D696C" w:rsidRDefault="00866EB6" w:rsidP="008D696C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Kontrowersje związane z AIT</w:t>
      </w:r>
    </w:p>
    <w:p w14:paraId="257249D0" w14:textId="77777777" w:rsidR="00F878CA" w:rsidRPr="00830BB6" w:rsidRDefault="00866EB6" w:rsidP="00830BB6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6EB6">
        <w:rPr>
          <w:rFonts w:ascii="Times New Roman" w:hAnsi="Times New Roman"/>
          <w:sz w:val="24"/>
          <w:szCs w:val="24"/>
          <w:lang w:eastAsia="pl-PL"/>
        </w:rPr>
        <w:t>Czy sto</w:t>
      </w:r>
      <w:r w:rsidRPr="00830BB6">
        <w:rPr>
          <w:rFonts w:ascii="Times New Roman" w:hAnsi="Times New Roman"/>
          <w:sz w:val="24"/>
          <w:szCs w:val="24"/>
          <w:lang w:eastAsia="pl-PL"/>
        </w:rPr>
        <w:t>sowanie AMIO powinno być kontynuowane czy zaprzestane po rozpoznaniu AIT?</w:t>
      </w:r>
    </w:p>
    <w:p w14:paraId="2C867007" w14:textId="709E14D0" w:rsidR="00830BB6" w:rsidRPr="00830BB6" w:rsidRDefault="00830BB6" w:rsidP="00830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830BB6">
        <w:rPr>
          <w:rFonts w:ascii="Times New Roman" w:hAnsi="Times New Roman"/>
          <w:sz w:val="24"/>
          <w:szCs w:val="24"/>
        </w:rPr>
        <w:t xml:space="preserve">Decyzja, czy terapia AMIO może zostać przerwana wymaga ścisłego porozumienia między kardiologiem i endokrynologiem. Często wycofanie leku z kardiologicznego punktu widzenia, nie jest możliwe. AMIO (i/lub jod) jest przyczyną uszkodzenia tarczycy i związaną z tym nadczynność tarczycy w przebiegu AIT typu 2, z tego też powodu wycofanie leku powinno mieć korzystny wpływ na przebieg choroby. Z drugiej strony, ze względu na długi okres półtrwania leku [80], przerwanie stosowania AMIO może okazać się bezużyteczne, przynajmniej w początkowym okresie od odstawienia. Kilka niewielkich badań pokazuje, że kontynuowanie terapii AMIO nie zmniejsza odsetka wyleczeń pacjentów z AIT, którzy otrzymują ATD, </w:t>
      </w:r>
      <w:proofErr w:type="spellStart"/>
      <w:r w:rsidRPr="00830BB6">
        <w:rPr>
          <w:rFonts w:ascii="Times New Roman" w:hAnsi="Times New Roman"/>
          <w:sz w:val="24"/>
          <w:szCs w:val="24"/>
        </w:rPr>
        <w:t>glikokortykosteroidy</w:t>
      </w:r>
      <w:proofErr w:type="spellEnd"/>
      <w:r w:rsidRPr="00830BB6">
        <w:rPr>
          <w:rFonts w:ascii="Times New Roman" w:hAnsi="Times New Roman"/>
          <w:sz w:val="24"/>
          <w:szCs w:val="24"/>
        </w:rPr>
        <w:t xml:space="preserve">, lub łącznie obydwa rodzaje leków [59,80,81]. Podobnie jedno z badań wykazało, że kontynuacja leczenia AMIO nie wpływa znacząco na normalizację poziomu hormonów tarczycy w surowicy krwi u pacjentów z AIT typu 2 leczonych </w:t>
      </w:r>
      <w:proofErr w:type="spellStart"/>
      <w:r w:rsidRPr="00830BB6">
        <w:rPr>
          <w:rFonts w:ascii="Times New Roman" w:hAnsi="Times New Roman"/>
          <w:sz w:val="24"/>
          <w:szCs w:val="24"/>
        </w:rPr>
        <w:t>glikokortykosteroidami</w:t>
      </w:r>
      <w:proofErr w:type="spellEnd"/>
      <w:r w:rsidRPr="00830BB6">
        <w:rPr>
          <w:rFonts w:ascii="Times New Roman" w:hAnsi="Times New Roman"/>
          <w:sz w:val="24"/>
          <w:szCs w:val="24"/>
        </w:rPr>
        <w:t xml:space="preserve"> [82]. Ostateczny czas do osiągnięcia </w:t>
      </w:r>
      <w:proofErr w:type="spellStart"/>
      <w:r w:rsidRPr="00830BB6">
        <w:rPr>
          <w:rFonts w:ascii="Times New Roman" w:hAnsi="Times New Roman"/>
          <w:sz w:val="24"/>
          <w:szCs w:val="24"/>
        </w:rPr>
        <w:t>eutyreozy</w:t>
      </w:r>
      <w:proofErr w:type="spellEnd"/>
      <w:r w:rsidRPr="00830BB6">
        <w:rPr>
          <w:rFonts w:ascii="Times New Roman" w:hAnsi="Times New Roman"/>
          <w:sz w:val="24"/>
          <w:szCs w:val="24"/>
        </w:rPr>
        <w:t xml:space="preserve"> był znacznie dłuższy, a wskaźnik wyleczeń był niższy u pacjentów przyjmujących AMIO, choć nie osiągnął istotności statystycznej prawdopodobnie ze względu na małą liczebność próby [82]. Zaobserwowanie, że kontynuacja stosowania AMIO opóźnia efekt leczenia u chorych z AIT pozwala odrzucić tezę, że kontynuowanie terapii AMIO nie wpływa na wynik leczenia w AIT. Koncepcja ta </w:t>
      </w:r>
      <w:r w:rsidRPr="00830BB6">
        <w:rPr>
          <w:rFonts w:ascii="Times New Roman" w:hAnsi="Times New Roman"/>
          <w:sz w:val="24"/>
          <w:szCs w:val="24"/>
        </w:rPr>
        <w:lastRenderedPageBreak/>
        <w:t xml:space="preserve">znajduje również potwierdzenie w obserwacji, że częstość nawrotu nadczynności tarczycy była znacznie częstsza u pacjentów kontynuujących AMIO [82]. Ponadto pacjenci przyjmujący AMIO mieli częściej ostre incydenty sercowe niż ci, u których AMIO było przerwane. Podsumowując można stwierdzić, że kontynuowanie stosowania AMIO u pacjentów z AIT typu 2 wiąże się z dłuższym czasem do wyleczenia i opóźnionym uzyskaniem </w:t>
      </w:r>
      <w:proofErr w:type="spellStart"/>
      <w:r w:rsidRPr="00830BB6">
        <w:rPr>
          <w:rFonts w:ascii="Times New Roman" w:hAnsi="Times New Roman"/>
          <w:sz w:val="24"/>
          <w:szCs w:val="24"/>
        </w:rPr>
        <w:t>eutyreozy</w:t>
      </w:r>
      <w:proofErr w:type="spellEnd"/>
      <w:r w:rsidRPr="00830BB6">
        <w:rPr>
          <w:rFonts w:ascii="Times New Roman" w:hAnsi="Times New Roman"/>
          <w:sz w:val="24"/>
          <w:szCs w:val="24"/>
        </w:rPr>
        <w:t xml:space="preserve"> [82]. Jeśli stan pacjenta jest stabilny i pozwala na to choroba serca oraz oczekuje się, że stan </w:t>
      </w:r>
      <w:proofErr w:type="spellStart"/>
      <w:r w:rsidRPr="00830BB6">
        <w:rPr>
          <w:rFonts w:ascii="Times New Roman" w:hAnsi="Times New Roman"/>
          <w:sz w:val="24"/>
          <w:szCs w:val="24"/>
        </w:rPr>
        <w:t>eutyreozy</w:t>
      </w:r>
      <w:proofErr w:type="spellEnd"/>
      <w:r w:rsidRPr="00830BB6">
        <w:rPr>
          <w:rFonts w:ascii="Times New Roman" w:hAnsi="Times New Roman"/>
          <w:sz w:val="24"/>
          <w:szCs w:val="24"/>
        </w:rPr>
        <w:t xml:space="preserve"> zostanie osiągnięty w krótkim czasie (prawdopodobnie &lt;40 dni), stosowanie AMIO można bezpiecznie przerwać i ponownie włączyć do leczenia po osiągnięciu stanu </w:t>
      </w:r>
      <w:proofErr w:type="spellStart"/>
      <w:r w:rsidRPr="00830BB6">
        <w:rPr>
          <w:rFonts w:ascii="Times New Roman" w:hAnsi="Times New Roman"/>
          <w:sz w:val="24"/>
          <w:szCs w:val="24"/>
        </w:rPr>
        <w:t>eutyreozy</w:t>
      </w:r>
      <w:proofErr w:type="spellEnd"/>
      <w:r w:rsidRPr="00830BB6">
        <w:rPr>
          <w:rFonts w:ascii="Times New Roman" w:hAnsi="Times New Roman"/>
          <w:sz w:val="24"/>
          <w:szCs w:val="24"/>
        </w:rPr>
        <w:t>. Jeśli zaś choroba serca jest niestabilna i wymaga kontynuacji AMIO, lek nie musi być wycofany. W tej ostatniej sytuacji należy rozstrzygnąć, czy istotniejsze jest szybsze wyrównanie nadczynności tarczycy, czy kontynuacja AMIO, a przez to wydłużona ekspozycja serca na hormony tarczycowe [65,69,83]. Problem jest bardziej złożony u chorych z typem 1 AIT oraz w postaciach mieszanych/nieokreślonych. Brak jest kontrolowanych badań klinicznych na ten temat, wiemy jednak, że efekty związane z nadmiarem jodu mogą utrzymywać się nawet kilka miesięcy po odstawieniu leku [2]. Podsumowując, endokrynolodzy często preferują wycofanie AMIO, zwłaszcza w typie 1 AIT, jeśli nie jest to niebezpieczne dla pacjenta z kardiologicznego punktu widzenia.</w:t>
      </w:r>
    </w:p>
    <w:p w14:paraId="3C84909D" w14:textId="77777777" w:rsidR="00F878CA" w:rsidRPr="00830BB6" w:rsidRDefault="00F878CA" w:rsidP="00F878C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4ACA93B" w14:textId="2AF9C221" w:rsidR="00F878CA" w:rsidRPr="00E25617" w:rsidRDefault="00F42485" w:rsidP="00F878CA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5617">
        <w:rPr>
          <w:rFonts w:ascii="Times New Roman" w:hAnsi="Times New Roman"/>
          <w:sz w:val="24"/>
          <w:szCs w:val="24"/>
          <w:lang w:eastAsia="pl-PL"/>
        </w:rPr>
        <w:t xml:space="preserve">Potrzeba ponownego zastosowania AMIO po </w:t>
      </w:r>
      <w:r w:rsidR="00432CCB" w:rsidRPr="00E25617">
        <w:rPr>
          <w:rFonts w:ascii="Times New Roman" w:hAnsi="Times New Roman"/>
          <w:sz w:val="24"/>
          <w:szCs w:val="24"/>
          <w:lang w:eastAsia="pl-PL"/>
        </w:rPr>
        <w:t>wcześniejszym</w:t>
      </w:r>
      <w:r w:rsidRPr="00E25617">
        <w:rPr>
          <w:rFonts w:ascii="Times New Roman" w:hAnsi="Times New Roman"/>
          <w:sz w:val="24"/>
          <w:szCs w:val="24"/>
          <w:lang w:eastAsia="pl-PL"/>
        </w:rPr>
        <w:t xml:space="preserve"> epizodzie</w:t>
      </w:r>
      <w:r w:rsidR="00F878CA" w:rsidRPr="00E25617">
        <w:rPr>
          <w:rFonts w:ascii="Times New Roman" w:hAnsi="Times New Roman"/>
          <w:sz w:val="24"/>
          <w:szCs w:val="24"/>
          <w:lang w:eastAsia="pl-PL"/>
        </w:rPr>
        <w:t xml:space="preserve"> AIT. </w:t>
      </w:r>
    </w:p>
    <w:p w14:paraId="2EE5203D" w14:textId="77777777" w:rsidR="00F42485" w:rsidRPr="00E25617" w:rsidRDefault="00F42485" w:rsidP="00F42485">
      <w:pPr>
        <w:pStyle w:val="HTML-wstpniesformatowany"/>
        <w:spacing w:line="360" w:lineRule="auto"/>
        <w:ind w:left="360"/>
        <w:rPr>
          <w:rFonts w:ascii="Times New Roman" w:hAnsi="Times New Roman"/>
          <w:sz w:val="24"/>
          <w:szCs w:val="24"/>
          <w:lang w:val="pl-PL"/>
        </w:rPr>
      </w:pPr>
      <w:r w:rsidRPr="00E25617">
        <w:rPr>
          <w:rFonts w:ascii="Times New Roman" w:hAnsi="Times New Roman"/>
          <w:sz w:val="24"/>
          <w:szCs w:val="24"/>
          <w:lang w:val="pl-PL"/>
        </w:rPr>
        <w:t xml:space="preserve">Dowody wskazujące na ponowne wystąpienie zaburzeń czynności tarczycy po ponownym włączeniu AMIO są niewystarczające. Dane z piśmiennictwa wskazują, że typ 2 AIT może prowadzić do niedoczynności tarczycy, dzieje się to samoistnie lub po ponownej ekspozycji na jod [84,85]. Spontaniczny postęp w kierunku niedoczynności tarczycy jest w dłuższej perspektywie znacznie częstszy po AIT typu 2 niż po podostrym zapaleniu tarczycy [86]. W typie 1 podobne zjawisko nie występuje, ponieważ tarczyca jest od samego początku nieprawidłowa. W związku z powyższym zaleca się okresową obserwację i kontrolę chorych z AIT typu 2, zaś u chorych z typem 1 profilaktyczną ablację tarczycy (RAI lub </w:t>
      </w:r>
      <w:proofErr w:type="spellStart"/>
      <w:r w:rsidRPr="00E25617">
        <w:rPr>
          <w:rFonts w:ascii="Times New Roman" w:hAnsi="Times New Roman"/>
          <w:sz w:val="24"/>
          <w:szCs w:val="24"/>
          <w:lang w:val="pl-PL"/>
        </w:rPr>
        <w:t>tyreoidektomia</w:t>
      </w:r>
      <w:proofErr w:type="spellEnd"/>
      <w:r w:rsidRPr="00E25617">
        <w:rPr>
          <w:rFonts w:ascii="Times New Roman" w:hAnsi="Times New Roman"/>
          <w:sz w:val="24"/>
          <w:szCs w:val="24"/>
          <w:lang w:val="pl-PL"/>
        </w:rPr>
        <w:t xml:space="preserve">). Jeśli po ponownym zastosowaniu terapii AMIO rozwija się niedoczynność tarczycy, AMIO powinien być kontynuowany, zaś niedoczynność tarczycy leczona </w:t>
      </w:r>
      <w:proofErr w:type="spellStart"/>
      <w:r w:rsidRPr="00E25617">
        <w:rPr>
          <w:rFonts w:ascii="Times New Roman" w:hAnsi="Times New Roman"/>
          <w:sz w:val="24"/>
          <w:szCs w:val="24"/>
          <w:lang w:val="pl-PL"/>
        </w:rPr>
        <w:t>lewotyroksyną</w:t>
      </w:r>
      <w:proofErr w:type="spellEnd"/>
      <w:r w:rsidRPr="00E25617">
        <w:rPr>
          <w:rFonts w:ascii="Times New Roman" w:hAnsi="Times New Roman"/>
          <w:sz w:val="24"/>
          <w:szCs w:val="24"/>
          <w:lang w:val="pl-PL"/>
        </w:rPr>
        <w:t>.</w:t>
      </w:r>
    </w:p>
    <w:p w14:paraId="27129BE7" w14:textId="77777777" w:rsidR="00F878CA" w:rsidRPr="00E25617" w:rsidRDefault="00F878CA" w:rsidP="00F878C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FF3BB4C" w14:textId="77777777" w:rsidR="00F878CA" w:rsidRPr="00E25617" w:rsidRDefault="00F42485" w:rsidP="00F878CA">
      <w:pPr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25617">
        <w:rPr>
          <w:rFonts w:ascii="Times New Roman" w:hAnsi="Times New Roman"/>
          <w:sz w:val="24"/>
          <w:szCs w:val="24"/>
          <w:lang w:eastAsia="pl-PL"/>
        </w:rPr>
        <w:t>Nowe leki: alternatywa dla AMIO?</w:t>
      </w:r>
    </w:p>
    <w:p w14:paraId="146505F0" w14:textId="57022106" w:rsidR="00644BFB" w:rsidRPr="00644BFB" w:rsidRDefault="00644BFB" w:rsidP="00644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644BFB">
        <w:rPr>
          <w:rFonts w:ascii="Times New Roman" w:hAnsi="Times New Roman"/>
          <w:sz w:val="24"/>
          <w:szCs w:val="24"/>
        </w:rPr>
        <w:lastRenderedPageBreak/>
        <w:t>Chociaż kilka leków, które strukturalnie są zbliż</w:t>
      </w:r>
      <w:r w:rsidR="00E473E6">
        <w:rPr>
          <w:rFonts w:ascii="Times New Roman" w:hAnsi="Times New Roman"/>
          <w:sz w:val="24"/>
          <w:szCs w:val="24"/>
        </w:rPr>
        <w:t>o</w:t>
      </w:r>
      <w:r w:rsidRPr="00644BFB">
        <w:rPr>
          <w:rFonts w:ascii="Times New Roman" w:hAnsi="Times New Roman"/>
          <w:sz w:val="24"/>
          <w:szCs w:val="24"/>
        </w:rPr>
        <w:t xml:space="preserve">ne do AMIO było testowanych, tylko </w:t>
      </w:r>
      <w:proofErr w:type="spellStart"/>
      <w:r w:rsidRPr="00644BFB">
        <w:rPr>
          <w:rFonts w:ascii="Times New Roman" w:hAnsi="Times New Roman"/>
          <w:sz w:val="24"/>
          <w:szCs w:val="24"/>
        </w:rPr>
        <w:t>dronedaron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został zarejestrowany do leczenia arytmii. </w:t>
      </w:r>
      <w:proofErr w:type="spellStart"/>
      <w:r w:rsidRPr="00644BFB">
        <w:rPr>
          <w:rFonts w:ascii="Times New Roman" w:hAnsi="Times New Roman"/>
          <w:sz w:val="24"/>
          <w:szCs w:val="24"/>
        </w:rPr>
        <w:t>Dronedaron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(nazwa handlowa </w:t>
      </w:r>
      <w:proofErr w:type="spellStart"/>
      <w:r w:rsidRPr="00644BFB">
        <w:rPr>
          <w:rFonts w:ascii="Times New Roman" w:hAnsi="Times New Roman"/>
          <w:sz w:val="24"/>
          <w:szCs w:val="24"/>
        </w:rPr>
        <w:t>Multaq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) jest </w:t>
      </w:r>
      <w:proofErr w:type="spellStart"/>
      <w:r w:rsidRPr="00644BFB">
        <w:rPr>
          <w:rFonts w:ascii="Times New Roman" w:hAnsi="Times New Roman"/>
          <w:sz w:val="24"/>
          <w:szCs w:val="24"/>
        </w:rPr>
        <w:t>niejodową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pochodną benzofuranu. </w:t>
      </w:r>
      <w:proofErr w:type="spellStart"/>
      <w:r w:rsidRPr="00644BFB">
        <w:rPr>
          <w:rFonts w:ascii="Times New Roman" w:hAnsi="Times New Roman"/>
          <w:sz w:val="24"/>
          <w:szCs w:val="24"/>
        </w:rPr>
        <w:t>Dronedaron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jest mniej </w:t>
      </w:r>
      <w:proofErr w:type="spellStart"/>
      <w:r w:rsidRPr="00644BFB">
        <w:rPr>
          <w:rFonts w:ascii="Times New Roman" w:hAnsi="Times New Roman"/>
          <w:sz w:val="24"/>
          <w:szCs w:val="24"/>
        </w:rPr>
        <w:t>lipofilny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niż AMIO oraz ma znacznie krótszy okres półtrwania (24 h) niż AMIO [87]. </w:t>
      </w:r>
      <w:proofErr w:type="spellStart"/>
      <w:r w:rsidRPr="00644BFB">
        <w:rPr>
          <w:rFonts w:ascii="Times New Roman" w:hAnsi="Times New Roman"/>
          <w:sz w:val="24"/>
          <w:szCs w:val="24"/>
        </w:rPr>
        <w:t>Dronedaron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wydaje się nie wywoływać działań niepożądanych w zakresie tarczycy, płuc oraz układu nerwowego. </w:t>
      </w:r>
      <w:proofErr w:type="spellStart"/>
      <w:r w:rsidRPr="00644BFB">
        <w:rPr>
          <w:rFonts w:ascii="Times New Roman" w:hAnsi="Times New Roman"/>
          <w:sz w:val="24"/>
          <w:szCs w:val="24"/>
        </w:rPr>
        <w:t>Dronedaron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był przedmiotem siedmiu randomizowanych badań klinicznych fazy II/III, oceniających jego skuteczność u ponad 7000 pacjentów [87,88]. Okazał się on być skuteczniejszy od placebo w zakresie kontroli rytmu serca u chorych z </w:t>
      </w:r>
      <w:r w:rsidR="00E473E6">
        <w:rPr>
          <w:rFonts w:ascii="Times New Roman" w:hAnsi="Times New Roman"/>
          <w:sz w:val="24"/>
          <w:szCs w:val="24"/>
        </w:rPr>
        <w:t>migotaniem przedsionków (</w:t>
      </w:r>
      <w:r w:rsidRPr="00644BFB">
        <w:rPr>
          <w:rFonts w:ascii="Times New Roman" w:hAnsi="Times New Roman"/>
          <w:sz w:val="24"/>
          <w:szCs w:val="24"/>
        </w:rPr>
        <w:t>AF</w:t>
      </w:r>
      <w:r w:rsidR="00E473E6">
        <w:rPr>
          <w:rFonts w:ascii="Times New Roman" w:hAnsi="Times New Roman"/>
          <w:sz w:val="24"/>
          <w:szCs w:val="24"/>
        </w:rPr>
        <w:t>)</w:t>
      </w:r>
      <w:r w:rsidRPr="00644BFB">
        <w:rPr>
          <w:rFonts w:ascii="Times New Roman" w:hAnsi="Times New Roman"/>
          <w:sz w:val="24"/>
          <w:szCs w:val="24"/>
        </w:rPr>
        <w:t xml:space="preserve"> oraz w zapobieganiu nawrotom AF następującym po kardiowersji. Jednak tylko porównanie </w:t>
      </w:r>
      <w:proofErr w:type="spellStart"/>
      <w:r w:rsidRPr="00644BFB">
        <w:rPr>
          <w:rFonts w:ascii="Times New Roman" w:hAnsi="Times New Roman"/>
          <w:sz w:val="24"/>
          <w:szCs w:val="24"/>
        </w:rPr>
        <w:t>head</w:t>
      </w:r>
      <w:proofErr w:type="spellEnd"/>
      <w:r w:rsidRPr="00644BFB">
        <w:rPr>
          <w:rFonts w:ascii="Times New Roman" w:hAnsi="Times New Roman"/>
          <w:sz w:val="24"/>
          <w:szCs w:val="24"/>
        </w:rPr>
        <w:t>-to-</w:t>
      </w:r>
      <w:proofErr w:type="spellStart"/>
      <w:r w:rsidRPr="00644BFB">
        <w:rPr>
          <w:rFonts w:ascii="Times New Roman" w:hAnsi="Times New Roman"/>
          <w:sz w:val="24"/>
          <w:szCs w:val="24"/>
        </w:rPr>
        <w:t>head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z AMIO u 504 pacjentów wykazało wyższość AMIO nad </w:t>
      </w:r>
      <w:proofErr w:type="spellStart"/>
      <w:r w:rsidRPr="00644BFB">
        <w:rPr>
          <w:rFonts w:ascii="Times New Roman" w:hAnsi="Times New Roman"/>
          <w:sz w:val="24"/>
          <w:szCs w:val="24"/>
        </w:rPr>
        <w:t>dronedaronem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w zapobieganiu nawrotom AF [89]. Niemniej jednak FDA zaaprobowała </w:t>
      </w:r>
      <w:proofErr w:type="spellStart"/>
      <w:r w:rsidRPr="00644BFB">
        <w:rPr>
          <w:rFonts w:ascii="Times New Roman" w:hAnsi="Times New Roman"/>
          <w:sz w:val="24"/>
          <w:szCs w:val="24"/>
        </w:rPr>
        <w:t>dronedaron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do stosowania klinicznego w dniu 2 lipca 2009 roku, zaś Narodowy Instytut Zdrowia (NICE) w roku 2010 [90]. Zgodnie z wytycznymi Europejskiego Towarzystwa Kardiologicznego od 2012 </w:t>
      </w:r>
      <w:proofErr w:type="spellStart"/>
      <w:r w:rsidRPr="00644BFB">
        <w:rPr>
          <w:rFonts w:ascii="Times New Roman" w:hAnsi="Times New Roman"/>
          <w:sz w:val="24"/>
          <w:szCs w:val="24"/>
        </w:rPr>
        <w:t>dronedaronu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nie należy stosować u pacjentów z objawową niewydolnością serca i/lub frakcją wyrzutową poniżej 35 %, a także u pacjentów z utrwalonym migotaniem przedsionków. Inne, niezarejestrowane leki podobne do AMIO to </w:t>
      </w:r>
      <w:proofErr w:type="spellStart"/>
      <w:r w:rsidRPr="00644BFB">
        <w:rPr>
          <w:rFonts w:ascii="Times New Roman" w:hAnsi="Times New Roman"/>
          <w:sz w:val="24"/>
          <w:szCs w:val="24"/>
        </w:rPr>
        <w:t>celiwaron</w:t>
      </w:r>
      <w:proofErr w:type="spellEnd"/>
      <w:r w:rsidRPr="00644BF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644BFB">
        <w:rPr>
          <w:rFonts w:ascii="Times New Roman" w:hAnsi="Times New Roman"/>
          <w:sz w:val="24"/>
          <w:szCs w:val="24"/>
        </w:rPr>
        <w:t>budiodaron</w:t>
      </w:r>
      <w:proofErr w:type="spellEnd"/>
      <w:r w:rsidRPr="00644BFB">
        <w:rPr>
          <w:rFonts w:ascii="Times New Roman" w:hAnsi="Times New Roman"/>
          <w:sz w:val="24"/>
          <w:szCs w:val="24"/>
        </w:rPr>
        <w:t>. Informacje dotyczące skutków niepożądanych w zakresie tarczycy są niewystarczające.</w:t>
      </w:r>
    </w:p>
    <w:p w14:paraId="02A18BED" w14:textId="77777777" w:rsidR="00F878CA" w:rsidRPr="00644BFB" w:rsidRDefault="00F878CA" w:rsidP="00644BFB">
      <w:pPr>
        <w:pStyle w:val="Akapitzlist"/>
        <w:spacing w:line="360" w:lineRule="auto"/>
        <w:ind w:left="1080"/>
      </w:pPr>
    </w:p>
    <w:p w14:paraId="0A81BE5F" w14:textId="77777777" w:rsidR="00F878CA" w:rsidRPr="0068648E" w:rsidRDefault="00644BFB" w:rsidP="00F878CA">
      <w:pPr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Niedoczynność tarczycy indukowana </w:t>
      </w:r>
      <w:proofErr w:type="spellStart"/>
      <w:r w:rsidR="00F878CA" w:rsidRPr="0068648E">
        <w:rPr>
          <w:rFonts w:ascii="Times New Roman" w:hAnsi="Times New Roman"/>
          <w:b/>
          <w:sz w:val="24"/>
          <w:szCs w:val="24"/>
        </w:rPr>
        <w:t>Amiodarone</w:t>
      </w:r>
      <w:r>
        <w:rPr>
          <w:rFonts w:ascii="Times New Roman" w:hAnsi="Times New Roman"/>
          <w:b/>
          <w:sz w:val="24"/>
          <w:szCs w:val="24"/>
        </w:rPr>
        <w:t>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2E70E9A1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BF88EA" w14:textId="7EA3AFF1" w:rsidR="00760E32" w:rsidRPr="00E473E6" w:rsidRDefault="00760E32" w:rsidP="00760E32">
      <w:pPr>
        <w:pStyle w:val="HTML-wstpniesformatowany"/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E473E6">
        <w:rPr>
          <w:rFonts w:ascii="Times New Roman" w:hAnsi="Times New Roman"/>
          <w:sz w:val="24"/>
          <w:szCs w:val="24"/>
          <w:lang w:val="pl-PL"/>
        </w:rPr>
        <w:t xml:space="preserve">AIH jest stosunkowo częstsze niż AIT na obszarach bogatych w jod [91]. W badaniu SAFE </w:t>
      </w:r>
      <w:proofErr w:type="spellStart"/>
      <w:r w:rsidRPr="00E473E6">
        <w:rPr>
          <w:rFonts w:ascii="Times New Roman" w:hAnsi="Times New Roman"/>
          <w:sz w:val="24"/>
          <w:szCs w:val="24"/>
          <w:lang w:val="pl-PL"/>
        </w:rPr>
        <w:t>subkliniczną</w:t>
      </w:r>
      <w:proofErr w:type="spellEnd"/>
      <w:r w:rsidRPr="00E473E6">
        <w:rPr>
          <w:rFonts w:ascii="Times New Roman" w:hAnsi="Times New Roman"/>
          <w:sz w:val="24"/>
          <w:szCs w:val="24"/>
          <w:lang w:val="pl-PL"/>
        </w:rPr>
        <w:t xml:space="preserve"> niedoczynność tarczycy, definiowaną jako TSH między 4.5-10 </w:t>
      </w:r>
      <w:proofErr w:type="spellStart"/>
      <w:r w:rsidRPr="00E473E6">
        <w:rPr>
          <w:rFonts w:ascii="Times New Roman" w:hAnsi="Times New Roman"/>
          <w:sz w:val="24"/>
          <w:szCs w:val="24"/>
          <w:lang w:val="pl-PL"/>
        </w:rPr>
        <w:t>mU</w:t>
      </w:r>
      <w:proofErr w:type="spellEnd"/>
      <w:r w:rsidRPr="00E473E6">
        <w:rPr>
          <w:rFonts w:ascii="Times New Roman" w:hAnsi="Times New Roman"/>
          <w:sz w:val="24"/>
          <w:szCs w:val="24"/>
          <w:lang w:val="pl-PL"/>
        </w:rPr>
        <w:t xml:space="preserve">/l, z prawidłowym poziomem hormonów tarczycy [28] stwierdzono u 25,8% pacjentów przyjmujących AMIO, natomiast jawna niedoczynność tarczycy (TSH&gt;10 </w:t>
      </w:r>
      <w:proofErr w:type="spellStart"/>
      <w:r w:rsidRPr="00E473E6">
        <w:rPr>
          <w:rFonts w:ascii="Times New Roman" w:hAnsi="Times New Roman"/>
          <w:sz w:val="24"/>
          <w:szCs w:val="24"/>
          <w:lang w:val="pl-PL"/>
        </w:rPr>
        <w:t>mU</w:t>
      </w:r>
      <w:proofErr w:type="spellEnd"/>
      <w:r w:rsidRPr="00E473E6">
        <w:rPr>
          <w:rFonts w:ascii="Times New Roman" w:hAnsi="Times New Roman"/>
          <w:sz w:val="24"/>
          <w:szCs w:val="24"/>
          <w:lang w:val="pl-PL"/>
        </w:rPr>
        <w:t>/l) wystąpiła u 5 % [28]. Nie stwierdza się wyraźnego związku między codzienną lub skumulowaną dawką AMIO na częstość występowania AIH [92], chociaż niektóre badania sugerują, że częstość występowania AIH spada do poniżej 5-10% po długotrwałym leczeniu AMIO (≥1 rok) [91,92]. To zmniejszenie częstości występowania może wynikać z adaptacji tarczycy oraz wystąpienia mechanizmów autoregulacyjnych do nadmiaru jodu. Przewlekłe autoimmun</w:t>
      </w:r>
      <w:r w:rsidR="00435632" w:rsidRPr="00E473E6">
        <w:rPr>
          <w:rFonts w:ascii="Times New Roman" w:hAnsi="Times New Roman"/>
          <w:sz w:val="24"/>
          <w:szCs w:val="24"/>
          <w:lang w:val="pl-PL"/>
        </w:rPr>
        <w:t>izacyjne</w:t>
      </w:r>
      <w:r w:rsidRPr="00E473E6">
        <w:rPr>
          <w:rFonts w:ascii="Times New Roman" w:hAnsi="Times New Roman"/>
          <w:sz w:val="24"/>
          <w:szCs w:val="24"/>
          <w:lang w:val="pl-PL"/>
        </w:rPr>
        <w:t xml:space="preserve"> zapalenie tarczycy jest głównym czynnikiem ryzyka dla rozwoju i utrzymywania się AIH, i stanowi prawdopodobne wyjaśnienie dla większej częstości AIH u płci żeńskiej (stosunek kobiet do mężczyzn: 1,5:1) [92]. AMIO może przyspieszyć naturalny </w:t>
      </w:r>
      <w:r w:rsidRPr="00E473E6">
        <w:rPr>
          <w:rFonts w:ascii="Times New Roman" w:hAnsi="Times New Roman"/>
          <w:sz w:val="24"/>
          <w:szCs w:val="24"/>
          <w:lang w:val="pl-PL"/>
        </w:rPr>
        <w:lastRenderedPageBreak/>
        <w:t>przebieg przewlekłego autoimmun</w:t>
      </w:r>
      <w:r w:rsidR="00C76867" w:rsidRPr="00E473E6">
        <w:rPr>
          <w:rFonts w:ascii="Times New Roman" w:hAnsi="Times New Roman"/>
          <w:sz w:val="24"/>
          <w:szCs w:val="24"/>
          <w:lang w:val="pl-PL"/>
        </w:rPr>
        <w:t xml:space="preserve">izacyjnego </w:t>
      </w:r>
      <w:r w:rsidRPr="00E473E6">
        <w:rPr>
          <w:rFonts w:ascii="Times New Roman" w:hAnsi="Times New Roman"/>
          <w:sz w:val="24"/>
          <w:szCs w:val="24"/>
          <w:lang w:val="pl-PL"/>
        </w:rPr>
        <w:t>zapalenia tarczycy poprzez nadmiar jodu (lub bezpośrednie działanie AMIO) oraz wywoływać uszkodzenie komórek tarczycy [43]. Ryzyko rozwoju AIH jest 14-krotnie wyższe, przy połączeniu istniejącej wcześniej obecności autoprzeciwciał skierowanych przeciw tarczycy i płci żeńskiej niż u mężczyzn bez autoimmunizacji [26,92]. Inna grupa pacjentów ze zwiększonym ryzykiem rozwoju AIH to chorzy z nieprawidłowym efektem ucieczki od efektu Wolffa-</w:t>
      </w:r>
      <w:proofErr w:type="spellStart"/>
      <w:r w:rsidRPr="00E473E6">
        <w:rPr>
          <w:rFonts w:ascii="Times New Roman" w:hAnsi="Times New Roman"/>
          <w:sz w:val="24"/>
          <w:szCs w:val="24"/>
          <w:lang w:val="pl-PL"/>
        </w:rPr>
        <w:t>Chaikoffa</w:t>
      </w:r>
      <w:proofErr w:type="spellEnd"/>
      <w:r w:rsidRPr="00E473E6">
        <w:rPr>
          <w:rFonts w:ascii="Times New Roman" w:hAnsi="Times New Roman"/>
          <w:sz w:val="24"/>
          <w:szCs w:val="24"/>
          <w:lang w:val="pl-PL"/>
        </w:rPr>
        <w:t xml:space="preserve"> [93]. AIH może spontanicznie ustępować, zwłaszcza w przypadku braku autoimmun</w:t>
      </w:r>
      <w:r w:rsidR="00C76867" w:rsidRPr="00E473E6">
        <w:rPr>
          <w:rFonts w:ascii="Times New Roman" w:hAnsi="Times New Roman"/>
          <w:sz w:val="24"/>
          <w:szCs w:val="24"/>
          <w:lang w:val="pl-PL"/>
        </w:rPr>
        <w:t>izacyjnej</w:t>
      </w:r>
      <w:r w:rsidRPr="00E473E6">
        <w:rPr>
          <w:rFonts w:ascii="Times New Roman" w:hAnsi="Times New Roman"/>
          <w:sz w:val="24"/>
          <w:szCs w:val="24"/>
          <w:lang w:val="pl-PL"/>
        </w:rPr>
        <w:t xml:space="preserve"> choroby tarczycy [94]. Według badań klinicznych, wskaźnikami ryzyka rozwoju niedoczynności tarczycy indukowanej AMIO są: wyjściowe stężenie TSH w surowicy &gt;1,4 </w:t>
      </w:r>
      <w:proofErr w:type="spellStart"/>
      <w:r w:rsidRPr="00E473E6">
        <w:rPr>
          <w:rFonts w:ascii="Times New Roman" w:hAnsi="Times New Roman"/>
          <w:sz w:val="24"/>
          <w:szCs w:val="24"/>
          <w:lang w:val="pl-PL"/>
        </w:rPr>
        <w:t>mU</w:t>
      </w:r>
      <w:proofErr w:type="spellEnd"/>
      <w:r w:rsidRPr="00E473E6">
        <w:rPr>
          <w:rFonts w:ascii="Times New Roman" w:hAnsi="Times New Roman"/>
          <w:sz w:val="24"/>
          <w:szCs w:val="24"/>
          <w:lang w:val="pl-PL"/>
        </w:rPr>
        <w:t>/l, funkcja lewej komory EF &lt;45% oraz cukrzyca [95,96]. Należy również pamiętać, że leczenie AMIO per</w:t>
      </w:r>
      <w:r w:rsidR="00E473E6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Pr="00E473E6">
        <w:rPr>
          <w:rFonts w:ascii="Times New Roman" w:hAnsi="Times New Roman"/>
          <w:sz w:val="24"/>
          <w:szCs w:val="24"/>
          <w:lang w:val="pl-PL"/>
        </w:rPr>
        <w:t>se</w:t>
      </w:r>
      <w:proofErr w:type="spellEnd"/>
      <w:r w:rsidRPr="00E473E6">
        <w:rPr>
          <w:rFonts w:ascii="Times New Roman" w:hAnsi="Times New Roman"/>
          <w:sz w:val="24"/>
          <w:szCs w:val="24"/>
          <w:lang w:val="pl-PL"/>
        </w:rPr>
        <w:t xml:space="preserve">, nawet w przypadkach bez niedoczynności tarczycy, jest związane ze wzrostem stężenia TSH i niższym stężeniem FT3, bradykardią, a także zwiększonym </w:t>
      </w:r>
      <w:r w:rsidR="00E473E6">
        <w:rPr>
          <w:rFonts w:ascii="Times New Roman" w:hAnsi="Times New Roman"/>
          <w:sz w:val="24"/>
          <w:szCs w:val="24"/>
          <w:lang w:val="pl-PL"/>
        </w:rPr>
        <w:t>stężeniem</w:t>
      </w:r>
      <w:r w:rsidRPr="00E473E6">
        <w:rPr>
          <w:rFonts w:ascii="Times New Roman" w:hAnsi="Times New Roman"/>
          <w:sz w:val="24"/>
          <w:szCs w:val="24"/>
          <w:lang w:val="pl-PL"/>
        </w:rPr>
        <w:t xml:space="preserve"> całkowitego i LDL cholesterolu.</w:t>
      </w:r>
    </w:p>
    <w:p w14:paraId="1AF455E2" w14:textId="77777777" w:rsidR="00F878CA" w:rsidRPr="00E473E6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8F8B3B" w14:textId="77777777" w:rsidR="00F878CA" w:rsidRPr="0068648E" w:rsidRDefault="00760E32" w:rsidP="00F878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Objawy kliniczne</w:t>
      </w:r>
    </w:p>
    <w:p w14:paraId="5FDD1EE3" w14:textId="77777777" w:rsidR="00F445C7" w:rsidRPr="00E473E6" w:rsidRDefault="00F445C7" w:rsidP="00F445C7">
      <w:pPr>
        <w:pStyle w:val="HTML-wstpniesformatowany"/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E473E6">
        <w:rPr>
          <w:rFonts w:ascii="Times New Roman" w:hAnsi="Times New Roman"/>
          <w:sz w:val="24"/>
          <w:szCs w:val="24"/>
          <w:lang w:val="pl-PL"/>
        </w:rPr>
        <w:t xml:space="preserve">Objawy AIH są identyczne jak w niedoczynności niezwiązanej ze stosowaniem AMIO i obejmują suchość skóry, zmęczenie, spowolnienie umysłowe, osłabienie, zaparcia, obfite miesiączki oraz zmniejszenie tolerancji na zimno. AIH może pogorszyć wrażliwość komór, na przykład na wystąpienie </w:t>
      </w:r>
      <w:proofErr w:type="spellStart"/>
      <w:r w:rsidRPr="00E473E6">
        <w:rPr>
          <w:rFonts w:ascii="Times New Roman" w:hAnsi="Times New Roman"/>
          <w:sz w:val="24"/>
          <w:szCs w:val="24"/>
          <w:lang w:val="pl-PL"/>
        </w:rPr>
        <w:t>torsade</w:t>
      </w:r>
      <w:proofErr w:type="spellEnd"/>
      <w:r w:rsidRPr="00E473E6">
        <w:rPr>
          <w:rFonts w:ascii="Times New Roman" w:hAnsi="Times New Roman"/>
          <w:sz w:val="24"/>
          <w:szCs w:val="24"/>
          <w:lang w:val="pl-PL"/>
        </w:rPr>
        <w:t xml:space="preserve"> de </w:t>
      </w:r>
      <w:proofErr w:type="spellStart"/>
      <w:r w:rsidRPr="00E473E6">
        <w:rPr>
          <w:rFonts w:ascii="Times New Roman" w:hAnsi="Times New Roman"/>
          <w:sz w:val="24"/>
          <w:szCs w:val="24"/>
          <w:lang w:val="pl-PL"/>
        </w:rPr>
        <w:t>pointes</w:t>
      </w:r>
      <w:proofErr w:type="spellEnd"/>
      <w:r w:rsidRPr="00E473E6">
        <w:rPr>
          <w:rFonts w:ascii="Times New Roman" w:hAnsi="Times New Roman"/>
          <w:sz w:val="24"/>
          <w:szCs w:val="24"/>
          <w:lang w:val="pl-PL"/>
        </w:rPr>
        <w:t xml:space="preserve">, gdy niedoczynność tarczycy się utrzymuje lub ma ciężki przebieg. Rzadziej AIH może być związana z ostrą niewydolnością nerek, która jest odwracalna po leczeniu </w:t>
      </w:r>
      <w:proofErr w:type="spellStart"/>
      <w:r w:rsidRPr="00E473E6">
        <w:rPr>
          <w:rFonts w:ascii="Times New Roman" w:hAnsi="Times New Roman"/>
          <w:sz w:val="24"/>
          <w:szCs w:val="24"/>
          <w:lang w:val="pl-PL"/>
        </w:rPr>
        <w:t>lewotyroksyny</w:t>
      </w:r>
      <w:proofErr w:type="spellEnd"/>
      <w:r w:rsidRPr="00E473E6">
        <w:rPr>
          <w:rFonts w:ascii="Times New Roman" w:hAnsi="Times New Roman"/>
          <w:sz w:val="24"/>
          <w:szCs w:val="24"/>
          <w:lang w:val="pl-PL"/>
        </w:rPr>
        <w:t xml:space="preserve"> i odstawieniu AMIO [27]. Niedoczynność tarczycy może rozwinąć się bardzo szybko, już po dwóch tygodniach lub dopiero 39 miesięcy po rozpoczęciu leczenia AMIO [97].</w:t>
      </w:r>
    </w:p>
    <w:p w14:paraId="40F6DD1B" w14:textId="77777777" w:rsidR="00F878CA" w:rsidRPr="00F445C7" w:rsidRDefault="00F878CA" w:rsidP="00F445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8D2B33" w14:textId="77777777" w:rsidR="00F878CA" w:rsidRPr="0068648E" w:rsidRDefault="00F445C7" w:rsidP="00F878CA">
      <w:pPr>
        <w:numPr>
          <w:ilvl w:val="0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Rozpoznanie</w:t>
      </w:r>
    </w:p>
    <w:p w14:paraId="17BF2DEE" w14:textId="77777777" w:rsidR="00F445C7" w:rsidRPr="00F445C7" w:rsidRDefault="00F445C7" w:rsidP="00F44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F445C7">
        <w:rPr>
          <w:rFonts w:ascii="Times New Roman" w:hAnsi="Times New Roman"/>
          <w:sz w:val="24"/>
          <w:szCs w:val="24"/>
        </w:rPr>
        <w:t xml:space="preserve">Rozpoznanie niedoczynności tarczycy jest zwykle proste i potwierdza je  stwierdzenie utrzymujących się wysokich wartości TSH w surowicy krwi (&gt;10 </w:t>
      </w:r>
      <w:proofErr w:type="spellStart"/>
      <w:r w:rsidRPr="00F445C7">
        <w:rPr>
          <w:rFonts w:ascii="Times New Roman" w:hAnsi="Times New Roman"/>
          <w:sz w:val="24"/>
          <w:szCs w:val="24"/>
        </w:rPr>
        <w:t>mU</w:t>
      </w:r>
      <w:proofErr w:type="spellEnd"/>
      <w:r w:rsidRPr="00F445C7">
        <w:rPr>
          <w:rFonts w:ascii="Times New Roman" w:hAnsi="Times New Roman"/>
          <w:sz w:val="24"/>
          <w:szCs w:val="24"/>
        </w:rPr>
        <w:t>/l), w połączeniu z prawidłowym (</w:t>
      </w:r>
      <w:proofErr w:type="spellStart"/>
      <w:r w:rsidRPr="00F445C7">
        <w:rPr>
          <w:rFonts w:ascii="Times New Roman" w:hAnsi="Times New Roman"/>
          <w:sz w:val="24"/>
          <w:szCs w:val="24"/>
        </w:rPr>
        <w:t>subkliniczna</w:t>
      </w:r>
      <w:proofErr w:type="spellEnd"/>
      <w:r w:rsidRPr="00F445C7">
        <w:rPr>
          <w:rFonts w:ascii="Times New Roman" w:hAnsi="Times New Roman"/>
          <w:sz w:val="24"/>
          <w:szCs w:val="24"/>
        </w:rPr>
        <w:t xml:space="preserve">) lub niskim (jawna niedoczynność tarczycy) stężeniem FT4 [44,92]. Całkowite stężenie T3 lub FT3 w surowicy krwi są mniej wiarygodnym wskaźnikiem niedoczynności tarczycy, gdyż mogą być one niskie nawet u pacjentów w </w:t>
      </w:r>
      <w:proofErr w:type="spellStart"/>
      <w:r w:rsidRPr="00F445C7">
        <w:rPr>
          <w:rFonts w:ascii="Times New Roman" w:hAnsi="Times New Roman"/>
          <w:sz w:val="24"/>
          <w:szCs w:val="24"/>
        </w:rPr>
        <w:t>eutyreozie</w:t>
      </w:r>
      <w:proofErr w:type="spellEnd"/>
      <w:r w:rsidRPr="00F445C7">
        <w:rPr>
          <w:rFonts w:ascii="Times New Roman" w:hAnsi="Times New Roman"/>
          <w:sz w:val="24"/>
          <w:szCs w:val="24"/>
        </w:rPr>
        <w:t xml:space="preserve"> podczas leczenia AMIO [26]. Czasami diagnoza może być utrudniona, ponieważ wysokie wartości TSH oraz niskie FT4 i szczególnie niskie FT3 mogą wstąpić u pacjentów z ciężkimi zaburzeniami serca lub innych </w:t>
      </w:r>
      <w:proofErr w:type="spellStart"/>
      <w:r w:rsidRPr="00F445C7">
        <w:rPr>
          <w:rFonts w:ascii="Times New Roman" w:hAnsi="Times New Roman"/>
          <w:sz w:val="24"/>
          <w:szCs w:val="24"/>
        </w:rPr>
        <w:t>pozatarczycowych</w:t>
      </w:r>
      <w:proofErr w:type="spellEnd"/>
      <w:r w:rsidRPr="00F445C7">
        <w:rPr>
          <w:rFonts w:ascii="Times New Roman" w:hAnsi="Times New Roman"/>
          <w:sz w:val="24"/>
          <w:szCs w:val="24"/>
        </w:rPr>
        <w:t xml:space="preserve"> chorobach [44].</w:t>
      </w:r>
    </w:p>
    <w:p w14:paraId="1C51B43E" w14:textId="77777777" w:rsidR="00F878CA" w:rsidRPr="00F445C7" w:rsidRDefault="00F878CA" w:rsidP="00F878CA">
      <w:pPr>
        <w:rPr>
          <w:szCs w:val="24"/>
        </w:rPr>
      </w:pPr>
      <w:r w:rsidRPr="00F445C7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057C6B85" w14:textId="77777777" w:rsidR="00F878CA" w:rsidRPr="0068648E" w:rsidRDefault="00EB3477" w:rsidP="00F878CA">
      <w:pPr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Postępowanie</w:t>
      </w:r>
    </w:p>
    <w:p w14:paraId="11357B40" w14:textId="77777777" w:rsidR="00EB3477" w:rsidRPr="00EB3477" w:rsidRDefault="00EB3477" w:rsidP="006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B3477">
        <w:rPr>
          <w:rFonts w:ascii="Times New Roman" w:hAnsi="Times New Roman"/>
          <w:sz w:val="24"/>
          <w:szCs w:val="24"/>
        </w:rPr>
        <w:t xml:space="preserve">AMIO powinno być kontynuowane zgodnie z zaleceniem kardiologa, biorąc pod uwagę fakt, że może wystąpić spontaniczna remisja niedoczynności tarczycy. Przerwanie leczenia AMIO jest znacznie mniej ważne w AIH niż AIT. Jeśli leczenie AMIO zostanie przerwane, decyzja o wszczęciu stosowania </w:t>
      </w:r>
      <w:proofErr w:type="spellStart"/>
      <w:r w:rsidRPr="00EB3477">
        <w:rPr>
          <w:rFonts w:ascii="Times New Roman" w:hAnsi="Times New Roman"/>
          <w:sz w:val="24"/>
          <w:szCs w:val="24"/>
        </w:rPr>
        <w:t>lewotyroksyny</w:t>
      </w:r>
      <w:proofErr w:type="spellEnd"/>
      <w:r w:rsidRPr="00EB3477">
        <w:rPr>
          <w:rFonts w:ascii="Times New Roman" w:hAnsi="Times New Roman"/>
          <w:sz w:val="24"/>
          <w:szCs w:val="24"/>
        </w:rPr>
        <w:t xml:space="preserve"> może zostać opóźniona [2]; jeśli zostało rozpoczęte leczenie, dawka </w:t>
      </w:r>
      <w:proofErr w:type="spellStart"/>
      <w:r w:rsidRPr="00EB3477">
        <w:rPr>
          <w:rFonts w:ascii="Times New Roman" w:hAnsi="Times New Roman"/>
          <w:sz w:val="24"/>
          <w:szCs w:val="24"/>
        </w:rPr>
        <w:t>lewotyroksyny</w:t>
      </w:r>
      <w:proofErr w:type="spellEnd"/>
      <w:r w:rsidRPr="00EB3477">
        <w:rPr>
          <w:rFonts w:ascii="Times New Roman" w:hAnsi="Times New Roman"/>
          <w:sz w:val="24"/>
          <w:szCs w:val="24"/>
        </w:rPr>
        <w:t xml:space="preserve"> powinna być odpowiednio dostosowana, tak aby utrzymać TSH w prawidłowym zakresie [98,99]. Wielu pacjentów bez wcześniejszej choroby tarczycy po zaprzestaniu stosowania AMIO uzyskuje </w:t>
      </w:r>
      <w:proofErr w:type="spellStart"/>
      <w:r w:rsidRPr="00EB3477">
        <w:rPr>
          <w:rFonts w:ascii="Times New Roman" w:hAnsi="Times New Roman"/>
          <w:sz w:val="24"/>
          <w:szCs w:val="24"/>
        </w:rPr>
        <w:t>eutyreozę</w:t>
      </w:r>
      <w:proofErr w:type="spellEnd"/>
      <w:r w:rsidRPr="00EB3477">
        <w:rPr>
          <w:rFonts w:ascii="Times New Roman" w:hAnsi="Times New Roman"/>
          <w:sz w:val="24"/>
          <w:szCs w:val="24"/>
        </w:rPr>
        <w:t xml:space="preserve"> w ciągu 2-4 miesięcy. Ze względu na fakt, że AMIO wpływa na metabolizm hormonów tarczycy, w leczeniu mogą być wymagane wyższe dawki tyroksyny [100,101]. Szczególnie należy zachować ostrożność u chorych z ciężkimi chorobami serca ze względu na możliwość powikłań kardiologicznych związanych ze stosowaniem zbyt dużych dawek tyroksyny. Leczenie </w:t>
      </w:r>
      <w:proofErr w:type="spellStart"/>
      <w:r w:rsidRPr="00EB3477">
        <w:rPr>
          <w:rFonts w:ascii="Times New Roman" w:hAnsi="Times New Roman"/>
          <w:sz w:val="24"/>
          <w:szCs w:val="24"/>
        </w:rPr>
        <w:t>lewotyroksyną</w:t>
      </w:r>
      <w:proofErr w:type="spellEnd"/>
      <w:r w:rsidRPr="00EB3477">
        <w:rPr>
          <w:rFonts w:ascii="Times New Roman" w:hAnsi="Times New Roman"/>
          <w:sz w:val="24"/>
          <w:szCs w:val="24"/>
        </w:rPr>
        <w:t xml:space="preserve"> nie ma wpływu na właściwości antyarytmiczne AMIO [102]. Decyzja dotycząca leczenia </w:t>
      </w:r>
      <w:proofErr w:type="spellStart"/>
      <w:r w:rsidRPr="00EB3477">
        <w:rPr>
          <w:rFonts w:ascii="Times New Roman" w:hAnsi="Times New Roman"/>
          <w:sz w:val="24"/>
          <w:szCs w:val="24"/>
        </w:rPr>
        <w:t>subklinicznej</w:t>
      </w:r>
      <w:proofErr w:type="spellEnd"/>
      <w:r w:rsidRPr="00EB3477">
        <w:rPr>
          <w:rFonts w:ascii="Times New Roman" w:hAnsi="Times New Roman"/>
          <w:sz w:val="24"/>
          <w:szCs w:val="24"/>
        </w:rPr>
        <w:t xml:space="preserve"> niedoczynności tarczycy musi być podjęta indywidualnie u każdego pacjenta.</w:t>
      </w:r>
    </w:p>
    <w:p w14:paraId="4BC606FD" w14:textId="77777777" w:rsidR="00F878CA" w:rsidRPr="00EB3477" w:rsidRDefault="00F878CA" w:rsidP="00F878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706EF5B" w14:textId="77777777" w:rsidR="00F878CA" w:rsidRPr="0068648E" w:rsidRDefault="00EB3477" w:rsidP="00F878CA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Amiodaron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 ciąża</w:t>
      </w:r>
    </w:p>
    <w:p w14:paraId="30192890" w14:textId="77777777" w:rsidR="00696B17" w:rsidRDefault="00696B17" w:rsidP="00696B17">
      <w:pPr>
        <w:pStyle w:val="HTML-wstpniesformatowany"/>
        <w:spacing w:line="360" w:lineRule="auto"/>
        <w:rPr>
          <w:rFonts w:ascii="Times New Roman" w:hAnsi="Times New Roman"/>
          <w:sz w:val="24"/>
          <w:szCs w:val="24"/>
          <w:lang w:val="pl-PL"/>
        </w:rPr>
      </w:pPr>
    </w:p>
    <w:p w14:paraId="5035E01F" w14:textId="551B9788" w:rsidR="00D73CD8" w:rsidRPr="001735BB" w:rsidRDefault="00D73CD8" w:rsidP="00696B17">
      <w:pPr>
        <w:pStyle w:val="HTML-wstpniesformatowany"/>
        <w:spacing w:line="360" w:lineRule="auto"/>
        <w:rPr>
          <w:rFonts w:ascii="Times New Roman" w:hAnsi="Times New Roman"/>
          <w:sz w:val="24"/>
          <w:szCs w:val="24"/>
          <w:lang w:val="pl-PL"/>
        </w:rPr>
      </w:pPr>
      <w:r w:rsidRPr="001735BB">
        <w:rPr>
          <w:rFonts w:ascii="Times New Roman" w:hAnsi="Times New Roman"/>
          <w:sz w:val="24"/>
          <w:szCs w:val="24"/>
          <w:lang w:val="pl-PL"/>
        </w:rPr>
        <w:t xml:space="preserve">AMIO został zarejestrowany przez FDA jako lek kategorii D. Nie ma danych z kontrolowanych badań nad stosowaniem tego leku w ciąży u ludzi. AMIO należy stosować w okresie ciąży tylko wtedy, gdy nie ma innej możliwości, a korzyści przewyższają ryzyko. AMIO i jego metabolity przenikają przez łożysko, z tego powodu </w:t>
      </w:r>
      <w:r w:rsidR="001735BB" w:rsidRPr="001735BB">
        <w:rPr>
          <w:rFonts w:ascii="Times New Roman" w:hAnsi="Times New Roman"/>
          <w:sz w:val="24"/>
          <w:szCs w:val="24"/>
          <w:lang w:val="pl-PL"/>
        </w:rPr>
        <w:t xml:space="preserve">AMIO może być stosowany </w:t>
      </w:r>
      <w:r w:rsidRPr="001735BB">
        <w:rPr>
          <w:rFonts w:ascii="Times New Roman" w:hAnsi="Times New Roman"/>
          <w:sz w:val="24"/>
          <w:szCs w:val="24"/>
          <w:lang w:val="pl-PL"/>
        </w:rPr>
        <w:t xml:space="preserve">w ciężkich przypadkach </w:t>
      </w:r>
      <w:r w:rsidR="001735BB">
        <w:rPr>
          <w:rFonts w:ascii="Times New Roman" w:hAnsi="Times New Roman"/>
          <w:sz w:val="24"/>
          <w:szCs w:val="24"/>
          <w:lang w:val="pl-PL"/>
        </w:rPr>
        <w:t>zaburzeń</w:t>
      </w:r>
      <w:r w:rsidRPr="001735BB">
        <w:rPr>
          <w:rFonts w:ascii="Times New Roman" w:hAnsi="Times New Roman"/>
          <w:sz w:val="24"/>
          <w:szCs w:val="24"/>
          <w:lang w:val="pl-PL"/>
        </w:rPr>
        <w:t xml:space="preserve"> rytmu serca u płodu. Stosunek średniego stężenia leku we krwi pępowinowej do stężenia leku w osoczu krwi matki wynosi od 0,1 do 0,6. Chociaż istnieje wiele doniesień opisujących bezpieczeństwo stosowania AMIO w ​​czasie ciąży, to istnieją również doniesienia o występowaniu wrodzonego wola, niedoczynności czy nadczynności tarczycy u płodu, płodowej bradykardii oraz występowaniu opóźnienia psychoruchowego [103-105]. Zaleca się, aby u noworodków, których matki były leczone AMIO wykonywać pełne testy czynnościowe tarczycy. Ponadto należy rozważyć badanie echokardiograficzne płodu w przypadkach narażonych na AMIO w okresie embrionalnym. W przeglądzie 64 ciąż, w których AMIO stosowano u matek, odnotowano 11 przypadków niedoczynności tarczycy, tylko dwa noworodki miały przejściową </w:t>
      </w:r>
      <w:proofErr w:type="spellStart"/>
      <w:r w:rsidRPr="001735BB">
        <w:rPr>
          <w:rFonts w:ascii="Times New Roman" w:hAnsi="Times New Roman"/>
          <w:sz w:val="24"/>
          <w:szCs w:val="24"/>
          <w:lang w:val="pl-PL"/>
        </w:rPr>
        <w:t>hypotyroksynemię</w:t>
      </w:r>
      <w:proofErr w:type="spellEnd"/>
      <w:r w:rsidRPr="001735BB">
        <w:rPr>
          <w:rFonts w:ascii="Times New Roman" w:hAnsi="Times New Roman"/>
          <w:sz w:val="24"/>
          <w:szCs w:val="24"/>
          <w:lang w:val="pl-PL"/>
        </w:rPr>
        <w:t xml:space="preserve"> [105].</w:t>
      </w:r>
      <w:r w:rsidRPr="00C87E4E">
        <w:rPr>
          <w:rFonts w:ascii="Times New Roman" w:hAnsi="Times New Roman"/>
          <w:sz w:val="24"/>
          <w:szCs w:val="24"/>
        </w:rPr>
        <w:t xml:space="preserve"> </w:t>
      </w:r>
      <w:r w:rsidRPr="001735BB">
        <w:rPr>
          <w:rFonts w:ascii="Times New Roman" w:hAnsi="Times New Roman"/>
          <w:sz w:val="24"/>
          <w:szCs w:val="24"/>
          <w:lang w:val="pl-PL"/>
        </w:rPr>
        <w:lastRenderedPageBreak/>
        <w:t xml:space="preserve">Ocena rozwoju neurologicznego niemowląt z niedoczynnością tarczycy wykazała łagodne zaburzenia, najczęściej przypominające zespół upośledzonej zdolności niewerbalnego uczenia się </w:t>
      </w:r>
      <w:r w:rsidRPr="001735BB">
        <w:rPr>
          <w:rFonts w:ascii="Times New Roman" w:hAnsi="Times New Roman"/>
          <w:i/>
          <w:sz w:val="24"/>
          <w:szCs w:val="24"/>
          <w:lang w:val="pl-PL"/>
        </w:rPr>
        <w:t>(Non-</w:t>
      </w:r>
      <w:proofErr w:type="spellStart"/>
      <w:r w:rsidRPr="001735BB">
        <w:rPr>
          <w:rFonts w:ascii="Times New Roman" w:hAnsi="Times New Roman"/>
          <w:i/>
          <w:sz w:val="24"/>
          <w:szCs w:val="24"/>
          <w:lang w:val="pl-PL"/>
        </w:rPr>
        <w:t>verbal</w:t>
      </w:r>
      <w:proofErr w:type="spellEnd"/>
      <w:r w:rsidRPr="001735BB">
        <w:rPr>
          <w:rFonts w:ascii="Times New Roman" w:hAnsi="Times New Roman"/>
          <w:i/>
          <w:sz w:val="24"/>
          <w:szCs w:val="24"/>
          <w:lang w:val="pl-PL"/>
        </w:rPr>
        <w:t xml:space="preserve"> Learning </w:t>
      </w:r>
      <w:proofErr w:type="spellStart"/>
      <w:r w:rsidRPr="001735BB">
        <w:rPr>
          <w:rFonts w:ascii="Times New Roman" w:hAnsi="Times New Roman"/>
          <w:i/>
          <w:sz w:val="24"/>
          <w:szCs w:val="24"/>
          <w:lang w:val="pl-PL"/>
        </w:rPr>
        <w:t>Disability</w:t>
      </w:r>
      <w:proofErr w:type="spellEnd"/>
      <w:r w:rsidRPr="001735BB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proofErr w:type="spellStart"/>
      <w:r w:rsidRPr="001735BB">
        <w:rPr>
          <w:rFonts w:ascii="Times New Roman" w:hAnsi="Times New Roman"/>
          <w:i/>
          <w:sz w:val="24"/>
          <w:szCs w:val="24"/>
          <w:lang w:val="pl-PL"/>
        </w:rPr>
        <w:t>Syndrome</w:t>
      </w:r>
      <w:proofErr w:type="spellEnd"/>
      <w:r w:rsidRPr="001735BB">
        <w:rPr>
          <w:rFonts w:ascii="Times New Roman" w:hAnsi="Times New Roman"/>
          <w:i/>
          <w:sz w:val="24"/>
          <w:szCs w:val="24"/>
          <w:lang w:val="pl-PL"/>
        </w:rPr>
        <w:t>)</w:t>
      </w:r>
      <w:r w:rsidRPr="001735BB">
        <w:rPr>
          <w:rFonts w:ascii="Times New Roman" w:hAnsi="Times New Roman"/>
          <w:sz w:val="24"/>
          <w:szCs w:val="24"/>
          <w:lang w:val="pl-PL"/>
        </w:rPr>
        <w:t xml:space="preserve">; jednak podobne objawy były również zgłaszane u niemowląt narażonych na AMIO, ale będących w </w:t>
      </w:r>
      <w:proofErr w:type="spellStart"/>
      <w:r w:rsidRPr="001735BB">
        <w:rPr>
          <w:rFonts w:ascii="Times New Roman" w:hAnsi="Times New Roman"/>
          <w:sz w:val="24"/>
          <w:szCs w:val="24"/>
          <w:lang w:val="pl-PL"/>
        </w:rPr>
        <w:t>eutyreozie</w:t>
      </w:r>
      <w:proofErr w:type="spellEnd"/>
      <w:r w:rsidRPr="001735BB">
        <w:rPr>
          <w:rFonts w:ascii="Times New Roman" w:hAnsi="Times New Roman"/>
          <w:sz w:val="24"/>
          <w:szCs w:val="24"/>
          <w:lang w:val="pl-PL"/>
        </w:rPr>
        <w:t xml:space="preserve">, sugerując, że może to być bezpośrednie neurotoksyczne działanie AMIO podczas życia płodowego [106]. Wydaje się rozsądne, aby niedoczynność tarczycy u płodu/noworodka była leczona natychmiast po postawieniu rozpoznania, nawet wewnątrzmacicznie, aby uniknąć rozwoju zaburzeń neurologicznych, chociaż one mogą występować niezależnie od niedoczynności tarczycy. W Kanadzie opisano dwanaście przypadków wewnątrzmacicznej ekspozycji na AMIO: 6 noworodków z ekspozycją na AMIO w pierwszym trymestrze ciąży, jeden z nich miał wrodzony oczopląs. Wśród nich był też jeden przypadek przejściowej niedoczynności tarczycy noworodków (9%) oraz jeden przypadek przejściowej noworodkowej nadczynności tarczycy (9 %).  Czwarte dziecko, narażone na AMIO w 20 tygodniu ciąży, miało opóźnienie rozwoju, hipotonię, </w:t>
      </w:r>
      <w:proofErr w:type="spellStart"/>
      <w:r w:rsidRPr="001735BB">
        <w:rPr>
          <w:rFonts w:ascii="Times New Roman" w:hAnsi="Times New Roman"/>
          <w:sz w:val="24"/>
          <w:szCs w:val="24"/>
          <w:lang w:val="pl-PL"/>
        </w:rPr>
        <w:t>hiperteloryzm</w:t>
      </w:r>
      <w:proofErr w:type="spellEnd"/>
      <w:r w:rsidRPr="001735BB">
        <w:rPr>
          <w:rFonts w:ascii="Times New Roman" w:hAnsi="Times New Roman"/>
          <w:sz w:val="24"/>
          <w:szCs w:val="24"/>
          <w:lang w:val="pl-PL"/>
        </w:rPr>
        <w:t xml:space="preserve"> i </w:t>
      </w:r>
      <w:proofErr w:type="spellStart"/>
      <w:r w:rsidRPr="001735BB">
        <w:rPr>
          <w:rFonts w:ascii="Times New Roman" w:hAnsi="Times New Roman"/>
          <w:sz w:val="24"/>
          <w:szCs w:val="24"/>
          <w:lang w:val="pl-PL"/>
        </w:rPr>
        <w:t>mikrognatię</w:t>
      </w:r>
      <w:proofErr w:type="spellEnd"/>
      <w:r w:rsidRPr="001735BB">
        <w:rPr>
          <w:rFonts w:ascii="Times New Roman" w:hAnsi="Times New Roman"/>
          <w:sz w:val="24"/>
          <w:szCs w:val="24"/>
          <w:lang w:val="pl-PL"/>
        </w:rPr>
        <w:t xml:space="preserve"> [107]. AMIO przenika do mleka kobiecego. W związku z powyższym, karmienie piersią nie powinno być rozpoczynane i/lub kontynuowane jeśli matka przyjmuje AMIO.</w:t>
      </w:r>
    </w:p>
    <w:p w14:paraId="3DE3EDDD" w14:textId="77777777" w:rsidR="00F878CA" w:rsidRPr="00D73CD8" w:rsidRDefault="00F878CA" w:rsidP="00F878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3CD8">
        <w:rPr>
          <w:rFonts w:ascii="Times New Roman" w:hAnsi="Times New Roman"/>
          <w:sz w:val="24"/>
          <w:szCs w:val="24"/>
        </w:rPr>
        <w:t xml:space="preserve">  </w:t>
      </w:r>
    </w:p>
    <w:p w14:paraId="6C2900A3" w14:textId="77777777" w:rsidR="00F878CA" w:rsidRPr="0068648E" w:rsidRDefault="00552CC2" w:rsidP="00F878CA">
      <w:pPr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Wnioski</w:t>
      </w:r>
    </w:p>
    <w:p w14:paraId="7C0A66BF" w14:textId="77777777" w:rsidR="001832FD" w:rsidRPr="001832FD" w:rsidRDefault="001832FD" w:rsidP="006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832FD">
        <w:rPr>
          <w:rFonts w:ascii="Times New Roman" w:hAnsi="Times New Roman"/>
          <w:sz w:val="24"/>
          <w:szCs w:val="24"/>
        </w:rPr>
        <w:t>1.  AMIO wciąż jest bardzo skutecznym i szeroko stosowanym lekiem antyarytmicznym, o wysokiej skuteczności i bezpieczeństwie dla pacjentów z niewydolnością serca i zmniejszoną frakcją wyrzutową.</w:t>
      </w:r>
    </w:p>
    <w:p w14:paraId="36149F34" w14:textId="77777777" w:rsidR="001832FD" w:rsidRPr="001832FD" w:rsidRDefault="001832FD" w:rsidP="006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832FD">
        <w:rPr>
          <w:rFonts w:ascii="Times New Roman" w:hAnsi="Times New Roman"/>
          <w:sz w:val="24"/>
          <w:szCs w:val="24"/>
        </w:rPr>
        <w:t>2.  Ostatnio badane leki, podobne do AMIO, mogą być związane z mniejszą częstością zaburzeń funkcji tarczycy, ale także mniejszą skutecznością antyarytmiczną niż AMIO.</w:t>
      </w:r>
    </w:p>
    <w:p w14:paraId="502C646F" w14:textId="77777777" w:rsidR="001832FD" w:rsidRPr="001832FD" w:rsidRDefault="001832FD" w:rsidP="006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832FD">
        <w:rPr>
          <w:rFonts w:ascii="Times New Roman" w:hAnsi="Times New Roman"/>
          <w:sz w:val="24"/>
          <w:szCs w:val="24"/>
        </w:rPr>
        <w:t>3. Potencjalna możliwość wystąpienia zaburzeń czynności tarczycy podczas stosowania AMIO nie powinna stanowić przeciwwskazania do jego stosowania, jeżeli jest to podyktowane chorobą serca.</w:t>
      </w:r>
    </w:p>
    <w:p w14:paraId="5215C84C" w14:textId="77777777" w:rsidR="001832FD" w:rsidRPr="001832FD" w:rsidRDefault="001832FD" w:rsidP="006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832FD">
        <w:rPr>
          <w:rFonts w:ascii="Times New Roman" w:hAnsi="Times New Roman"/>
          <w:sz w:val="24"/>
          <w:szCs w:val="24"/>
        </w:rPr>
        <w:t>4.Ocena stanu tarczycy przed rozpoczęciem terapii AMIO (jeśli leczenie nie wynika ze wskazań pilnych), a następnie okresowe monitorowanie czynności tarczycy pozwala na wczesną identyfikację pacjentów ze zwiększonym ryzykiem zaburzeń czynności tarczycy oraz ich leczenie.</w:t>
      </w:r>
    </w:p>
    <w:p w14:paraId="28B1DA83" w14:textId="77777777" w:rsidR="001832FD" w:rsidRPr="001832FD" w:rsidRDefault="001832FD" w:rsidP="006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832FD">
        <w:rPr>
          <w:rFonts w:ascii="Times New Roman" w:hAnsi="Times New Roman"/>
          <w:sz w:val="24"/>
          <w:szCs w:val="24"/>
        </w:rPr>
        <w:lastRenderedPageBreak/>
        <w:t xml:space="preserve">5. Przed rozpoczęciem leczenia AMIO należy wykonać następujące badania: TSH i FT4, </w:t>
      </w:r>
      <w:proofErr w:type="spellStart"/>
      <w:r w:rsidRPr="001832FD">
        <w:rPr>
          <w:rFonts w:ascii="Times New Roman" w:hAnsi="Times New Roman"/>
          <w:sz w:val="24"/>
          <w:szCs w:val="24"/>
        </w:rPr>
        <w:t>antyTPO</w:t>
      </w:r>
      <w:proofErr w:type="spellEnd"/>
      <w:r w:rsidRPr="001832FD">
        <w:rPr>
          <w:rFonts w:ascii="Times New Roman" w:hAnsi="Times New Roman"/>
          <w:sz w:val="24"/>
          <w:szCs w:val="24"/>
        </w:rPr>
        <w:t xml:space="preserve">, USG tarczycy. Jeśli to możliwe, pacjenci z obniżonym stężeniem TSH w surowicy powinni być dalej diagnozowani przed ewentualnym leczeniem AMIO: FT3, </w:t>
      </w:r>
      <w:proofErr w:type="spellStart"/>
      <w:r w:rsidRPr="001832FD">
        <w:rPr>
          <w:rFonts w:ascii="Times New Roman" w:hAnsi="Times New Roman"/>
          <w:sz w:val="24"/>
          <w:szCs w:val="24"/>
        </w:rPr>
        <w:t>TRAb</w:t>
      </w:r>
      <w:proofErr w:type="spellEnd"/>
      <w:r w:rsidRPr="001832FD">
        <w:rPr>
          <w:rFonts w:ascii="Times New Roman" w:hAnsi="Times New Roman"/>
          <w:sz w:val="24"/>
          <w:szCs w:val="24"/>
        </w:rPr>
        <w:t xml:space="preserve"> i scyntygrafia tarczycy. TSH należy monitorować co najmniej raz na 6 miesięcy w trakcie terapii AMIO i 6-12 miesięcy po zakończeniu leczenia.</w:t>
      </w:r>
    </w:p>
    <w:p w14:paraId="4A189155" w14:textId="77777777" w:rsidR="001832FD" w:rsidRDefault="001832FD" w:rsidP="006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1832FD">
        <w:rPr>
          <w:rFonts w:ascii="Times New Roman" w:hAnsi="Times New Roman"/>
          <w:sz w:val="24"/>
          <w:szCs w:val="24"/>
        </w:rPr>
        <w:t>6. AIT pozostaje nadal wyzwaniem diagnostycznym i terapeutycznym dla lekarza. Różnicowanie podtypów może być trudne i często w pełni niemożliwe. Trudność w ocenie wstępnej może utrudnić podjęcie prawidłowego leczenia.</w:t>
      </w:r>
    </w:p>
    <w:p w14:paraId="2B8C3722" w14:textId="77777777" w:rsidR="00696B17" w:rsidRPr="00761213" w:rsidRDefault="00696B17" w:rsidP="006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 xml:space="preserve">7. Leczenie pierwszego rzutu w AIT jest głównie farmakologiczne. Po jednoznacznym rozpoznaniu AIT typu 1 lekami pierwszego rzutu są </w:t>
      </w:r>
      <w:proofErr w:type="spellStart"/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>tionamidy</w:t>
      </w:r>
      <w:proofErr w:type="spellEnd"/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 xml:space="preserve">; jeśli zaś rozpoznane zostanie AIT typu 2 to wtedy podstawą leczenia są </w:t>
      </w:r>
      <w:proofErr w:type="spellStart"/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>glikokortykosteroidy</w:t>
      </w:r>
      <w:proofErr w:type="spellEnd"/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 xml:space="preserve">. W mieszanych/nieokreślonych postaciach choroby prowadzone jest leczenie skojarzone. Jeśli nadczynność tarczycy może spowodować dalsze pogarszanie się stanu pacjenta i potrzebne jest szybkie przywrócenie </w:t>
      </w:r>
      <w:proofErr w:type="spellStart"/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>eutyreozy</w:t>
      </w:r>
      <w:proofErr w:type="spellEnd"/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 xml:space="preserve"> wtedy zaleca się całkowite wycięcie tarczycy.</w:t>
      </w:r>
    </w:p>
    <w:p w14:paraId="3D2BD13E" w14:textId="77777777" w:rsidR="00696B17" w:rsidRPr="00761213" w:rsidRDefault="00696B17" w:rsidP="006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>8.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>Decyzja, czy kontynuować czy wycofać AMIO w AIT pozostaje nadal bardzo trudna. W tej sytuacji należy rozważyć konieczność stosowania leku z powodu zagrażających życiu zaburzeń rytmu serca a długotrwałe szkodliwe narażenie na nadmiar hormonów tarczycy .</w:t>
      </w:r>
    </w:p>
    <w:p w14:paraId="550712B6" w14:textId="77777777" w:rsidR="00696B17" w:rsidRPr="00761213" w:rsidRDefault="00696B17" w:rsidP="00696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 xml:space="preserve">9. Rozpoznanie niedoczynności tarczycy jest zwykle proste, ale zmiany biochemiczne związane z </w:t>
      </w:r>
      <w:proofErr w:type="spellStart"/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>pozatarczycową</w:t>
      </w:r>
      <w:proofErr w:type="spellEnd"/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 xml:space="preserve"> chorobą i zespołem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powinny być brane pod uwagę. </w:t>
      </w:r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>Występowanie AIH nie wymaga zaprzestania stosow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761213">
        <w:rPr>
          <w:rFonts w:ascii="Times New Roman" w:eastAsia="Times New Roman" w:hAnsi="Times New Roman"/>
          <w:sz w:val="24"/>
          <w:szCs w:val="24"/>
          <w:lang w:eastAsia="pl-PL"/>
        </w:rPr>
        <w:t>nia AMIO.</w:t>
      </w:r>
    </w:p>
    <w:p w14:paraId="0B65AC22" w14:textId="77777777" w:rsidR="00F878CA" w:rsidRPr="0068648E" w:rsidRDefault="00F878CA" w:rsidP="00F878CA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68949ED" w14:textId="77777777" w:rsidR="00F878CA" w:rsidRPr="0068648E" w:rsidRDefault="00F878CA" w:rsidP="00F878CA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BE5DE10" w14:textId="77777777" w:rsidR="00F878CA" w:rsidRPr="0068648E" w:rsidRDefault="00F878CA" w:rsidP="00F878CA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C850B43" w14:textId="77777777" w:rsidR="00F878CA" w:rsidRPr="0068648E" w:rsidRDefault="00F878CA" w:rsidP="00F878CA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70E087E" w14:textId="77777777" w:rsidR="00F878CA" w:rsidRPr="00EC0261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 w:eastAsia="pl-PL"/>
        </w:rPr>
      </w:pPr>
      <w:r w:rsidRPr="00EC0261">
        <w:rPr>
          <w:rFonts w:ascii="Times New Roman" w:hAnsi="Times New Roman"/>
          <w:sz w:val="24"/>
          <w:szCs w:val="24"/>
          <w:lang w:val="en-US" w:eastAsia="pl-PL"/>
        </w:rPr>
        <w:br w:type="page"/>
      </w:r>
      <w:r w:rsidR="00EC0261">
        <w:rPr>
          <w:rFonts w:ascii="Times New Roman" w:hAnsi="Times New Roman"/>
          <w:b/>
          <w:sz w:val="24"/>
          <w:szCs w:val="24"/>
          <w:lang w:val="en-US" w:eastAsia="pl-PL"/>
        </w:rPr>
        <w:lastRenderedPageBreak/>
        <w:t>Piśmiennictwo</w:t>
      </w:r>
      <w:r w:rsidRPr="00EC0261">
        <w:rPr>
          <w:rFonts w:ascii="Times New Roman" w:hAnsi="Times New Roman"/>
          <w:b/>
          <w:sz w:val="24"/>
          <w:szCs w:val="24"/>
          <w:lang w:val="en-US" w:eastAsia="pl-PL"/>
        </w:rPr>
        <w:t>:</w:t>
      </w:r>
    </w:p>
    <w:p w14:paraId="0068AD0F" w14:textId="77777777" w:rsidR="00F878CA" w:rsidRPr="00EC0261" w:rsidRDefault="00F878CA" w:rsidP="00F878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14" w:hanging="357"/>
        <w:rPr>
          <w:lang w:val="en-US"/>
        </w:rPr>
      </w:pPr>
      <w:r w:rsidRPr="00FA4A9E">
        <w:rPr>
          <w:lang w:val="en-US"/>
        </w:rPr>
        <w:t xml:space="preserve">Singh BN. </w:t>
      </w:r>
      <w:proofErr w:type="spellStart"/>
      <w:r w:rsidRPr="00FA4A9E">
        <w:rPr>
          <w:lang w:val="en-US"/>
        </w:rPr>
        <w:t>Amiodarone</w:t>
      </w:r>
      <w:proofErr w:type="spellEnd"/>
      <w:r w:rsidRPr="00FA4A9E">
        <w:rPr>
          <w:lang w:val="en-US"/>
        </w:rPr>
        <w:t xml:space="preserve"> as paradigm for developing new drugs for atrial fibrillation. </w:t>
      </w:r>
      <w:r w:rsidRPr="00EC0261">
        <w:rPr>
          <w:lang w:val="en-US"/>
        </w:rPr>
        <w:t xml:space="preserve">J </w:t>
      </w:r>
      <w:proofErr w:type="spellStart"/>
      <w:r w:rsidRPr="00EC0261">
        <w:rPr>
          <w:lang w:val="en-US"/>
        </w:rPr>
        <w:t>Cardiovasc</w:t>
      </w:r>
      <w:proofErr w:type="spellEnd"/>
      <w:r w:rsidRPr="00EC0261">
        <w:rPr>
          <w:lang w:val="en-US"/>
        </w:rPr>
        <w:t xml:space="preserve"> </w:t>
      </w:r>
      <w:proofErr w:type="spellStart"/>
      <w:r w:rsidRPr="00EC0261">
        <w:rPr>
          <w:lang w:val="en-US"/>
        </w:rPr>
        <w:t>Pharmacol</w:t>
      </w:r>
      <w:proofErr w:type="spellEnd"/>
      <w:r w:rsidRPr="00EC0261">
        <w:rPr>
          <w:lang w:val="en-US"/>
        </w:rPr>
        <w:t xml:space="preserve"> 2008; 52: 300-305.</w:t>
      </w:r>
    </w:p>
    <w:p w14:paraId="4AC3BF69" w14:textId="77777777" w:rsidR="00F878CA" w:rsidRPr="0068648E" w:rsidRDefault="00F878CA" w:rsidP="00F878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14" w:hanging="357"/>
      </w:pPr>
      <w:r w:rsidRPr="00696B17">
        <w:t>Mar</w:t>
      </w:r>
      <w:r w:rsidRPr="0068648E">
        <w:t xml:space="preserve">tino E, </w:t>
      </w:r>
      <w:proofErr w:type="spellStart"/>
      <w:r w:rsidRPr="0068648E">
        <w:t>Bartalena</w:t>
      </w:r>
      <w:proofErr w:type="spellEnd"/>
      <w:r w:rsidRPr="0068648E">
        <w:t xml:space="preserve"> L, </w:t>
      </w:r>
      <w:proofErr w:type="spellStart"/>
      <w:r w:rsidRPr="0068648E">
        <w:t>Bogazzi</w:t>
      </w:r>
      <w:proofErr w:type="spellEnd"/>
      <w:r w:rsidRPr="0068648E">
        <w:t xml:space="preserve"> F et al. </w:t>
      </w:r>
      <w:r w:rsidRPr="00FA4A9E">
        <w:rPr>
          <w:lang w:val="en-US"/>
        </w:rPr>
        <w:t xml:space="preserve">The effects of </w:t>
      </w:r>
      <w:proofErr w:type="spellStart"/>
      <w:r w:rsidRPr="00FA4A9E">
        <w:rPr>
          <w:lang w:val="en-US"/>
        </w:rPr>
        <w:t>amiodarone</w:t>
      </w:r>
      <w:proofErr w:type="spellEnd"/>
      <w:r w:rsidRPr="00FA4A9E">
        <w:rPr>
          <w:lang w:val="en-US"/>
        </w:rPr>
        <w:t xml:space="preserve"> on the thyroid. </w:t>
      </w:r>
      <w:proofErr w:type="spellStart"/>
      <w:r w:rsidRPr="0068648E">
        <w:t>Endocrine</w:t>
      </w:r>
      <w:proofErr w:type="spellEnd"/>
      <w:r w:rsidRPr="0068648E">
        <w:t xml:space="preserve"> </w:t>
      </w:r>
      <w:proofErr w:type="spellStart"/>
      <w:r w:rsidRPr="0068648E">
        <w:t>Reviews</w:t>
      </w:r>
      <w:proofErr w:type="spellEnd"/>
      <w:r w:rsidRPr="0068648E">
        <w:t xml:space="preserve"> 2001; 22: 240–254.</w:t>
      </w:r>
    </w:p>
    <w:p w14:paraId="52930A5E" w14:textId="77777777" w:rsidR="00F878CA" w:rsidRPr="0068648E" w:rsidRDefault="00F878CA" w:rsidP="00F878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14" w:hanging="357"/>
      </w:pPr>
      <w:proofErr w:type="spellStart"/>
      <w:r w:rsidRPr="00FA4A9E">
        <w:rPr>
          <w:lang w:val="en-US"/>
        </w:rPr>
        <w:t>Vassallo</w:t>
      </w:r>
      <w:proofErr w:type="spellEnd"/>
      <w:r w:rsidRPr="00FA4A9E">
        <w:rPr>
          <w:lang w:val="en-US"/>
        </w:rPr>
        <w:t xml:space="preserve"> P, </w:t>
      </w:r>
      <w:proofErr w:type="spellStart"/>
      <w:r w:rsidRPr="00FA4A9E">
        <w:rPr>
          <w:lang w:val="en-US"/>
        </w:rPr>
        <w:t>Trohman</w:t>
      </w:r>
      <w:proofErr w:type="spellEnd"/>
      <w:r w:rsidRPr="00FA4A9E">
        <w:rPr>
          <w:lang w:val="en-US"/>
        </w:rPr>
        <w:t xml:space="preserve"> RG. Prescribing </w:t>
      </w:r>
      <w:proofErr w:type="spellStart"/>
      <w:r w:rsidRPr="00FA4A9E">
        <w:rPr>
          <w:lang w:val="en-US"/>
        </w:rPr>
        <w:t>amiodarone</w:t>
      </w:r>
      <w:proofErr w:type="spellEnd"/>
      <w:r w:rsidRPr="00FA4A9E">
        <w:rPr>
          <w:lang w:val="en-US"/>
        </w:rPr>
        <w:t xml:space="preserve">: An evidence-based review of clinical indications. </w:t>
      </w:r>
      <w:r w:rsidRPr="0068648E">
        <w:t>JAMA 2007; 298: 1312-1322.</w:t>
      </w:r>
    </w:p>
    <w:p w14:paraId="6E019D99" w14:textId="77777777" w:rsidR="00F878CA" w:rsidRPr="0068648E" w:rsidRDefault="00F878CA" w:rsidP="00F878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14" w:hanging="357"/>
      </w:pPr>
      <w:r w:rsidRPr="00FA4A9E">
        <w:rPr>
          <w:lang w:val="en-US"/>
        </w:rPr>
        <w:t xml:space="preserve">Narayana SK, Woods DR, Boos CJ. Management of </w:t>
      </w:r>
      <w:proofErr w:type="spellStart"/>
      <w:r w:rsidRPr="00FA4A9E">
        <w:rPr>
          <w:lang w:val="en-US"/>
        </w:rPr>
        <w:t>amiodarone</w:t>
      </w:r>
      <w:proofErr w:type="spellEnd"/>
      <w:r w:rsidRPr="00FA4A9E">
        <w:rPr>
          <w:lang w:val="en-US"/>
        </w:rPr>
        <w:t xml:space="preserve">-related thyroid problems. </w:t>
      </w:r>
      <w:proofErr w:type="spellStart"/>
      <w:r w:rsidRPr="0068648E">
        <w:t>Ther</w:t>
      </w:r>
      <w:proofErr w:type="spellEnd"/>
      <w:r w:rsidRPr="0068648E">
        <w:t xml:space="preserve"> </w:t>
      </w:r>
      <w:proofErr w:type="spellStart"/>
      <w:r w:rsidRPr="0068648E">
        <w:t>Adv</w:t>
      </w:r>
      <w:proofErr w:type="spellEnd"/>
      <w:r w:rsidRPr="0068648E">
        <w:t xml:space="preserve"> </w:t>
      </w:r>
      <w:proofErr w:type="spellStart"/>
      <w:r w:rsidRPr="0068648E">
        <w:t>Endocrinol</w:t>
      </w:r>
      <w:proofErr w:type="spellEnd"/>
      <w:r w:rsidRPr="0068648E">
        <w:t xml:space="preserve"> </w:t>
      </w:r>
      <w:proofErr w:type="spellStart"/>
      <w:r w:rsidRPr="0068648E">
        <w:t>Metab</w:t>
      </w:r>
      <w:proofErr w:type="spellEnd"/>
      <w:r w:rsidRPr="0068648E">
        <w:t xml:space="preserve"> 2011; 2: 115-126.</w:t>
      </w:r>
    </w:p>
    <w:p w14:paraId="4F07F489" w14:textId="77777777" w:rsidR="00F878CA" w:rsidRPr="0068648E" w:rsidRDefault="00F878CA" w:rsidP="00F878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14" w:hanging="357"/>
      </w:pPr>
      <w:proofErr w:type="spellStart"/>
      <w:r w:rsidRPr="00FA4A9E">
        <w:rPr>
          <w:lang w:val="en-US"/>
        </w:rPr>
        <w:t>Rao</w:t>
      </w:r>
      <w:proofErr w:type="spellEnd"/>
      <w:r w:rsidRPr="00FA4A9E">
        <w:rPr>
          <w:lang w:val="en-US"/>
        </w:rPr>
        <w:t xml:space="preserve"> RH, </w:t>
      </w:r>
      <w:proofErr w:type="spellStart"/>
      <w:r w:rsidRPr="00FA4A9E">
        <w:rPr>
          <w:lang w:val="en-US"/>
        </w:rPr>
        <w:t>McCready</w:t>
      </w:r>
      <w:proofErr w:type="spellEnd"/>
      <w:r w:rsidRPr="00FA4A9E">
        <w:rPr>
          <w:lang w:val="en-US"/>
        </w:rPr>
        <w:t xml:space="preserve"> VR, </w:t>
      </w:r>
      <w:proofErr w:type="spellStart"/>
      <w:r w:rsidRPr="00FA4A9E">
        <w:rPr>
          <w:lang w:val="en-US"/>
        </w:rPr>
        <w:t>Spathis</w:t>
      </w:r>
      <w:proofErr w:type="spellEnd"/>
      <w:r w:rsidRPr="00FA4A9E">
        <w:rPr>
          <w:lang w:val="en-US"/>
        </w:rPr>
        <w:t xml:space="preserve"> GS. Iodine kinetic studies during </w:t>
      </w:r>
      <w:proofErr w:type="spellStart"/>
      <w:r w:rsidRPr="00FA4A9E">
        <w:rPr>
          <w:lang w:val="en-US"/>
        </w:rPr>
        <w:t>amiodarone</w:t>
      </w:r>
      <w:proofErr w:type="spellEnd"/>
      <w:r w:rsidRPr="00FA4A9E">
        <w:rPr>
          <w:lang w:val="en-US"/>
        </w:rPr>
        <w:t xml:space="preserve"> treatment. </w:t>
      </w:r>
      <w:r w:rsidRPr="0068648E">
        <w:t xml:space="preserve">J </w:t>
      </w:r>
      <w:proofErr w:type="spellStart"/>
      <w:r w:rsidRPr="0068648E">
        <w:t>Clin</w:t>
      </w:r>
      <w:proofErr w:type="spellEnd"/>
      <w:r w:rsidRPr="0068648E">
        <w:t xml:space="preserve"> </w:t>
      </w:r>
      <w:proofErr w:type="spellStart"/>
      <w:r w:rsidRPr="0068648E">
        <w:t>Endocrinol</w:t>
      </w:r>
      <w:proofErr w:type="spellEnd"/>
      <w:r w:rsidRPr="0068648E">
        <w:t xml:space="preserve"> </w:t>
      </w:r>
      <w:proofErr w:type="spellStart"/>
      <w:r w:rsidRPr="0068648E">
        <w:t>Metab</w:t>
      </w:r>
      <w:proofErr w:type="spellEnd"/>
      <w:r w:rsidRPr="0068648E">
        <w:t xml:space="preserve"> 1986; 62: 563-568. </w:t>
      </w:r>
    </w:p>
    <w:p w14:paraId="7F3D12A4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FA4A9E">
        <w:rPr>
          <w:rFonts w:ascii="Times New Roman" w:hAnsi="Times New Roman"/>
          <w:bCs/>
          <w:iCs/>
          <w:sz w:val="24"/>
          <w:szCs w:val="24"/>
          <w:lang w:val="en-US"/>
        </w:rPr>
        <w:t>Zosin</w:t>
      </w:r>
      <w:proofErr w:type="spellEnd"/>
      <w:r w:rsidRPr="00FA4A9E">
        <w:rPr>
          <w:rFonts w:ascii="Times New Roman" w:hAnsi="Times New Roman"/>
          <w:bCs/>
          <w:iCs/>
          <w:sz w:val="24"/>
          <w:szCs w:val="24"/>
          <w:lang w:val="en-US"/>
        </w:rPr>
        <w:t xml:space="preserve"> I, </w:t>
      </w:r>
      <w:proofErr w:type="spellStart"/>
      <w:r w:rsidRPr="00FA4A9E">
        <w:rPr>
          <w:rFonts w:ascii="Times New Roman" w:hAnsi="Times New Roman"/>
          <w:bCs/>
          <w:iCs/>
          <w:sz w:val="24"/>
          <w:szCs w:val="24"/>
          <w:lang w:val="en-US"/>
        </w:rPr>
        <w:t>Balaş</w:t>
      </w:r>
      <w:proofErr w:type="spellEnd"/>
      <w:r w:rsidRPr="00FA4A9E">
        <w:rPr>
          <w:rFonts w:ascii="Times New Roman" w:hAnsi="Times New Roman"/>
          <w:bCs/>
          <w:iCs/>
          <w:sz w:val="24"/>
          <w:szCs w:val="24"/>
          <w:lang w:val="en-US"/>
        </w:rPr>
        <w:t xml:space="preserve"> M.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-induced thyroid dysfunction in an iodine-replete area: epidemiological and clinical data. </w:t>
      </w:r>
      <w:r w:rsidRPr="0068648E">
        <w:rPr>
          <w:rFonts w:ascii="Times New Roman" w:hAnsi="Times New Roman"/>
          <w:bCs/>
          <w:sz w:val="24"/>
          <w:szCs w:val="24"/>
        </w:rPr>
        <w:t xml:space="preserve">Pol J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Endocrinol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2012; 63: 2–9.</w:t>
      </w:r>
    </w:p>
    <w:p w14:paraId="65012CD7" w14:textId="77777777" w:rsidR="00F878CA" w:rsidRPr="0068648E" w:rsidRDefault="00F878CA" w:rsidP="00F878C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360" w:lineRule="auto"/>
        <w:ind w:left="714" w:hanging="357"/>
      </w:pPr>
      <w:r w:rsidRPr="00FA4A9E">
        <w:rPr>
          <w:lang w:val="en-US"/>
        </w:rPr>
        <w:t xml:space="preserve">Basaria S, Cooper DS. </w:t>
      </w:r>
      <w:proofErr w:type="spellStart"/>
      <w:r w:rsidRPr="00FA4A9E">
        <w:rPr>
          <w:lang w:val="en-US"/>
        </w:rPr>
        <w:t>Amiodarone</w:t>
      </w:r>
      <w:proofErr w:type="spellEnd"/>
      <w:r w:rsidRPr="00FA4A9E">
        <w:rPr>
          <w:lang w:val="en-US"/>
        </w:rPr>
        <w:t xml:space="preserve"> and the thyroid. </w:t>
      </w:r>
      <w:r w:rsidRPr="0068648E">
        <w:t xml:space="preserve">Am J </w:t>
      </w:r>
      <w:proofErr w:type="spellStart"/>
      <w:r w:rsidRPr="0068648E">
        <w:t>Med</w:t>
      </w:r>
      <w:proofErr w:type="spellEnd"/>
      <w:r w:rsidRPr="0068648E">
        <w:t xml:space="preserve"> 2005; 118: 706-714.</w:t>
      </w:r>
    </w:p>
    <w:p w14:paraId="79221955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Rosene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ML,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Wittmann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G,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Arrojo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e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Drigo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R,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Singru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PS,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Lechan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RM,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Bianco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AC.</w:t>
      </w:r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Inhibition of the Type 2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Iodothyronine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Deiodinase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Underlies the Elevated Plasma TSH Associated with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Treatment. </w:t>
      </w:r>
      <w:r w:rsidRPr="0068648E">
        <w:rPr>
          <w:rFonts w:ascii="Times New Roman" w:hAnsi="Times New Roman"/>
          <w:sz w:val="24"/>
          <w:szCs w:val="24"/>
          <w:lang w:eastAsia="pl-PL"/>
        </w:rPr>
        <w:t>Endocrinology 2010; 151: 5961–5970.</w:t>
      </w:r>
    </w:p>
    <w:p w14:paraId="2C32BAEE" w14:textId="77777777" w:rsidR="00F878CA" w:rsidRPr="00FA4A9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 w:eastAsia="pl-PL"/>
        </w:rPr>
      </w:pPr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Holt DW, Tucker GT, Jackson PR,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Storey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GC.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pharmacokinetics. Am Heart J 1983; 106: 840–847.</w:t>
      </w:r>
    </w:p>
    <w:p w14:paraId="313A096A" w14:textId="77777777" w:rsidR="00F878CA" w:rsidRPr="0068648E" w:rsidRDefault="00F878CA" w:rsidP="00F878CA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>Nattel</w:t>
      </w:r>
      <w:proofErr w:type="spellEnd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 S, </w:t>
      </w:r>
      <w:proofErr w:type="spellStart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>Talajic</w:t>
      </w:r>
      <w:proofErr w:type="spellEnd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 M, </w:t>
      </w:r>
      <w:proofErr w:type="spellStart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>Fermini</w:t>
      </w:r>
      <w:proofErr w:type="spellEnd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 B, </w:t>
      </w:r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oy D. </w:t>
      </w:r>
      <w:proofErr w:type="spellStart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: pharmacology, clinical actions and relationships between them. </w:t>
      </w:r>
      <w:r w:rsidRPr="0068648E">
        <w:rPr>
          <w:rFonts w:ascii="Times New Roman" w:hAnsi="Times New Roman"/>
          <w:iCs/>
          <w:color w:val="221E1F"/>
          <w:sz w:val="24"/>
          <w:szCs w:val="24"/>
        </w:rPr>
        <w:t xml:space="preserve">J </w:t>
      </w:r>
      <w:proofErr w:type="spellStart"/>
      <w:r w:rsidRPr="0068648E">
        <w:rPr>
          <w:rFonts w:ascii="Times New Roman" w:hAnsi="Times New Roman"/>
          <w:iCs/>
          <w:color w:val="221E1F"/>
          <w:sz w:val="24"/>
          <w:szCs w:val="24"/>
        </w:rPr>
        <w:t>Cardiovasc</w:t>
      </w:r>
      <w:proofErr w:type="spellEnd"/>
      <w:r w:rsidRPr="0068648E">
        <w:rPr>
          <w:rFonts w:ascii="Times New Roman" w:hAnsi="Times New Roman"/>
          <w:iCs/>
          <w:color w:val="221E1F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iCs/>
          <w:color w:val="221E1F"/>
          <w:sz w:val="24"/>
          <w:szCs w:val="24"/>
        </w:rPr>
        <w:t>Electrophysiol</w:t>
      </w:r>
      <w:proofErr w:type="spellEnd"/>
      <w:r w:rsidRPr="0068648E">
        <w:rPr>
          <w:rFonts w:ascii="Times New Roman" w:hAnsi="Times New Roman"/>
          <w:iCs/>
          <w:color w:val="221E1F"/>
          <w:sz w:val="24"/>
          <w:szCs w:val="24"/>
        </w:rPr>
        <w:t xml:space="preserve"> 1992; </w:t>
      </w:r>
      <w:r w:rsidRPr="0068648E">
        <w:rPr>
          <w:rFonts w:ascii="Times New Roman" w:hAnsi="Times New Roman"/>
          <w:color w:val="221E1F"/>
          <w:sz w:val="24"/>
          <w:szCs w:val="24"/>
        </w:rPr>
        <w:t>3, 266–280.</w:t>
      </w:r>
    </w:p>
    <w:p w14:paraId="1A87EFE4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Melmed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Nademanee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K, Reed AW, Hendrickson JA, Singh BN,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Hershman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JM.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Hyperthyroxinemia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with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bradycardia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and normal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thyrotropin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secretion after chronic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administration.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Metab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1981; 53: 997-1001.</w:t>
      </w:r>
    </w:p>
    <w:p w14:paraId="6C0AC322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Koenig RJ.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Regulation of type 1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iodothyronine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deiodinase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in health and disease. </w:t>
      </w:r>
      <w:r w:rsidRPr="0068648E">
        <w:rPr>
          <w:rFonts w:ascii="Times New Roman" w:hAnsi="Times New Roman"/>
          <w:sz w:val="24"/>
          <w:szCs w:val="24"/>
          <w:lang w:eastAsia="pl-PL"/>
        </w:rPr>
        <w:t>Thyroid 2005; 15: 835–840.</w:t>
      </w:r>
    </w:p>
    <w:p w14:paraId="73ECF03A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Gereben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B,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Zavacki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AM,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Ribich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S et al.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Cellular and molecular basis of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deiodinase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-regulated thyroid hormone signaling.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Rev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2008; 29: 898–938.</w:t>
      </w:r>
    </w:p>
    <w:p w14:paraId="63C8CB18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Harjai KJ, Licata AA.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induced hyperthyroidism: A case series and brief review of literature. </w:t>
      </w:r>
      <w:proofErr w:type="spellStart"/>
      <w:r w:rsidRPr="0068648E">
        <w:rPr>
          <w:rFonts w:ascii="Times New Roman" w:hAnsi="Times New Roman"/>
          <w:sz w:val="24"/>
          <w:szCs w:val="24"/>
        </w:rPr>
        <w:t>Pacing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Electrophysiol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1996; 19: 1548-1554.</w:t>
      </w:r>
    </w:p>
    <w:p w14:paraId="29243275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Krenning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EP,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Docter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R, Bernard B,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Visser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T,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Hennemann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G.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Decreased transport of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thyroxine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(T4), 3,3’,5-triiodothyronine (T3) and 3,3’,5’-triiodothyronine (rT3) into rat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lastRenderedPageBreak/>
        <w:t xml:space="preserve">hepatocytes in primary culture due to a decrease of cellular ATP content and various drugs.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FEBS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Lett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1982; 140: 229–233.</w:t>
      </w:r>
    </w:p>
    <w:p w14:paraId="6CB08B11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Bakker O, van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Beeren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HC,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Wiersinga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WM.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Desethylamiodarone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is a noncompetitive inhibitor of the binding of thyroid hormone to the thyroid hormone beta 1-receptor protein. </w:t>
      </w:r>
      <w:r w:rsidRPr="0068648E">
        <w:rPr>
          <w:rFonts w:ascii="Times New Roman" w:hAnsi="Times New Roman"/>
          <w:sz w:val="24"/>
          <w:szCs w:val="24"/>
          <w:lang w:eastAsia="pl-PL"/>
        </w:rPr>
        <w:t>Endocrinology 1994; 134: 1665–1670.</w:t>
      </w:r>
    </w:p>
    <w:p w14:paraId="4BD3FFD7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van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Beeren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HC, Bakker O,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Wiersinga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WM.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Desethylamiodarone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is a competitive inhibitor of the binding of thyroid hormone to the thyroid hormone alpha 1-receptor protein.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Mol Cell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1995; 112: 15–19.</w:t>
      </w:r>
    </w:p>
    <w:p w14:paraId="1F0AADE7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Bogazzi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F, </w:t>
      </w: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Bartalena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L, </w:t>
      </w: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Brogioni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S et al.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Desethylamiodarone antagonizes the effect of thyroid hormone at the molecular level.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Eur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2001; 145:59–64.</w:t>
      </w:r>
    </w:p>
    <w:p w14:paraId="77BE45BD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Honegger UE,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Zuehlke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RD,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Scuntaro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I, Schaefer MH,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Toplak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H,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Wiesmann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UN. Cellular accumulation of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desethylamiodarone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in cultured human cells. Consequences of drug accumulation on cellular lipid metabolism and plasma membrane properties of chronically exposed cells. </w:t>
      </w:r>
      <w:proofErr w:type="spellStart"/>
      <w:r w:rsidRPr="0068648E">
        <w:rPr>
          <w:rFonts w:ascii="Times New Roman" w:hAnsi="Times New Roman"/>
          <w:sz w:val="24"/>
          <w:szCs w:val="24"/>
        </w:rPr>
        <w:t>Biochem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Pharmacol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1993; 45: 349-356. </w:t>
      </w:r>
    </w:p>
    <w:p w14:paraId="59866728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Goldschlager N, Epstein A,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Naccarelli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G,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Olshansky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B, Singh B. Practical guidelines for clinicians who treat patients with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8648E">
        <w:rPr>
          <w:rFonts w:ascii="Times New Roman" w:hAnsi="Times New Roman"/>
          <w:sz w:val="24"/>
          <w:szCs w:val="24"/>
        </w:rPr>
        <w:t>Arch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Intern </w:t>
      </w:r>
      <w:proofErr w:type="spellStart"/>
      <w:r w:rsidRPr="0068648E">
        <w:rPr>
          <w:rFonts w:ascii="Times New Roman" w:hAnsi="Times New Roman"/>
          <w:sz w:val="24"/>
          <w:szCs w:val="24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2000; 160: 1741–1748.</w:t>
      </w:r>
    </w:p>
    <w:p w14:paraId="14306158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Stoykov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I, van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Beeren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HC, Moorman AF,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Christoffels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VM,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Wiersinga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WM, Bakker O. Effect of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and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dronedarone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administration in rats on thyroid hormone-dependent gene expression in different cardiac components. </w:t>
      </w: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Eur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J </w:t>
      </w: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2007; 156: 695-702.</w:t>
      </w:r>
    </w:p>
    <w:p w14:paraId="1F133175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Kahaly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GJ,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Dillmann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WH. Thyroid hormone action in the heart. </w:t>
      </w: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Endocr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Rev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2005; 26: 704-728.</w:t>
      </w:r>
    </w:p>
    <w:p w14:paraId="3E5D09BB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Hudig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F,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Bakker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O,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Wiersinga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WM.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Amiodarone decreases gene expression of low density lipoprotein receptor at both the mRNA and the protein level. </w:t>
      </w:r>
      <w:r w:rsidRPr="0068648E">
        <w:rPr>
          <w:rFonts w:ascii="Times New Roman" w:hAnsi="Times New Roman"/>
          <w:sz w:val="24"/>
          <w:szCs w:val="24"/>
          <w:lang w:eastAsia="pl-PL"/>
        </w:rPr>
        <w:t>Metabolism 1998; 47: 1052-1057.</w:t>
      </w:r>
    </w:p>
    <w:p w14:paraId="124B1591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Chiovato L, Martino E,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Tonacchera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M et al. Studies on the in vitro cytotoxic effect of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8648E">
        <w:rPr>
          <w:rFonts w:ascii="Times New Roman" w:hAnsi="Times New Roman"/>
          <w:sz w:val="24"/>
          <w:szCs w:val="24"/>
        </w:rPr>
        <w:t>Endocrinology 1994; 134: 2277-2282.</w:t>
      </w:r>
    </w:p>
    <w:p w14:paraId="65870BDA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Fiorini A. Monitoring thyroid function status in elderly patients on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8648E">
        <w:rPr>
          <w:rFonts w:ascii="Times New Roman" w:hAnsi="Times New Roman"/>
          <w:sz w:val="24"/>
          <w:szCs w:val="24"/>
        </w:rPr>
        <w:t xml:space="preserve">Malta </w:t>
      </w:r>
      <w:proofErr w:type="spellStart"/>
      <w:r w:rsidRPr="0068648E">
        <w:rPr>
          <w:rFonts w:ascii="Times New Roman" w:hAnsi="Times New Roman"/>
          <w:sz w:val="24"/>
          <w:szCs w:val="24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J 2006; 18: 19–24.</w:t>
      </w:r>
    </w:p>
    <w:p w14:paraId="08DEA289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Newman CM, Price A, Davies DW, Gray TA,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Weetman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AP.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and the thyroid: a practical guide to the management of thyroid dysfunction induced by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therapy. </w:t>
      </w:r>
      <w:r w:rsidRPr="0068648E">
        <w:rPr>
          <w:rFonts w:ascii="Times New Roman" w:hAnsi="Times New Roman"/>
          <w:sz w:val="24"/>
          <w:szCs w:val="24"/>
          <w:lang w:eastAsia="pl-PL"/>
        </w:rPr>
        <w:t>Heart 1998; 79: 121–127.</w:t>
      </w:r>
    </w:p>
    <w:p w14:paraId="600E0A4E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lastRenderedPageBreak/>
        <w:t xml:space="preserve">Harjai K, Licata A. Effects of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on thyroid function.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Ann Intern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1997; 126: 63–73.</w:t>
      </w:r>
    </w:p>
    <w:p w14:paraId="15AE3671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Batcher EL, Tang XC, Singh BN, Singh SN,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Reda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DJ,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Hershman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JM, SAFE-T Investigators. Thyroid function abnormalities during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therapy for persistent atrial fibrillation.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Am 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2007; 120: 880–885.</w:t>
      </w:r>
    </w:p>
    <w:p w14:paraId="576B5A4D" w14:textId="77777777" w:rsidR="00F878CA" w:rsidRPr="0068648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 xml:space="preserve">Grabczak EM, Zielonka TM, </w:t>
      </w:r>
      <w:proofErr w:type="spellStart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>Wiwała</w:t>
      </w:r>
      <w:proofErr w:type="spellEnd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 xml:space="preserve"> J et al. </w:t>
      </w:r>
      <w:r w:rsidRPr="00FA4A9E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Amiodarone induced pneumonitis and hyperthyroidism: case report. </w:t>
      </w:r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 xml:space="preserve">Pol </w:t>
      </w:r>
      <w:proofErr w:type="spellStart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>Arch</w:t>
      </w:r>
      <w:proofErr w:type="spellEnd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>Med</w:t>
      </w:r>
      <w:proofErr w:type="spellEnd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>Wewn</w:t>
      </w:r>
      <w:proofErr w:type="spellEnd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 xml:space="preserve"> 2008; 118(9): 524-529.</w:t>
      </w:r>
    </w:p>
    <w:p w14:paraId="4C74203A" w14:textId="77777777" w:rsidR="00F878CA" w:rsidRPr="0068648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68648E">
        <w:rPr>
          <w:rFonts w:ascii="Times New Roman" w:eastAsia="Times New Roman" w:hAnsi="Times New Roman"/>
          <w:sz w:val="24"/>
          <w:szCs w:val="24"/>
          <w:lang w:eastAsia="pl-PL"/>
        </w:rPr>
        <w:t xml:space="preserve">Żach M, </w:t>
      </w:r>
      <w:proofErr w:type="spellStart"/>
      <w:r w:rsidRPr="0068648E">
        <w:rPr>
          <w:rFonts w:ascii="Times New Roman" w:eastAsia="Times New Roman" w:hAnsi="Times New Roman"/>
          <w:sz w:val="24"/>
          <w:szCs w:val="24"/>
          <w:lang w:eastAsia="pl-PL"/>
        </w:rPr>
        <w:t>Kryjan</w:t>
      </w:r>
      <w:proofErr w:type="spellEnd"/>
      <w:r w:rsidRPr="0068648E">
        <w:rPr>
          <w:rFonts w:ascii="Times New Roman" w:eastAsia="Times New Roman" w:hAnsi="Times New Roman"/>
          <w:sz w:val="24"/>
          <w:szCs w:val="24"/>
          <w:lang w:eastAsia="pl-PL"/>
        </w:rPr>
        <w:t xml:space="preserve"> K, Ambroziak U et al. Nadczynność tarczycy po podaniu środków cieniujących zawierających jod. Kardiol Pol 2013; 71: 752-756.</w:t>
      </w:r>
    </w:p>
    <w:p w14:paraId="1E052C43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Cohen-Lehman J, Dahl P,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Danzi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S, Klein I.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Effects of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therapy on thyroid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f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unction.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Nat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Rev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2010; 6: 34-41.</w:t>
      </w:r>
    </w:p>
    <w:p w14:paraId="477FBBFD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Newnham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HH,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Topliss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DJ, Le Grand BA et al.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-induced hyperthyroidism: Assessment of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the predictive value of biochemical testing and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response to combined therapy with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propyluracil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and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perchlorate.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Aust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NZ 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1988; 18: 37-44. </w:t>
      </w:r>
    </w:p>
    <w:p w14:paraId="0A5BB4DA" w14:textId="77777777" w:rsidR="00F878CA" w:rsidRPr="0068648E" w:rsidRDefault="00F878CA" w:rsidP="00F878CA">
      <w:pPr>
        <w:pStyle w:val="desc"/>
        <w:numPr>
          <w:ilvl w:val="0"/>
          <w:numId w:val="32"/>
        </w:numPr>
        <w:spacing w:line="360" w:lineRule="auto"/>
        <w:ind w:left="714" w:hanging="357"/>
      </w:pPr>
      <w:r w:rsidRPr="00FA4A9E">
        <w:rPr>
          <w:lang w:val="en-US"/>
        </w:rPr>
        <w:t xml:space="preserve">Tomisti L, Rossi G, </w:t>
      </w:r>
      <w:proofErr w:type="spellStart"/>
      <w:r w:rsidRPr="00FA4A9E">
        <w:rPr>
          <w:lang w:val="en-US"/>
        </w:rPr>
        <w:t>Bartalena</w:t>
      </w:r>
      <w:proofErr w:type="spellEnd"/>
      <w:r w:rsidRPr="00FA4A9E">
        <w:rPr>
          <w:lang w:val="en-US"/>
        </w:rPr>
        <w:t xml:space="preserve"> L et al. The onset time of </w:t>
      </w:r>
      <w:proofErr w:type="spellStart"/>
      <w:r w:rsidRPr="00FA4A9E">
        <w:rPr>
          <w:lang w:val="en-US"/>
        </w:rPr>
        <w:t>Amiodarone</w:t>
      </w:r>
      <w:proofErr w:type="spellEnd"/>
      <w:r w:rsidRPr="00FA4A9E">
        <w:rPr>
          <w:lang w:val="en-US"/>
        </w:rPr>
        <w:t xml:space="preserve">-induced thyrotoxicosis (AIT) depends on AIT type. </w:t>
      </w:r>
      <w:proofErr w:type="spellStart"/>
      <w:r w:rsidRPr="0068648E">
        <w:rPr>
          <w:rStyle w:val="jrnl"/>
        </w:rPr>
        <w:t>Eur</w:t>
      </w:r>
      <w:proofErr w:type="spellEnd"/>
      <w:r w:rsidRPr="0068648E">
        <w:rPr>
          <w:rStyle w:val="jrnl"/>
        </w:rPr>
        <w:t xml:space="preserve"> J </w:t>
      </w:r>
      <w:proofErr w:type="spellStart"/>
      <w:r w:rsidRPr="0068648E">
        <w:rPr>
          <w:rStyle w:val="jrnl"/>
        </w:rPr>
        <w:t>Endocrinol</w:t>
      </w:r>
      <w:proofErr w:type="spellEnd"/>
      <w:r w:rsidRPr="0068648E">
        <w:t xml:space="preserve"> 2014 </w:t>
      </w:r>
      <w:proofErr w:type="spellStart"/>
      <w:r w:rsidRPr="0068648E">
        <w:t>Jun</w:t>
      </w:r>
      <w:proofErr w:type="spellEnd"/>
      <w:r w:rsidRPr="0068648E">
        <w:t xml:space="preserve"> 16 [</w:t>
      </w:r>
      <w:proofErr w:type="spellStart"/>
      <w:r w:rsidRPr="0068648E">
        <w:t>Epub</w:t>
      </w:r>
      <w:proofErr w:type="spellEnd"/>
      <w:r w:rsidRPr="0068648E">
        <w:t xml:space="preserve"> </w:t>
      </w:r>
      <w:proofErr w:type="spellStart"/>
      <w:r w:rsidRPr="0068648E">
        <w:t>ahead</w:t>
      </w:r>
      <w:proofErr w:type="spellEnd"/>
      <w:r w:rsidRPr="0068648E">
        <w:t xml:space="preserve"> of </w:t>
      </w:r>
      <w:proofErr w:type="spellStart"/>
      <w:r w:rsidRPr="0068648E">
        <w:t>print</w:t>
      </w:r>
      <w:proofErr w:type="spellEnd"/>
      <w:r w:rsidRPr="0068648E">
        <w:t>].</w:t>
      </w:r>
    </w:p>
    <w:p w14:paraId="7B35BDCC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Martino E,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Aghini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-Lombardi F,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Mariotti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S,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Bartalena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L,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Braverman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L,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Pinchera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A.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: A common source of iodine-induced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thyrotoxicosis. </w:t>
      </w:r>
      <w:r w:rsidRPr="0068648E">
        <w:rPr>
          <w:rFonts w:ascii="Times New Roman" w:hAnsi="Times New Roman"/>
          <w:sz w:val="24"/>
          <w:szCs w:val="24"/>
          <w:lang w:eastAsia="pl-PL"/>
        </w:rPr>
        <w:t>Horm Res 1987; 26: 158-171.</w:t>
      </w:r>
    </w:p>
    <w:p w14:paraId="57BF3A90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8648E">
        <w:rPr>
          <w:rFonts w:ascii="Times New Roman" w:hAnsi="Times New Roman"/>
          <w:sz w:val="24"/>
          <w:szCs w:val="24"/>
        </w:rPr>
        <w:t>Bogazzi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F, </w:t>
      </w:r>
      <w:proofErr w:type="spellStart"/>
      <w:r w:rsidRPr="0068648E">
        <w:rPr>
          <w:rFonts w:ascii="Times New Roman" w:hAnsi="Times New Roman"/>
          <w:sz w:val="24"/>
          <w:szCs w:val="24"/>
        </w:rPr>
        <w:t>Bartalena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L, </w:t>
      </w:r>
      <w:proofErr w:type="spellStart"/>
      <w:r w:rsidRPr="0068648E">
        <w:rPr>
          <w:rFonts w:ascii="Times New Roman" w:hAnsi="Times New Roman"/>
          <w:sz w:val="24"/>
          <w:szCs w:val="24"/>
        </w:rPr>
        <w:t>Dell’Unto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E et al. 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Proportion of the type1 and type 2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-induced thyrotoxicosis has changed over a 27-year period in Italy. </w:t>
      </w:r>
      <w:proofErr w:type="spellStart"/>
      <w:r w:rsidRPr="0068648E">
        <w:rPr>
          <w:rFonts w:ascii="Times New Roman" w:hAnsi="Times New Roman"/>
          <w:sz w:val="24"/>
          <w:szCs w:val="24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8648E">
        <w:rPr>
          <w:rFonts w:ascii="Times New Roman" w:hAnsi="Times New Roman"/>
          <w:sz w:val="24"/>
          <w:szCs w:val="24"/>
        </w:rPr>
        <w:t>Oxf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) 2007; 67: 533-537. </w:t>
      </w:r>
    </w:p>
    <w:p w14:paraId="5E367F1A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Mulligan DC, McHenry CR, Kinney W,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Esselstyn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Jr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CB.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-induced thyrotoxicosis: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Clinical presentation and expanded indications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for thyroidectomy. </w:t>
      </w:r>
      <w:r w:rsidRPr="0068648E">
        <w:rPr>
          <w:rFonts w:ascii="Times New Roman" w:hAnsi="Times New Roman"/>
          <w:sz w:val="24"/>
          <w:szCs w:val="24"/>
          <w:lang w:eastAsia="pl-PL"/>
        </w:rPr>
        <w:t>Surgery 1993; 114: 1114-1119.</w:t>
      </w:r>
    </w:p>
    <w:p w14:paraId="6BB6EBA6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Conen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D,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Melly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L, Kaufmann C et al.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induced thyrotoxicosis: clinical course and predictors of outcome.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J Am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Coll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Cardiol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2007; 49: 2350-2355.</w:t>
      </w:r>
    </w:p>
    <w:p w14:paraId="637B2C06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Keidar S, Grenadier E,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Palant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A.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-induced thyrotoxicosis: four cases and the review of the literature.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Postgrad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J 1980; 56: 356-358.</w:t>
      </w:r>
    </w:p>
    <w:p w14:paraId="0754D19A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Lu Y, Won KA, Nelson BJ, Qi D, Rausch DJ,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Asinger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RW. Characteristic of the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-warfarin interaction during long-term follow-up.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Am 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Health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Syst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Pharm 2008; 65: 947-952.</w:t>
      </w:r>
    </w:p>
    <w:p w14:paraId="5BF9B83E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lastRenderedPageBreak/>
        <w:t>Kurnik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D,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Loebstein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R, Farfel Z, Ezra D,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Halkin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H,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Olchovsky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D. Complex-drug-drug-disease interactions between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, warfarin, and the thyroid gland. </w:t>
      </w:r>
      <w:r w:rsidRPr="0068648E">
        <w:rPr>
          <w:rFonts w:ascii="Times New Roman" w:hAnsi="Times New Roman"/>
          <w:sz w:val="24"/>
          <w:szCs w:val="24"/>
          <w:lang w:eastAsia="pl-PL"/>
        </w:rPr>
        <w:t>Medicine (Baltimore) 2004; 83: 107-113.</w:t>
      </w:r>
    </w:p>
    <w:p w14:paraId="161DFE50" w14:textId="77777777" w:rsidR="00F878CA" w:rsidRPr="0068648E" w:rsidRDefault="00F878CA" w:rsidP="00F878CA">
      <w:pPr>
        <w:pStyle w:val="desc2"/>
        <w:numPr>
          <w:ilvl w:val="0"/>
          <w:numId w:val="32"/>
        </w:numPr>
        <w:shd w:val="clear" w:color="auto" w:fill="FFFFFF"/>
        <w:spacing w:line="360" w:lineRule="auto"/>
        <w:rPr>
          <w:sz w:val="24"/>
          <w:szCs w:val="24"/>
        </w:rPr>
      </w:pPr>
      <w:proofErr w:type="spellStart"/>
      <w:r w:rsidRPr="0068648E">
        <w:rPr>
          <w:bCs/>
          <w:sz w:val="24"/>
          <w:szCs w:val="24"/>
        </w:rPr>
        <w:t>Tomisti</w:t>
      </w:r>
      <w:proofErr w:type="spellEnd"/>
      <w:r w:rsidRPr="0068648E">
        <w:rPr>
          <w:sz w:val="24"/>
          <w:szCs w:val="24"/>
        </w:rPr>
        <w:t xml:space="preserve"> L, Del Re M, </w:t>
      </w:r>
      <w:proofErr w:type="spellStart"/>
      <w:r w:rsidRPr="0068648E">
        <w:rPr>
          <w:sz w:val="24"/>
          <w:szCs w:val="24"/>
        </w:rPr>
        <w:t>Bartalena</w:t>
      </w:r>
      <w:proofErr w:type="spellEnd"/>
      <w:r w:rsidRPr="0068648E">
        <w:rPr>
          <w:sz w:val="24"/>
          <w:szCs w:val="24"/>
        </w:rPr>
        <w:t xml:space="preserve"> L et al. </w:t>
      </w:r>
      <w:r w:rsidRPr="00FA4A9E">
        <w:rPr>
          <w:sz w:val="24"/>
          <w:szCs w:val="24"/>
          <w:lang w:val="en-US"/>
        </w:rPr>
        <w:t xml:space="preserve">Effects of </w:t>
      </w:r>
      <w:proofErr w:type="spellStart"/>
      <w:r w:rsidRPr="00FA4A9E">
        <w:rPr>
          <w:sz w:val="24"/>
          <w:szCs w:val="24"/>
          <w:lang w:val="en-US"/>
        </w:rPr>
        <w:t>amiodarone</w:t>
      </w:r>
      <w:proofErr w:type="spellEnd"/>
      <w:r w:rsidRPr="00FA4A9E">
        <w:rPr>
          <w:sz w:val="24"/>
          <w:szCs w:val="24"/>
          <w:lang w:val="en-US"/>
        </w:rPr>
        <w:t xml:space="preserve">, thyroid hormones and CYP2C9 and VKORC1 polymorphisms on warfarin metabolism: a review of the literature. </w:t>
      </w:r>
      <w:proofErr w:type="spellStart"/>
      <w:r w:rsidRPr="0068648E">
        <w:rPr>
          <w:rStyle w:val="jrnl"/>
          <w:sz w:val="24"/>
          <w:szCs w:val="24"/>
        </w:rPr>
        <w:t>Endocr</w:t>
      </w:r>
      <w:proofErr w:type="spellEnd"/>
      <w:r w:rsidRPr="0068648E">
        <w:rPr>
          <w:rStyle w:val="jrnl"/>
          <w:sz w:val="24"/>
          <w:szCs w:val="24"/>
        </w:rPr>
        <w:t xml:space="preserve"> </w:t>
      </w:r>
      <w:proofErr w:type="spellStart"/>
      <w:r w:rsidRPr="0068648E">
        <w:rPr>
          <w:rStyle w:val="jrnl"/>
          <w:sz w:val="24"/>
          <w:szCs w:val="24"/>
        </w:rPr>
        <w:t>Pract</w:t>
      </w:r>
      <w:proofErr w:type="spellEnd"/>
      <w:r w:rsidRPr="0068648E">
        <w:rPr>
          <w:sz w:val="24"/>
          <w:szCs w:val="24"/>
        </w:rPr>
        <w:t xml:space="preserve">. </w:t>
      </w:r>
      <w:r w:rsidRPr="0068648E">
        <w:rPr>
          <w:bCs/>
          <w:sz w:val="24"/>
          <w:szCs w:val="24"/>
        </w:rPr>
        <w:t>2013;</w:t>
      </w:r>
      <w:r w:rsidRPr="0068648E">
        <w:rPr>
          <w:sz w:val="24"/>
          <w:szCs w:val="24"/>
        </w:rPr>
        <w:t xml:space="preserve"> 19(6): 1043-1049.</w:t>
      </w:r>
    </w:p>
    <w:p w14:paraId="17B20A19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Bogazzi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F,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Bartalena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L, Martino E. </w:t>
      </w:r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Approach to the Patient with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-Induced Thyrotoxicosis. </w:t>
      </w:r>
      <w:r w:rsidRPr="0068648E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J </w:t>
      </w:r>
      <w:proofErr w:type="spellStart"/>
      <w:r w:rsidRPr="0068648E">
        <w:rPr>
          <w:rFonts w:ascii="Times New Roman" w:hAnsi="Times New Roman"/>
          <w:bCs/>
          <w:iCs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bCs/>
          <w:iCs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bCs/>
          <w:iCs/>
          <w:sz w:val="24"/>
          <w:szCs w:val="24"/>
          <w:lang w:eastAsia="pl-PL"/>
        </w:rPr>
        <w:t>Metab</w:t>
      </w:r>
      <w:proofErr w:type="spellEnd"/>
      <w:r w:rsidRPr="0068648E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2010; </w:t>
      </w:r>
      <w:r w:rsidRPr="0068648E">
        <w:rPr>
          <w:rFonts w:ascii="Times New Roman" w:hAnsi="Times New Roman"/>
          <w:bCs/>
          <w:sz w:val="24"/>
          <w:szCs w:val="24"/>
          <w:lang w:eastAsia="pl-PL"/>
        </w:rPr>
        <w:t>95: 2529–2535.</w:t>
      </w:r>
    </w:p>
    <w:p w14:paraId="243A1C0D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Eaton SE,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Euinton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HA, Newman CM,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Weetman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AP,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Bennet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WM. Clinical experience of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-induced thyrotoxicosis over a 3-year period: role of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colour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flow-Doppler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sonography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8648E">
        <w:rPr>
          <w:rFonts w:ascii="Times New Roman" w:hAnsi="Times New Roman"/>
          <w:sz w:val="24"/>
          <w:szCs w:val="24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8648E">
        <w:rPr>
          <w:rFonts w:ascii="Times New Roman" w:hAnsi="Times New Roman"/>
          <w:sz w:val="24"/>
          <w:szCs w:val="24"/>
        </w:rPr>
        <w:t>Oxf</w:t>
      </w:r>
      <w:proofErr w:type="spellEnd"/>
      <w:r w:rsidRPr="0068648E">
        <w:rPr>
          <w:rFonts w:ascii="Times New Roman" w:hAnsi="Times New Roman"/>
          <w:sz w:val="24"/>
          <w:szCs w:val="24"/>
        </w:rPr>
        <w:t>) 2002; 56: 33-38.</w:t>
      </w:r>
    </w:p>
    <w:p w14:paraId="6452F6B0" w14:textId="77777777" w:rsidR="00F878CA" w:rsidRPr="00FA4A9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Bogazzi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F,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Tomisti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L,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Bartalena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L,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Aghini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-Lombardi F, Martino E.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and the thyroid: A 2012 update J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Endocrinol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Invest 2012; 35: 340-348. </w:t>
      </w:r>
    </w:p>
    <w:p w14:paraId="5DCEA137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Pearce EN,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Bogazzi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F, Martino E et al. The prevalence of elevated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sérum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C-reactive protein levels in inflammatory and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noninflammatory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thyroid disease. </w:t>
      </w:r>
      <w:r w:rsidRPr="0068648E">
        <w:rPr>
          <w:rFonts w:ascii="Times New Roman" w:hAnsi="Times New Roman"/>
          <w:sz w:val="24"/>
          <w:szCs w:val="24"/>
          <w:lang w:eastAsia="pl-PL"/>
        </w:rPr>
        <w:t>Thyroid 2003; 13: 643-648.</w:t>
      </w:r>
    </w:p>
    <w:p w14:paraId="5B0BAEAB" w14:textId="77777777" w:rsidR="00F878CA" w:rsidRPr="0068648E" w:rsidRDefault="00F878CA" w:rsidP="00F878CA">
      <w:pPr>
        <w:pStyle w:val="desc2"/>
        <w:numPr>
          <w:ilvl w:val="0"/>
          <w:numId w:val="32"/>
        </w:numPr>
        <w:shd w:val="clear" w:color="auto" w:fill="FFFFFF"/>
        <w:spacing w:line="360" w:lineRule="auto"/>
        <w:rPr>
          <w:sz w:val="24"/>
          <w:szCs w:val="24"/>
        </w:rPr>
      </w:pPr>
      <w:proofErr w:type="spellStart"/>
      <w:r w:rsidRPr="00FA4A9E">
        <w:rPr>
          <w:bCs/>
          <w:sz w:val="24"/>
          <w:szCs w:val="24"/>
          <w:lang w:val="en-US"/>
        </w:rPr>
        <w:t>Piga</w:t>
      </w:r>
      <w:proofErr w:type="spellEnd"/>
      <w:r w:rsidRPr="00FA4A9E">
        <w:rPr>
          <w:sz w:val="24"/>
          <w:szCs w:val="24"/>
          <w:lang w:val="en-US"/>
        </w:rPr>
        <w:t xml:space="preserve"> M, </w:t>
      </w:r>
      <w:proofErr w:type="spellStart"/>
      <w:r w:rsidRPr="00FA4A9E">
        <w:rPr>
          <w:sz w:val="24"/>
          <w:szCs w:val="24"/>
          <w:lang w:val="en-US"/>
        </w:rPr>
        <w:t>Cocco</w:t>
      </w:r>
      <w:proofErr w:type="spellEnd"/>
      <w:r w:rsidRPr="00FA4A9E">
        <w:rPr>
          <w:sz w:val="24"/>
          <w:szCs w:val="24"/>
          <w:lang w:val="en-US"/>
        </w:rPr>
        <w:t xml:space="preserve"> MC, Serra A et al. The usefulness of </w:t>
      </w:r>
      <w:r w:rsidRPr="00FA4A9E">
        <w:rPr>
          <w:sz w:val="24"/>
          <w:szCs w:val="24"/>
          <w:vertAlign w:val="superscript"/>
          <w:lang w:val="en-US"/>
        </w:rPr>
        <w:t>99m</w:t>
      </w:r>
      <w:r w:rsidRPr="00FA4A9E">
        <w:rPr>
          <w:sz w:val="24"/>
          <w:szCs w:val="24"/>
          <w:lang w:val="en-US"/>
        </w:rPr>
        <w:t xml:space="preserve">Tc-sestaMIBI thyroid scan in the differential diagnosis and management of </w:t>
      </w:r>
      <w:proofErr w:type="spellStart"/>
      <w:r w:rsidRPr="00FA4A9E">
        <w:rPr>
          <w:sz w:val="24"/>
          <w:szCs w:val="24"/>
          <w:lang w:val="en-US"/>
        </w:rPr>
        <w:t>amiodarone</w:t>
      </w:r>
      <w:proofErr w:type="spellEnd"/>
      <w:r w:rsidRPr="00FA4A9E">
        <w:rPr>
          <w:sz w:val="24"/>
          <w:szCs w:val="24"/>
          <w:lang w:val="en-US"/>
        </w:rPr>
        <w:t xml:space="preserve">-induced thyrotoxicosis. </w:t>
      </w:r>
      <w:proofErr w:type="spellStart"/>
      <w:r w:rsidRPr="0068648E">
        <w:rPr>
          <w:rStyle w:val="jrnl"/>
          <w:sz w:val="24"/>
          <w:szCs w:val="24"/>
        </w:rPr>
        <w:t>Eur</w:t>
      </w:r>
      <w:proofErr w:type="spellEnd"/>
      <w:r w:rsidRPr="0068648E">
        <w:rPr>
          <w:rStyle w:val="jrnl"/>
          <w:sz w:val="24"/>
          <w:szCs w:val="24"/>
        </w:rPr>
        <w:t xml:space="preserve"> J </w:t>
      </w:r>
      <w:proofErr w:type="spellStart"/>
      <w:r w:rsidRPr="0068648E">
        <w:rPr>
          <w:rStyle w:val="jrnl"/>
          <w:sz w:val="24"/>
          <w:szCs w:val="24"/>
        </w:rPr>
        <w:t>Endocrinol</w:t>
      </w:r>
      <w:proofErr w:type="spellEnd"/>
      <w:r w:rsidRPr="0068648E">
        <w:rPr>
          <w:sz w:val="24"/>
          <w:szCs w:val="24"/>
        </w:rPr>
        <w:t xml:space="preserve"> </w:t>
      </w:r>
      <w:r w:rsidRPr="0068648E">
        <w:rPr>
          <w:bCs/>
          <w:sz w:val="24"/>
          <w:szCs w:val="24"/>
        </w:rPr>
        <w:t>2008</w:t>
      </w:r>
      <w:r w:rsidRPr="0068648E">
        <w:rPr>
          <w:sz w:val="24"/>
          <w:szCs w:val="24"/>
        </w:rPr>
        <w:t>; 159(4): 423-429.</w:t>
      </w:r>
    </w:p>
    <w:p w14:paraId="6A38C157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Bogazzi F, Martino E,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Dell’Unto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E et al. Thyroid color flow Doppler sonography and radioiodine uptake in 55 consecutive patients with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-induced thyrotoxicosis. </w:t>
      </w:r>
      <w:proofErr w:type="spellStart"/>
      <w:r w:rsidRPr="0068648E">
        <w:rPr>
          <w:rFonts w:ascii="Times New Roman" w:hAnsi="Times New Roman"/>
          <w:sz w:val="24"/>
          <w:szCs w:val="24"/>
        </w:rPr>
        <w:t>Eur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J </w:t>
      </w:r>
      <w:proofErr w:type="spellStart"/>
      <w:r w:rsidRPr="0068648E">
        <w:rPr>
          <w:rFonts w:ascii="Times New Roman" w:hAnsi="Times New Roman"/>
          <w:sz w:val="24"/>
          <w:szCs w:val="24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Invest 2003; 26: 635-640.</w:t>
      </w:r>
    </w:p>
    <w:p w14:paraId="1E5E240A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Bogazzi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F,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Bartalena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L,Vitti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P et al. Color flow Doppler sonography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rapidly differentiates type I and type II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induced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thyrotoxicosis. </w:t>
      </w:r>
      <w:r w:rsidRPr="0068648E">
        <w:rPr>
          <w:rFonts w:ascii="Times New Roman" w:hAnsi="Times New Roman"/>
          <w:sz w:val="24"/>
          <w:szCs w:val="24"/>
          <w:lang w:eastAsia="pl-PL"/>
        </w:rPr>
        <w:t>Thyroid 1997; 7: 541-545.</w:t>
      </w:r>
    </w:p>
    <w:p w14:paraId="1C9949A9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Yiu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KH, Jim MH, Siu CW et al.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Amiodarone-induced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thyrotoxicosis is a predictor of adverse cardiovascular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outcome.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Metab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2009; 154: 533.</w:t>
      </w:r>
    </w:p>
    <w:p w14:paraId="3FAB8A72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Leung PM, Quinn ND,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Belchetz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PE.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induced thyrotoxicosis: not a benign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condition.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Int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Clini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Pract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2002; 56: 44-46.</w:t>
      </w:r>
    </w:p>
    <w:p w14:paraId="32EB1E24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Leger AF,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Massin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JP, Laurent MF et al. Iodine-induced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thyrotoxicosis: analysis of eighty-five consecutive cases.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Eur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Invest 1994; 14: 449-455.</w:t>
      </w:r>
    </w:p>
    <w:p w14:paraId="00F0260C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Bartalena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L,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Brogioni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S, Grasso L,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Bogazzi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F,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Burelli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A, Martino E. Treatment of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-induced thyrotoxicosis, a difficult challenge: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results of a prospective study.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Metab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1996; 81: 2930-2933.</w:t>
      </w:r>
    </w:p>
    <w:p w14:paraId="17F03B1B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lastRenderedPageBreak/>
        <w:t>Food and Drug Administration (2010).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Propylthiouracil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tablets. </w:t>
      </w:r>
      <w:r w:rsidR="00980418">
        <w:fldChar w:fldCharType="begin"/>
      </w:r>
      <w:r w:rsidR="00980418" w:rsidRPr="00980418">
        <w:rPr>
          <w:lang w:val="en-US"/>
        </w:rPr>
        <w:instrText xml:space="preserve"> HYPERLINK "http://www.fda.gov/Safety/MedWatch/SafetyInformation/ucm209256.htm" </w:instrText>
      </w:r>
      <w:r w:rsidR="00980418">
        <w:fldChar w:fldCharType="separate"/>
      </w:r>
      <w:r w:rsidRPr="0068648E">
        <w:rPr>
          <w:rStyle w:val="Hipercze"/>
          <w:rFonts w:ascii="Times New Roman" w:hAnsi="Times New Roman"/>
          <w:sz w:val="24"/>
          <w:szCs w:val="24"/>
          <w:lang w:eastAsia="pl-PL"/>
        </w:rPr>
        <w:t>http://www.fda.gov/Safety/MedWatch/SafetyInformation/ucm209256.htm</w:t>
      </w:r>
      <w:r w:rsidR="00980418">
        <w:rPr>
          <w:rStyle w:val="Hipercze"/>
          <w:rFonts w:ascii="Times New Roman" w:hAnsi="Times New Roman"/>
          <w:sz w:val="24"/>
          <w:szCs w:val="24"/>
          <w:lang w:eastAsia="pl-PL"/>
        </w:rPr>
        <w:fldChar w:fldCharType="end"/>
      </w:r>
    </w:p>
    <w:p w14:paraId="76183CBE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Bogazzi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F,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Bartalena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L,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Gasperi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M,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Braverman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LE, Martino E. The various effects of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on thyroid function. </w:t>
      </w:r>
      <w:r w:rsidRPr="0068648E">
        <w:rPr>
          <w:rFonts w:ascii="Times New Roman" w:hAnsi="Times New Roman"/>
          <w:sz w:val="24"/>
          <w:szCs w:val="24"/>
          <w:lang w:eastAsia="pl-PL"/>
        </w:rPr>
        <w:t>Thyroid 2001; 11: 511-519.</w:t>
      </w:r>
    </w:p>
    <w:p w14:paraId="1ADF4ABC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Franklyn JA,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Gammage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MD.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Treatment of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-associated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thyrotoxicosis.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Nat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Pract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Metab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2007; 3: 662–666.</w:t>
      </w:r>
    </w:p>
    <w:p w14:paraId="0342DA5A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Bogazzi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F, </w:t>
      </w: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Bartalena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L, </w:t>
      </w: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Tomisti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L et al.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Glucocorticoid response in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-induced thyrotoxicosis resulting from destructive thyroiditis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is predicted by thyroid volume and serum free thyroid hormone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concentrations.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Metab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2007; 92: 556–562.</w:t>
      </w:r>
    </w:p>
    <w:p w14:paraId="36BF702F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Bogazzi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F,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Tomisti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L, Rossi G et al.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Glucocorticoids are preferable to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thionamides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as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first-line treatment for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-induced thyrotoxicosis due to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destructive thyroiditis: a matched retrospective cohort study.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Metab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2009; 94: 3757–3762.</w:t>
      </w:r>
    </w:p>
    <w:p w14:paraId="693F8B79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Bogazzi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F,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Miccoli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P,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Berti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P et al. Preparation with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iopanoic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acid rapidly controls thyrotoxicosis in patients with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-induced thyrotoxicosis before thyroidectomy. </w:t>
      </w:r>
      <w:r w:rsidRPr="0068648E">
        <w:rPr>
          <w:rFonts w:ascii="Times New Roman" w:hAnsi="Times New Roman"/>
          <w:sz w:val="24"/>
          <w:szCs w:val="24"/>
        </w:rPr>
        <w:t>Surgery 2002; 132: 1114-1117.</w:t>
      </w:r>
    </w:p>
    <w:p w14:paraId="45D68DFA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Osman F, Franklyn JA, Sheppard MC,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Gammage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MD. Successful treatment of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-induced thyrotoxicosis. </w:t>
      </w:r>
      <w:r w:rsidRPr="0068648E">
        <w:rPr>
          <w:rFonts w:ascii="Times New Roman" w:hAnsi="Times New Roman"/>
          <w:sz w:val="24"/>
          <w:szCs w:val="24"/>
          <w:lang w:eastAsia="pl-PL"/>
        </w:rPr>
        <w:t>Circulation</w:t>
      </w:r>
      <w:r w:rsidRPr="0068648E">
        <w:rPr>
          <w:rFonts w:ascii="Times New Roman" w:hAnsi="Times New Roman"/>
          <w:sz w:val="24"/>
          <w:szCs w:val="24"/>
        </w:rPr>
        <w:t xml:space="preserve"> 2002; </w:t>
      </w:r>
      <w:r w:rsidRPr="0068648E">
        <w:rPr>
          <w:rFonts w:ascii="Times New Roman" w:hAnsi="Times New Roman"/>
          <w:sz w:val="24"/>
          <w:szCs w:val="24"/>
          <w:lang w:eastAsia="pl-PL"/>
        </w:rPr>
        <w:t>105: 1275-1277.</w:t>
      </w:r>
    </w:p>
    <w:p w14:paraId="531194AC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Tanda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ML,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Piantanida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E, Lai A et al.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Diagnosis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and management of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-induced thyrotoxicosis: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similarities and differences between North American and European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thyroidologists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(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Oxf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>) 2008; 69: 812–818.</w:t>
      </w:r>
    </w:p>
    <w:p w14:paraId="6481770E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Vanderpump MP.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Thyroid gland: use of glucocorticoids in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-induced thyrotoxicosis.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Nat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Rev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2009; 5: 650–651.</w:t>
      </w:r>
    </w:p>
    <w:p w14:paraId="55C1357E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 xml:space="preserve">Diamond TH, </w:t>
      </w:r>
      <w:proofErr w:type="spellStart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>Rajagopal</w:t>
      </w:r>
      <w:proofErr w:type="spellEnd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 xml:space="preserve"> R, </w:t>
      </w:r>
      <w:proofErr w:type="spellStart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>Ganda</w:t>
      </w:r>
      <w:proofErr w:type="spellEnd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 xml:space="preserve"> K, </w:t>
      </w:r>
      <w:proofErr w:type="spellStart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>Manoharan</w:t>
      </w:r>
      <w:proofErr w:type="spellEnd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 xml:space="preserve"> A,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>Luk</w:t>
      </w:r>
      <w:proofErr w:type="spellEnd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 xml:space="preserve"> A. </w:t>
      </w:r>
      <w:proofErr w:type="spellStart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>Plasmapheresis</w:t>
      </w:r>
      <w:proofErr w:type="spellEnd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 xml:space="preserve"> as a potential treatment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 xml:space="preserve">option for </w:t>
      </w:r>
      <w:proofErr w:type="spellStart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color w:val="231F20"/>
          <w:sz w:val="24"/>
          <w:szCs w:val="24"/>
          <w:lang w:val="en-US" w:eastAsia="pl-PL"/>
        </w:rPr>
        <w:t>-induced thyrotoxicosis.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648E">
        <w:rPr>
          <w:rFonts w:ascii="Times New Roman" w:hAnsi="Times New Roman"/>
          <w:color w:val="231F20"/>
          <w:sz w:val="24"/>
          <w:szCs w:val="24"/>
          <w:lang w:eastAsia="pl-PL"/>
        </w:rPr>
        <w:t xml:space="preserve">Intern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  <w:lang w:eastAsia="pl-PL"/>
        </w:rPr>
        <w:t>Med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  <w:lang w:eastAsia="pl-PL"/>
        </w:rPr>
        <w:t xml:space="preserve"> J. 2004; 34: 369-370.</w:t>
      </w:r>
    </w:p>
    <w:p w14:paraId="702E01B4" w14:textId="77777777" w:rsidR="00F878CA" w:rsidRPr="0068648E" w:rsidRDefault="00F878CA" w:rsidP="00F878CA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color w:val="231F20"/>
          <w:sz w:val="24"/>
          <w:szCs w:val="24"/>
          <w:lang w:val="en-US"/>
        </w:rPr>
        <w:t>Babic</w:t>
      </w:r>
      <w:proofErr w:type="spellEnd"/>
      <w:r w:rsidRPr="00FA4A9E">
        <w:rPr>
          <w:rFonts w:ascii="Times New Roman" w:hAnsi="Times New Roman"/>
          <w:color w:val="231F20"/>
          <w:sz w:val="24"/>
          <w:szCs w:val="24"/>
          <w:lang w:val="en-US"/>
        </w:rPr>
        <w:t xml:space="preserve"> BK, </w:t>
      </w:r>
      <w:proofErr w:type="spellStart"/>
      <w:r w:rsidRPr="00FA4A9E">
        <w:rPr>
          <w:rFonts w:ascii="Times New Roman" w:hAnsi="Times New Roman"/>
          <w:color w:val="231F20"/>
          <w:sz w:val="24"/>
          <w:szCs w:val="24"/>
          <w:lang w:val="en-US"/>
        </w:rPr>
        <w:t>Ljutic</w:t>
      </w:r>
      <w:proofErr w:type="spellEnd"/>
      <w:r w:rsidRPr="00FA4A9E">
        <w:rPr>
          <w:rFonts w:ascii="Times New Roman" w:hAnsi="Times New Roman"/>
          <w:color w:val="231F20"/>
          <w:sz w:val="24"/>
          <w:szCs w:val="24"/>
          <w:lang w:val="en-US"/>
        </w:rPr>
        <w:t xml:space="preserve"> D, </w:t>
      </w:r>
      <w:proofErr w:type="spellStart"/>
      <w:r w:rsidRPr="00FA4A9E">
        <w:rPr>
          <w:rFonts w:ascii="Times New Roman" w:hAnsi="Times New Roman"/>
          <w:color w:val="231F20"/>
          <w:sz w:val="24"/>
          <w:szCs w:val="24"/>
          <w:lang w:val="en-US"/>
        </w:rPr>
        <w:t>Brnic</w:t>
      </w:r>
      <w:proofErr w:type="spellEnd"/>
      <w:r w:rsidRPr="00FA4A9E">
        <w:rPr>
          <w:rFonts w:ascii="Times New Roman" w:hAnsi="Times New Roman"/>
          <w:color w:val="231F20"/>
          <w:sz w:val="24"/>
          <w:szCs w:val="24"/>
          <w:lang w:val="en-US"/>
        </w:rPr>
        <w:t xml:space="preserve"> D, </w:t>
      </w:r>
      <w:proofErr w:type="spellStart"/>
      <w:r w:rsidRPr="00FA4A9E">
        <w:rPr>
          <w:rFonts w:ascii="Times New Roman" w:hAnsi="Times New Roman"/>
          <w:color w:val="231F20"/>
          <w:sz w:val="24"/>
          <w:szCs w:val="24"/>
          <w:lang w:val="en-US"/>
        </w:rPr>
        <w:t>Dodig</w:t>
      </w:r>
      <w:proofErr w:type="spellEnd"/>
      <w:r w:rsidRPr="00FA4A9E">
        <w:rPr>
          <w:rFonts w:ascii="Times New Roman" w:hAnsi="Times New Roman"/>
          <w:color w:val="231F20"/>
          <w:sz w:val="24"/>
          <w:szCs w:val="24"/>
          <w:lang w:val="en-US"/>
        </w:rPr>
        <w:t xml:space="preserve"> J. </w:t>
      </w:r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 xml:space="preserve">The Role of </w:t>
      </w:r>
      <w:proofErr w:type="spellStart"/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>Plasmapheresis</w:t>
      </w:r>
      <w:proofErr w:type="spellEnd"/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 xml:space="preserve"> in the Treatment of </w:t>
      </w:r>
      <w:proofErr w:type="spellStart"/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>-Induced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 xml:space="preserve">Thyrotoxicosis. </w:t>
      </w:r>
      <w:r w:rsidRPr="0068648E">
        <w:rPr>
          <w:rFonts w:ascii="Times New Roman" w:hAnsi="Times New Roman"/>
          <w:color w:val="231F20"/>
          <w:sz w:val="24"/>
          <w:szCs w:val="24"/>
        </w:rPr>
        <w:t>Dialys Transplant 2007; 36: 227-229.</w:t>
      </w:r>
    </w:p>
    <w:p w14:paraId="30045BEA" w14:textId="77777777" w:rsidR="00F878CA" w:rsidRPr="0068648E" w:rsidRDefault="00F878CA" w:rsidP="00F878CA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Kostecka-Matyja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 M., Motyka M.,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Hubalewska-Dydejczyk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 A., Matyja A., Cieniawa T.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Urgent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thyreoidectomy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 in a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patient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 with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severe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amiodarone-induced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hyperthyroidism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.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Eur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.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Thyroid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 J. 2011; 0.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Launching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issue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 xml:space="preserve">: 174, </w:t>
      </w:r>
      <w:proofErr w:type="spellStart"/>
      <w:r w:rsidRPr="0068648E">
        <w:rPr>
          <w:rFonts w:ascii="Times New Roman" w:hAnsi="Times New Roman"/>
          <w:color w:val="231F20"/>
          <w:sz w:val="24"/>
          <w:szCs w:val="24"/>
        </w:rPr>
        <w:t>abstr</w:t>
      </w:r>
      <w:proofErr w:type="spellEnd"/>
      <w:r w:rsidRPr="0068648E">
        <w:rPr>
          <w:rFonts w:ascii="Times New Roman" w:hAnsi="Times New Roman"/>
          <w:color w:val="231F20"/>
          <w:sz w:val="24"/>
          <w:szCs w:val="24"/>
        </w:rPr>
        <w:t>. P245.</w:t>
      </w:r>
    </w:p>
    <w:p w14:paraId="3246EDDC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lastRenderedPageBreak/>
        <w:t>Meurisse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M,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Hamoir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E,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D’Silva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M,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Joris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J,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Hennen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G.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-induced thyrotoxicosis: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Is there a place for surgery?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World 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Surg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1993; </w:t>
      </w:r>
      <w:r w:rsidRPr="0068648E">
        <w:rPr>
          <w:rFonts w:ascii="Times New Roman" w:hAnsi="Times New Roman"/>
          <w:sz w:val="24"/>
          <w:szCs w:val="24"/>
          <w:lang w:eastAsia="pl-PL"/>
        </w:rPr>
        <w:t>17: 622-626.</w:t>
      </w:r>
    </w:p>
    <w:p w14:paraId="661FE032" w14:textId="77777777" w:rsidR="00F878CA" w:rsidRPr="0068648E" w:rsidRDefault="00F878CA" w:rsidP="00F878CA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Houghton SG, Farley DR, Brennan MD, van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Heerden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JA, Thompson GB, Grant CS 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Surgical management of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>-associated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thyrotoxicosis: Mayo Clinic experience. </w:t>
      </w:r>
      <w:r w:rsidRPr="0068648E">
        <w:rPr>
          <w:rFonts w:ascii="Times New Roman" w:hAnsi="Times New Roman"/>
          <w:sz w:val="24"/>
          <w:szCs w:val="24"/>
        </w:rPr>
        <w:t xml:space="preserve">World J </w:t>
      </w:r>
      <w:proofErr w:type="spellStart"/>
      <w:r w:rsidRPr="0068648E">
        <w:rPr>
          <w:rFonts w:ascii="Times New Roman" w:hAnsi="Times New Roman"/>
          <w:sz w:val="24"/>
          <w:szCs w:val="24"/>
        </w:rPr>
        <w:t>Surg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2004; 28: 1083–1087.</w:t>
      </w:r>
    </w:p>
    <w:p w14:paraId="6FE8BEBE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Gough J, Gough IR. 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Total thyroidectomy for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associated thyrotoxicosis in patients with severe cardiac disease. </w:t>
      </w:r>
      <w:r w:rsidRPr="0068648E">
        <w:rPr>
          <w:rFonts w:ascii="Times New Roman" w:hAnsi="Times New Roman"/>
          <w:sz w:val="24"/>
          <w:szCs w:val="24"/>
        </w:rPr>
        <w:t xml:space="preserve">World J </w:t>
      </w:r>
      <w:proofErr w:type="spellStart"/>
      <w:r w:rsidRPr="0068648E">
        <w:rPr>
          <w:rFonts w:ascii="Times New Roman" w:hAnsi="Times New Roman"/>
          <w:sz w:val="24"/>
          <w:szCs w:val="24"/>
        </w:rPr>
        <w:t>Surg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2006; 30: 1957–1961.</w:t>
      </w:r>
    </w:p>
    <w:p w14:paraId="4EEA8465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Lorberboym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Schachter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P. Drug-induced thyrotoxicosis: the surgical option. </w:t>
      </w:r>
      <w:proofErr w:type="spellStart"/>
      <w:r w:rsidRPr="0068648E">
        <w:rPr>
          <w:rFonts w:ascii="Times New Roman" w:hAnsi="Times New Roman"/>
          <w:sz w:val="24"/>
          <w:szCs w:val="24"/>
        </w:rPr>
        <w:t>Isr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Assoc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J 2007; 9: 79-82.</w:t>
      </w:r>
    </w:p>
    <w:p w14:paraId="15E5FCD2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Hamoir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E,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Meurisse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M,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Defechereux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T,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Joris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J,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Vivario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J,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Hennen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G. Surgical management of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-associated thyrotoxicosis: too risky or too effective? </w:t>
      </w:r>
      <w:r w:rsidRPr="0068648E">
        <w:rPr>
          <w:rFonts w:ascii="Times New Roman" w:hAnsi="Times New Roman"/>
          <w:sz w:val="24"/>
          <w:szCs w:val="24"/>
        </w:rPr>
        <w:t xml:space="preserve">World J </w:t>
      </w:r>
      <w:proofErr w:type="spellStart"/>
      <w:r w:rsidRPr="0068648E">
        <w:rPr>
          <w:rFonts w:ascii="Times New Roman" w:hAnsi="Times New Roman"/>
          <w:sz w:val="24"/>
          <w:szCs w:val="24"/>
        </w:rPr>
        <w:t>Surg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1998; 22: 537-542.</w:t>
      </w:r>
    </w:p>
    <w:p w14:paraId="3320CDDF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Franzese CB, Fan CY, Stack BC Jr. Surgical management of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-induced thyrotoxicosis. </w:t>
      </w:r>
      <w:proofErr w:type="spellStart"/>
      <w:r w:rsidRPr="0068648E">
        <w:rPr>
          <w:rFonts w:ascii="Times New Roman" w:hAnsi="Times New Roman"/>
          <w:sz w:val="24"/>
          <w:szCs w:val="24"/>
        </w:rPr>
        <w:t>Otolaryngol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Head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Neck </w:t>
      </w:r>
      <w:proofErr w:type="spellStart"/>
      <w:r w:rsidRPr="0068648E">
        <w:rPr>
          <w:rFonts w:ascii="Times New Roman" w:hAnsi="Times New Roman"/>
          <w:sz w:val="24"/>
          <w:szCs w:val="24"/>
        </w:rPr>
        <w:t>Surg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2003; 129: 565-570.</w:t>
      </w:r>
    </w:p>
    <w:p w14:paraId="0C86A5BA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Gough J, Gough IR. Total thyroidectomy for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-associated thyrotoxicosis in patients with severe cardiac disease. </w:t>
      </w:r>
      <w:r w:rsidRPr="0068648E">
        <w:rPr>
          <w:rFonts w:ascii="Times New Roman" w:hAnsi="Times New Roman"/>
          <w:sz w:val="24"/>
          <w:szCs w:val="24"/>
        </w:rPr>
        <w:t xml:space="preserve">World J </w:t>
      </w:r>
      <w:proofErr w:type="spellStart"/>
      <w:r w:rsidRPr="0068648E">
        <w:rPr>
          <w:rFonts w:ascii="Times New Roman" w:hAnsi="Times New Roman"/>
          <w:sz w:val="24"/>
          <w:szCs w:val="24"/>
        </w:rPr>
        <w:t>Surg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2006; 30: 1957-1961.</w:t>
      </w:r>
    </w:p>
    <w:p w14:paraId="24908F83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Pierret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C,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Tourtier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JP, Pons Y,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Merat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S,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Duverger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V, Perrier E. Total thyroidectomy for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-associated thyrotoxicosis: should surgery always be delayed for pre-operative medical preparation? </w:t>
      </w:r>
      <w:r w:rsidRPr="0068648E">
        <w:rPr>
          <w:rFonts w:ascii="Times New Roman" w:hAnsi="Times New Roman"/>
          <w:sz w:val="24"/>
          <w:szCs w:val="24"/>
        </w:rPr>
        <w:t xml:space="preserve">J </w:t>
      </w:r>
      <w:proofErr w:type="spellStart"/>
      <w:r w:rsidRPr="0068648E">
        <w:rPr>
          <w:rFonts w:ascii="Times New Roman" w:hAnsi="Times New Roman"/>
          <w:sz w:val="24"/>
          <w:szCs w:val="24"/>
        </w:rPr>
        <w:t>Laryngol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Otol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2012; 126: 701-705.</w:t>
      </w:r>
    </w:p>
    <w:p w14:paraId="58DE5E3E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8648E">
        <w:rPr>
          <w:rFonts w:ascii="Times New Roman" w:hAnsi="Times New Roman"/>
          <w:sz w:val="24"/>
          <w:szCs w:val="24"/>
        </w:rPr>
        <w:t>Tomisti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L, </w:t>
      </w:r>
      <w:proofErr w:type="spellStart"/>
      <w:r w:rsidRPr="0068648E">
        <w:rPr>
          <w:rFonts w:ascii="Times New Roman" w:hAnsi="Times New Roman"/>
          <w:sz w:val="24"/>
          <w:szCs w:val="24"/>
        </w:rPr>
        <w:t>Materazzi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68648E">
        <w:rPr>
          <w:rFonts w:ascii="Times New Roman" w:hAnsi="Times New Roman"/>
          <w:sz w:val="24"/>
          <w:szCs w:val="24"/>
        </w:rPr>
        <w:t>Bartalena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L et al. 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Total thyroidectomy in patients with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-induced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thyrotoxicosix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and severe left ventricular systolic dysfunction. </w:t>
      </w:r>
      <w:r w:rsidRPr="0068648E">
        <w:rPr>
          <w:rFonts w:ascii="Times New Roman" w:hAnsi="Times New Roman"/>
          <w:sz w:val="24"/>
          <w:szCs w:val="24"/>
        </w:rPr>
        <w:t xml:space="preserve">J </w:t>
      </w:r>
      <w:proofErr w:type="spellStart"/>
      <w:r w:rsidRPr="0068648E">
        <w:rPr>
          <w:rFonts w:ascii="Times New Roman" w:hAnsi="Times New Roman"/>
          <w:sz w:val="24"/>
          <w:szCs w:val="24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Metab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2012; 97: 3515-3521.</w:t>
      </w:r>
    </w:p>
    <w:p w14:paraId="65D25F91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Diehl LA,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Romaldini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JH, Graf H et al.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Management of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>-induced thyrotoxicosis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in Latin America: an electronic survey. </w:t>
      </w:r>
      <w:proofErr w:type="spellStart"/>
      <w:r w:rsidRPr="0068648E">
        <w:rPr>
          <w:rFonts w:ascii="Times New Roman" w:hAnsi="Times New Roman"/>
          <w:sz w:val="24"/>
          <w:szCs w:val="24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Endocrinol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</w:t>
      </w:r>
      <w:r w:rsidRPr="0068648E">
        <w:rPr>
          <w:rFonts w:ascii="Times New Roman" w:hAnsi="Times New Roman"/>
          <w:sz w:val="24"/>
          <w:szCs w:val="24"/>
        </w:rPr>
        <w:t>(</w:t>
      </w:r>
      <w:proofErr w:type="spellStart"/>
      <w:r w:rsidRPr="0068648E">
        <w:rPr>
          <w:rFonts w:ascii="Times New Roman" w:hAnsi="Times New Roman"/>
          <w:sz w:val="24"/>
          <w:szCs w:val="24"/>
        </w:rPr>
        <w:t>Oxf</w:t>
      </w:r>
      <w:proofErr w:type="spellEnd"/>
      <w:r w:rsidRPr="0068648E">
        <w:rPr>
          <w:rFonts w:ascii="Times New Roman" w:hAnsi="Times New Roman"/>
          <w:sz w:val="24"/>
          <w:szCs w:val="24"/>
        </w:rPr>
        <w:t>) 2006; 65: 433–438.</w:t>
      </w:r>
    </w:p>
    <w:p w14:paraId="52A91EDB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Czarnywojtek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A, </w:t>
      </w: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Czepczynski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R, </w:t>
      </w:r>
      <w:proofErr w:type="spellStart"/>
      <w:r w:rsidRPr="0068648E">
        <w:rPr>
          <w:rFonts w:ascii="Times New Roman" w:hAnsi="Times New Roman"/>
          <w:bCs/>
          <w:sz w:val="24"/>
          <w:szCs w:val="24"/>
          <w:lang w:eastAsia="pl-PL"/>
        </w:rPr>
        <w:t>Ruchala</w:t>
      </w:r>
      <w:proofErr w:type="spellEnd"/>
      <w:r w:rsidRPr="0068648E">
        <w:rPr>
          <w:rFonts w:ascii="Times New Roman" w:hAnsi="Times New Roman"/>
          <w:bCs/>
          <w:sz w:val="24"/>
          <w:szCs w:val="24"/>
          <w:lang w:eastAsia="pl-PL"/>
        </w:rPr>
        <w:t xml:space="preserve"> M et al.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Radioiodine therapy in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patients with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-induced thyrotoxicosis (AIT).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Neuroendocrinol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Lett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2009; 30: 209–214.</w:t>
      </w:r>
    </w:p>
    <w:p w14:paraId="3D11A7F4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Gursoy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A,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Tutunacu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NB,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Gencoglu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A, Anil C,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Demirer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AN,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Demirag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NG. Radioactive iodine in the treatment of type 2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induced thyrotoxicosis. </w:t>
      </w:r>
      <w:r w:rsidRPr="0068648E">
        <w:rPr>
          <w:rFonts w:ascii="Times New Roman" w:hAnsi="Times New Roman"/>
          <w:sz w:val="24"/>
          <w:szCs w:val="24"/>
        </w:rPr>
        <w:t xml:space="preserve">J </w:t>
      </w:r>
      <w:proofErr w:type="spellStart"/>
      <w:r w:rsidRPr="0068648E">
        <w:rPr>
          <w:rFonts w:ascii="Times New Roman" w:hAnsi="Times New Roman"/>
          <w:sz w:val="24"/>
          <w:szCs w:val="24"/>
        </w:rPr>
        <w:t>Natl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Assoc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2008; 100: 716-719.</w:t>
      </w:r>
    </w:p>
    <w:p w14:paraId="696500CC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lastRenderedPageBreak/>
        <w:t>Albino CC, Paz-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Filho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G, Graf H.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Recombinant human TSH as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an adjuvant to radioiodine for the treatment of type 1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induced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thyrotoxicosis (AIT).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(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Oxf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>) 2009; 70: 810–811.</w:t>
      </w:r>
    </w:p>
    <w:p w14:paraId="62DC850C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4"/>
          <w:szCs w:val="24"/>
        </w:rPr>
      </w:pP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Bogazzi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F,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Tomisti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L,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Ceccarelli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C, Martino E.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Recombinant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human TSH as an adjuvant to radioiodine for the treatment of type 1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-induced thyrotoxicosis: a cautionary note.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r w:rsidRPr="0068648E">
        <w:rPr>
          <w:rFonts w:ascii="Times New Roman" w:hAnsi="Times New Roman"/>
          <w:sz w:val="24"/>
          <w:szCs w:val="24"/>
          <w:lang w:eastAsia="pl-PL"/>
        </w:rPr>
        <w:t>(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Oxf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>) 2010; 72:133–134.</w:t>
      </w:r>
    </w:p>
    <w:p w14:paraId="40E90FA0" w14:textId="77777777" w:rsidR="00F878CA" w:rsidRPr="0068648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>Kaminski</w:t>
      </w:r>
      <w:proofErr w:type="spellEnd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 xml:space="preserve"> G, </w:t>
      </w:r>
      <w:proofErr w:type="spellStart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>Jaroszuk</w:t>
      </w:r>
      <w:proofErr w:type="spellEnd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 xml:space="preserve"> A, </w:t>
      </w:r>
      <w:proofErr w:type="spellStart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>Zybek</w:t>
      </w:r>
      <w:proofErr w:type="spellEnd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 xml:space="preserve"> A et al. </w:t>
      </w:r>
      <w:r w:rsidRPr="00FA4A9E">
        <w:rPr>
          <w:rFonts w:ascii="Times New Roman" w:eastAsia="Times New Roman" w:hAnsi="Times New Roman"/>
          <w:sz w:val="24"/>
          <w:szCs w:val="24"/>
          <w:lang w:val="en-US" w:eastAsia="en-GB"/>
        </w:rPr>
        <w:t xml:space="preserve">The calcium-phosphate balance, modulation of thyroid autoimmune processes and other adverse effects connected with thyroid arterial embolization. </w:t>
      </w:r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>Endocrine. 2013; 46(2):292-299.</w:t>
      </w:r>
    </w:p>
    <w:p w14:paraId="4809470A" w14:textId="77777777" w:rsidR="00F878CA" w:rsidRPr="0068648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Uzan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L,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Guignat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L,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Meune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C et al. 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Continuation of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therapy despite type II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>-induced thyrotoxicosis.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Drug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Saf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2006; 29: 231–236.</w:t>
      </w:r>
    </w:p>
    <w:p w14:paraId="26F72346" w14:textId="77777777" w:rsidR="00F878CA" w:rsidRPr="00FA4A9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val="en-US" w:eastAsia="en-GB"/>
        </w:rPr>
      </w:pP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Eskes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SA,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>Wiersinga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 w:eastAsia="pl-PL"/>
        </w:rPr>
        <w:t xml:space="preserve"> WM.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and thyroid. Best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Pract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Res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Clin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Endocrinol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Metab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2009; 23:735–751.</w:t>
      </w:r>
    </w:p>
    <w:p w14:paraId="721109B2" w14:textId="77777777" w:rsidR="00F878CA" w:rsidRPr="0068648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Bogazzi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F,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Bartalena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L,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Tomisti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L, Rossi G,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Brogioni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S, Martino E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. Continuation of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Delays Restoration of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Euthyroidism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in Patients with Type 2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-Induced Thyrotoxicosis Treated with Prednisone: A Pilot Study. </w:t>
      </w:r>
      <w:r w:rsidRPr="0068648E">
        <w:rPr>
          <w:rFonts w:ascii="Times New Roman" w:hAnsi="Times New Roman"/>
          <w:bCs/>
          <w:iCs/>
          <w:sz w:val="24"/>
          <w:szCs w:val="24"/>
        </w:rPr>
        <w:t xml:space="preserve">J </w:t>
      </w:r>
      <w:proofErr w:type="spellStart"/>
      <w:r w:rsidRPr="0068648E">
        <w:rPr>
          <w:rFonts w:ascii="Times New Roman" w:hAnsi="Times New Roman"/>
          <w:bCs/>
          <w:iCs/>
          <w:sz w:val="24"/>
          <w:szCs w:val="24"/>
        </w:rPr>
        <w:t>Clin</w:t>
      </w:r>
      <w:proofErr w:type="spellEnd"/>
      <w:r w:rsidRPr="0068648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bCs/>
          <w:iCs/>
          <w:sz w:val="24"/>
          <w:szCs w:val="24"/>
        </w:rPr>
        <w:t>Endocrinol</w:t>
      </w:r>
      <w:proofErr w:type="spellEnd"/>
      <w:r w:rsidRPr="0068648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bCs/>
          <w:iCs/>
          <w:sz w:val="24"/>
          <w:szCs w:val="24"/>
        </w:rPr>
        <w:t>Metab</w:t>
      </w:r>
      <w:proofErr w:type="spellEnd"/>
      <w:r w:rsidRPr="0068648E">
        <w:rPr>
          <w:rFonts w:ascii="Times New Roman" w:hAnsi="Times New Roman"/>
          <w:bCs/>
          <w:iCs/>
          <w:sz w:val="24"/>
          <w:szCs w:val="24"/>
        </w:rPr>
        <w:t xml:space="preserve"> 2011; </w:t>
      </w:r>
      <w:r w:rsidRPr="0068648E">
        <w:rPr>
          <w:rFonts w:ascii="Times New Roman" w:hAnsi="Times New Roman"/>
          <w:bCs/>
          <w:sz w:val="24"/>
          <w:szCs w:val="24"/>
        </w:rPr>
        <w:t>96: 3374–3380</w:t>
      </w:r>
      <w:r w:rsidRPr="0068648E">
        <w:rPr>
          <w:rFonts w:ascii="Times New Roman" w:hAnsi="Times New Roman"/>
          <w:sz w:val="24"/>
          <w:szCs w:val="24"/>
        </w:rPr>
        <w:t>.</w:t>
      </w:r>
    </w:p>
    <w:p w14:paraId="12ADE6A1" w14:textId="77777777" w:rsidR="00F878CA" w:rsidRPr="0068648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Farwell AP,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Abend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SL, Huang SK,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Patwardhan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NA,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Braverman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LE.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Thyroidectomy for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>-induced thyrotoxicosis.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8648E">
        <w:rPr>
          <w:rFonts w:ascii="Times New Roman" w:hAnsi="Times New Roman"/>
          <w:sz w:val="24"/>
          <w:szCs w:val="24"/>
        </w:rPr>
        <w:t>JAMA 1990; 263: 1526–1528.</w:t>
      </w:r>
    </w:p>
    <w:p w14:paraId="347576CC" w14:textId="77777777" w:rsidR="00F878CA" w:rsidRPr="0068648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Roti E,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Minelli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R,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Gardini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E,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Bianconi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L,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Braverman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LE. Thyrotoxicosis followed by hypothyroidism in patients treated with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68648E">
        <w:rPr>
          <w:rFonts w:ascii="Times New Roman" w:hAnsi="Times New Roman"/>
          <w:iCs/>
          <w:sz w:val="24"/>
          <w:szCs w:val="24"/>
        </w:rPr>
        <w:t>Arch</w:t>
      </w:r>
      <w:proofErr w:type="spellEnd"/>
      <w:r w:rsidRPr="0068648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iCs/>
          <w:sz w:val="24"/>
          <w:szCs w:val="24"/>
        </w:rPr>
        <w:t>Internal</w:t>
      </w:r>
      <w:proofErr w:type="spellEnd"/>
      <w:r w:rsidRPr="0068648E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iCs/>
          <w:sz w:val="24"/>
          <w:szCs w:val="24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1993; </w:t>
      </w:r>
      <w:r w:rsidRPr="0068648E">
        <w:rPr>
          <w:rFonts w:ascii="Times New Roman" w:hAnsi="Times New Roman"/>
          <w:bCs/>
          <w:sz w:val="24"/>
          <w:szCs w:val="24"/>
        </w:rPr>
        <w:t>153</w:t>
      </w:r>
      <w:r w:rsidRPr="0068648E">
        <w:rPr>
          <w:rFonts w:ascii="Times New Roman" w:hAnsi="Times New Roman"/>
          <w:sz w:val="24"/>
          <w:szCs w:val="24"/>
        </w:rPr>
        <w:t>: 886–892.</w:t>
      </w:r>
    </w:p>
    <w:p w14:paraId="195B2E74" w14:textId="77777777" w:rsidR="00F878CA" w:rsidRPr="0068648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Roti E,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Minelli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R,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Gardini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E et al. Iodine-induced subclinical hypothyroidism in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euthyroid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subjects with a previous episode of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-induced thyrotoxicosis. </w:t>
      </w:r>
      <w:r w:rsidRPr="0068648E">
        <w:rPr>
          <w:rFonts w:ascii="Times New Roman" w:hAnsi="Times New Roman"/>
          <w:iCs/>
          <w:sz w:val="24"/>
          <w:szCs w:val="24"/>
        </w:rPr>
        <w:t xml:space="preserve">J </w:t>
      </w:r>
      <w:proofErr w:type="spellStart"/>
      <w:r w:rsidRPr="0068648E">
        <w:rPr>
          <w:rFonts w:ascii="Times New Roman" w:hAnsi="Times New Roman"/>
          <w:iCs/>
          <w:sz w:val="24"/>
          <w:szCs w:val="24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iCs/>
          <w:sz w:val="24"/>
          <w:szCs w:val="24"/>
        </w:rPr>
        <w:t>Endocrinol</w:t>
      </w:r>
      <w:proofErr w:type="spellEnd"/>
      <w:r w:rsidRPr="0068648E">
        <w:rPr>
          <w:rFonts w:ascii="Times New Roman" w:hAnsi="Times New Roman"/>
          <w:iCs/>
          <w:sz w:val="24"/>
          <w:szCs w:val="24"/>
        </w:rPr>
        <w:t xml:space="preserve"> Metabol</w:t>
      </w:r>
      <w:r w:rsidRPr="0068648E">
        <w:rPr>
          <w:rFonts w:ascii="Times New Roman" w:hAnsi="Times New Roman"/>
          <w:sz w:val="24"/>
          <w:szCs w:val="24"/>
        </w:rPr>
        <w:t xml:space="preserve"> 1992; </w:t>
      </w:r>
      <w:r w:rsidRPr="0068648E">
        <w:rPr>
          <w:rFonts w:ascii="Times New Roman" w:hAnsi="Times New Roman"/>
          <w:bCs/>
          <w:sz w:val="24"/>
          <w:szCs w:val="24"/>
        </w:rPr>
        <w:t>75</w:t>
      </w:r>
      <w:r w:rsidRPr="0068648E">
        <w:rPr>
          <w:rFonts w:ascii="Times New Roman" w:hAnsi="Times New Roman"/>
          <w:sz w:val="24"/>
          <w:szCs w:val="24"/>
        </w:rPr>
        <w:t>: 1273–1277.</w:t>
      </w:r>
    </w:p>
    <w:p w14:paraId="5A11D069" w14:textId="77777777" w:rsidR="00F878CA" w:rsidRPr="0068648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Bogazzi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F,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Dell’Unto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E,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Tanda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ML et al. Long-term outcome of thyroid function after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induced thyrotoxicosis, as compared to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subacute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thyroiditis. </w:t>
      </w:r>
      <w:r w:rsidRPr="0068648E">
        <w:rPr>
          <w:rFonts w:ascii="Times New Roman" w:hAnsi="Times New Roman"/>
          <w:iCs/>
          <w:sz w:val="24"/>
          <w:szCs w:val="24"/>
        </w:rPr>
        <w:t xml:space="preserve">J </w:t>
      </w:r>
      <w:proofErr w:type="spellStart"/>
      <w:r w:rsidRPr="0068648E">
        <w:rPr>
          <w:rFonts w:ascii="Times New Roman" w:hAnsi="Times New Roman"/>
          <w:iCs/>
          <w:sz w:val="24"/>
          <w:szCs w:val="24"/>
        </w:rPr>
        <w:t>Endocrinol</w:t>
      </w:r>
      <w:proofErr w:type="spellEnd"/>
      <w:r w:rsidRPr="0068648E">
        <w:rPr>
          <w:rFonts w:ascii="Times New Roman" w:hAnsi="Times New Roman"/>
          <w:iCs/>
          <w:sz w:val="24"/>
          <w:szCs w:val="24"/>
        </w:rPr>
        <w:t xml:space="preserve"> Invest</w:t>
      </w:r>
      <w:r w:rsidRPr="0068648E">
        <w:rPr>
          <w:rFonts w:ascii="Times New Roman" w:hAnsi="Times New Roman"/>
          <w:sz w:val="24"/>
          <w:szCs w:val="24"/>
        </w:rPr>
        <w:t xml:space="preserve"> 2006; </w:t>
      </w:r>
      <w:r w:rsidRPr="0068648E">
        <w:rPr>
          <w:rFonts w:ascii="Times New Roman" w:hAnsi="Times New Roman"/>
          <w:bCs/>
          <w:sz w:val="24"/>
          <w:szCs w:val="24"/>
        </w:rPr>
        <w:t>29</w:t>
      </w:r>
      <w:r w:rsidRPr="0068648E">
        <w:rPr>
          <w:rFonts w:ascii="Times New Roman" w:hAnsi="Times New Roman"/>
          <w:sz w:val="24"/>
          <w:szCs w:val="24"/>
        </w:rPr>
        <w:t xml:space="preserve">: 694–699. </w:t>
      </w:r>
    </w:p>
    <w:p w14:paraId="787535CA" w14:textId="77777777" w:rsidR="00F878CA" w:rsidRPr="00FA4A9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en-GB"/>
        </w:rPr>
      </w:pPr>
      <w:proofErr w:type="spellStart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>Kozlowski</w:t>
      </w:r>
      <w:proofErr w:type="spellEnd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 xml:space="preserve"> D, </w:t>
      </w:r>
      <w:proofErr w:type="spellStart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>Budrejko</w:t>
      </w:r>
      <w:proofErr w:type="spellEnd"/>
      <w:r w:rsidRPr="0068648E">
        <w:rPr>
          <w:rFonts w:ascii="Times New Roman" w:eastAsia="Times New Roman" w:hAnsi="Times New Roman"/>
          <w:sz w:val="24"/>
          <w:szCs w:val="24"/>
          <w:lang w:eastAsia="en-GB"/>
        </w:rPr>
        <w:t xml:space="preserve"> S, Lip GY et al. </w:t>
      </w:r>
      <w:r w:rsidRPr="00FA4A9E">
        <w:rPr>
          <w:rFonts w:ascii="Times New Roman" w:eastAsia="Times New Roman" w:hAnsi="Times New Roman"/>
          <w:sz w:val="24"/>
          <w:szCs w:val="24"/>
          <w:lang w:val="en-US" w:eastAsia="en-GB"/>
        </w:rPr>
        <w:t>Dronedarone: an overview. Ann Med 2012; 44: 60-72.</w:t>
      </w:r>
    </w:p>
    <w:p w14:paraId="439D8AEE" w14:textId="77777777" w:rsidR="00F878CA" w:rsidRPr="0068648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Christiansen CB,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Torp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-Pedersen C,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Kober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L. Efficacy and safety of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dronedarone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: a review of randomized trials.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Expert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Opin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Drug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Saf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2010; 9: 189-199.</w:t>
      </w:r>
    </w:p>
    <w:p w14:paraId="0DE7B2BE" w14:textId="77777777" w:rsidR="00F878CA" w:rsidRPr="0068648E" w:rsidRDefault="00F878CA" w:rsidP="00F878C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14" w:hanging="357"/>
        <w:rPr>
          <w:rFonts w:ascii="Times New Roman" w:eastAsia="Times New Roman" w:hAnsi="Times New Roman"/>
          <w:sz w:val="24"/>
          <w:szCs w:val="24"/>
          <w:lang w:eastAsia="en-GB"/>
        </w:rPr>
      </w:pP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Le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Heuzey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JY, De Ferrari GM,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Radzik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D,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Santini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M, Zhu J, Davy JM. A short-term, randomized, double-blind, parallel-group study to evaluate the efficacy and safety of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lastRenderedPageBreak/>
        <w:t>dronedarone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versus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in patients with persistent atrial fibrillation: the DIONYSOS study. </w:t>
      </w:r>
      <w:r w:rsidRPr="0068648E">
        <w:rPr>
          <w:rFonts w:ascii="Times New Roman" w:hAnsi="Times New Roman"/>
          <w:bCs/>
          <w:sz w:val="24"/>
          <w:szCs w:val="24"/>
        </w:rPr>
        <w:t xml:space="preserve">J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Cardiovasc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Electrophysiol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2010; 21: 597-605.</w:t>
      </w:r>
    </w:p>
    <w:p w14:paraId="0CC0D42E" w14:textId="77777777" w:rsidR="00F878CA" w:rsidRPr="00FA4A9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NICE (2010)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Dronedarone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for the treatment of nonpermanent atrial fibrillation. NICE technology appraisal 197. Available at: </w:t>
      </w:r>
      <w:hyperlink r:id="rId6" w:history="1">
        <w:r w:rsidRPr="00FA4A9E">
          <w:rPr>
            <w:rStyle w:val="Hipercze"/>
            <w:rFonts w:ascii="Times New Roman" w:hAnsi="Times New Roman"/>
            <w:sz w:val="24"/>
            <w:szCs w:val="24"/>
            <w:lang w:val="en-US"/>
          </w:rPr>
          <w:t>www.nice.org.uk/guidance/TA197</w:t>
        </w:r>
      </w:hyperlink>
    </w:p>
    <w:p w14:paraId="5C98A22E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Martino E,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Aghini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LF,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Bartalena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L et al. Enhanced susceptibility to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-induced hypothyroidism in patients with thyroid autoimmune</w:t>
      </w:r>
      <w:r w:rsidRPr="00FA4A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disease.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Arch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Intern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1994; 154: 2722–2726.</w:t>
      </w:r>
    </w:p>
    <w:p w14:paraId="6692A4C3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Trip MD,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Wiersinga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WM,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Plomp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TA. Incidence, predictability, and pathogenesis of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-induced thyrotoxicosis and hypothyroidism.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Am 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1991; 91: 507–511.</w:t>
      </w:r>
    </w:p>
    <w:p w14:paraId="22C7B5D1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 xml:space="preserve">Tedelind S, Larsson F, </w:t>
      </w:r>
      <w:proofErr w:type="spellStart"/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>Johanson</w:t>
      </w:r>
      <w:proofErr w:type="spellEnd"/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 xml:space="preserve"> C </w:t>
      </w:r>
      <w:r w:rsidRPr="00FA4A9E">
        <w:rPr>
          <w:rFonts w:ascii="Times New Roman" w:hAnsi="Times New Roman"/>
          <w:iCs/>
          <w:color w:val="221E1F"/>
          <w:sz w:val="24"/>
          <w:szCs w:val="24"/>
          <w:lang w:val="en-US"/>
        </w:rPr>
        <w:t xml:space="preserve">et al. </w:t>
      </w:r>
      <w:proofErr w:type="spellStart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 inhibits thyroidal iodide transport </w:t>
      </w:r>
      <w:r w:rsidRPr="00FA4A9E">
        <w:rPr>
          <w:rFonts w:ascii="Times New Roman" w:hAnsi="Times New Roman"/>
          <w:iCs/>
          <w:color w:val="221E1F"/>
          <w:sz w:val="24"/>
          <w:szCs w:val="24"/>
          <w:lang w:val="en-US"/>
        </w:rPr>
        <w:t xml:space="preserve">in vitro </w:t>
      </w:r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>by a cyclic adenosine 5'</w:t>
      </w:r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noBreakHyphen/>
      </w:r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>monophosphate</w:t>
      </w:r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noBreakHyphen/>
      </w:r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and iodine-independent mechanism. </w:t>
      </w:r>
      <w:r w:rsidRPr="0068648E">
        <w:rPr>
          <w:rFonts w:ascii="Times New Roman" w:hAnsi="Times New Roman"/>
          <w:iCs/>
          <w:color w:val="221E1F"/>
          <w:sz w:val="24"/>
          <w:szCs w:val="24"/>
        </w:rPr>
        <w:t xml:space="preserve">Endocrinology 2006; </w:t>
      </w:r>
      <w:r w:rsidRPr="0068648E">
        <w:rPr>
          <w:rFonts w:ascii="Times New Roman" w:hAnsi="Times New Roman"/>
          <w:color w:val="221E1F"/>
          <w:sz w:val="24"/>
          <w:szCs w:val="24"/>
        </w:rPr>
        <w:t>147: 2936–2943.</w:t>
      </w:r>
    </w:p>
    <w:p w14:paraId="6296D8C2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>Hawthorne GC, Campbell NP, Geddes JS et al.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-induced hypothyroidism.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A common complication of prolonged therapy: a report of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eight cases.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Arch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Intern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Med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1985; 145: 1016-1019.</w:t>
      </w:r>
    </w:p>
    <w:p w14:paraId="50066F68" w14:textId="77777777" w:rsidR="00F878CA" w:rsidRPr="00FA4A9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  <w:lang w:val="en-US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Ahmed S, Van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Gelder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IC,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Weisfeld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AC, Van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Veldhuisen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DJ, Links TP. 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Determinants and outcome of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-associated thyroid dysfunction.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Clin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Endocrinol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(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Oxf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>). 2011; 75: 388-394.</w:t>
      </w:r>
    </w:p>
    <w:p w14:paraId="21ECB5F6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Martino E,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Aghini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-Lombardi F,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Mariotti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S,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Bartalena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L,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Lenziardi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M.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Ceccarelli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C.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iodine-induced hypothyroidism: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Risk factors and follow-up in 28 cases.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Clin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Endocrinol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1987; </w:t>
      </w:r>
      <w:r w:rsidRPr="0068648E">
        <w:rPr>
          <w:rFonts w:ascii="Times New Roman" w:hAnsi="Times New Roman"/>
          <w:sz w:val="24"/>
          <w:szCs w:val="24"/>
          <w:lang w:eastAsia="pl-PL"/>
        </w:rPr>
        <w:t>26: 227-237.</w:t>
      </w:r>
    </w:p>
    <w:p w14:paraId="110D554B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 w:eastAsia="pl-PL"/>
        </w:rPr>
        <w:t>Nademanee K, Singh BN, Callahan B,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Hendrickson JA,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Hershman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 JM.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FA4A9E">
        <w:rPr>
          <w:rFonts w:ascii="Times New Roman" w:hAnsi="Times New Roman"/>
          <w:sz w:val="24"/>
          <w:szCs w:val="24"/>
          <w:lang w:val="en-US" w:eastAsia="pl-PL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 w:eastAsia="pl-PL"/>
        </w:rPr>
        <w:t>, thyroid hormone indexes, and altered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>thyroid function: Long-term serial effects in patients</w:t>
      </w: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A4A9E">
        <w:rPr>
          <w:rFonts w:ascii="Times New Roman" w:hAnsi="Times New Roman"/>
          <w:sz w:val="24"/>
          <w:szCs w:val="24"/>
          <w:lang w:val="en-US" w:eastAsia="pl-PL"/>
        </w:rPr>
        <w:t xml:space="preserve">with cardiac arrhythmias. </w:t>
      </w:r>
      <w:r w:rsidRPr="0068648E">
        <w:rPr>
          <w:rFonts w:ascii="Times New Roman" w:hAnsi="Times New Roman"/>
          <w:sz w:val="24"/>
          <w:szCs w:val="24"/>
          <w:lang w:eastAsia="pl-PL"/>
        </w:rPr>
        <w:t xml:space="preserve">Am J </w:t>
      </w:r>
      <w:proofErr w:type="spellStart"/>
      <w:r w:rsidRPr="0068648E">
        <w:rPr>
          <w:rFonts w:ascii="Times New Roman" w:hAnsi="Times New Roman"/>
          <w:sz w:val="24"/>
          <w:szCs w:val="24"/>
          <w:lang w:eastAsia="pl-PL"/>
        </w:rPr>
        <w:t>Cardiol</w:t>
      </w:r>
      <w:proofErr w:type="spellEnd"/>
      <w:r w:rsidRPr="0068648E">
        <w:rPr>
          <w:rFonts w:ascii="Times New Roman" w:hAnsi="Times New Roman"/>
          <w:sz w:val="24"/>
          <w:szCs w:val="24"/>
          <w:lang w:eastAsia="pl-PL"/>
        </w:rPr>
        <w:t xml:space="preserve"> 1986; 58: 981-986.</w:t>
      </w:r>
    </w:p>
    <w:p w14:paraId="478DD731" w14:textId="77777777" w:rsidR="00F878CA" w:rsidRPr="0068648E" w:rsidRDefault="00F878CA" w:rsidP="00F878CA">
      <w:pPr>
        <w:pStyle w:val="Pa24"/>
        <w:numPr>
          <w:ilvl w:val="0"/>
          <w:numId w:val="32"/>
        </w:numPr>
        <w:spacing w:line="360" w:lineRule="auto"/>
        <w:rPr>
          <w:rFonts w:ascii="Times New Roman" w:hAnsi="Times New Roman"/>
          <w:color w:val="221E1F"/>
        </w:rPr>
      </w:pPr>
      <w:r w:rsidRPr="00FA4A9E">
        <w:rPr>
          <w:rFonts w:ascii="Times New Roman" w:hAnsi="Times New Roman"/>
          <w:color w:val="000000"/>
          <w:lang w:val="en-US"/>
        </w:rPr>
        <w:t xml:space="preserve">Klein I, </w:t>
      </w:r>
      <w:proofErr w:type="spellStart"/>
      <w:r w:rsidRPr="00FA4A9E">
        <w:rPr>
          <w:rFonts w:ascii="Times New Roman" w:hAnsi="Times New Roman"/>
          <w:color w:val="000000"/>
          <w:lang w:val="en-US"/>
        </w:rPr>
        <w:t>Danzi</w:t>
      </w:r>
      <w:proofErr w:type="spellEnd"/>
      <w:r w:rsidRPr="00FA4A9E">
        <w:rPr>
          <w:rFonts w:ascii="Times New Roman" w:hAnsi="Times New Roman"/>
          <w:color w:val="000000"/>
          <w:lang w:val="en-US"/>
        </w:rPr>
        <w:t xml:space="preserve"> S. Thyroid disease and the </w:t>
      </w:r>
      <w:r w:rsidRPr="00FA4A9E">
        <w:rPr>
          <w:rFonts w:ascii="Times New Roman" w:hAnsi="Times New Roman"/>
          <w:color w:val="221E1F"/>
          <w:lang w:val="en-US"/>
        </w:rPr>
        <w:t xml:space="preserve">heart. </w:t>
      </w:r>
      <w:r w:rsidRPr="0068648E">
        <w:rPr>
          <w:rFonts w:ascii="Times New Roman" w:hAnsi="Times New Roman"/>
          <w:iCs/>
          <w:color w:val="221E1F"/>
        </w:rPr>
        <w:t xml:space="preserve">Circulation 2007; </w:t>
      </w:r>
      <w:r w:rsidRPr="0068648E">
        <w:rPr>
          <w:rFonts w:ascii="Times New Roman" w:hAnsi="Times New Roman"/>
          <w:color w:val="221E1F"/>
        </w:rPr>
        <w:t>116: 1725–1735.</w:t>
      </w:r>
    </w:p>
    <w:p w14:paraId="27854E71" w14:textId="77777777" w:rsidR="00F878CA" w:rsidRPr="0068648E" w:rsidRDefault="00F878CA" w:rsidP="00F878CA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Klein I, </w:t>
      </w:r>
      <w:proofErr w:type="spellStart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>Ojamaa</w:t>
      </w:r>
      <w:proofErr w:type="spellEnd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 K. Thyroid hormone and the cardiovascular system. </w:t>
      </w:r>
      <w:r w:rsidRPr="0068648E">
        <w:rPr>
          <w:rFonts w:ascii="Times New Roman" w:hAnsi="Times New Roman"/>
          <w:iCs/>
          <w:color w:val="221E1F"/>
          <w:sz w:val="24"/>
          <w:szCs w:val="24"/>
        </w:rPr>
        <w:t xml:space="preserve">N. </w:t>
      </w:r>
      <w:proofErr w:type="spellStart"/>
      <w:r w:rsidRPr="0068648E">
        <w:rPr>
          <w:rFonts w:ascii="Times New Roman" w:hAnsi="Times New Roman"/>
          <w:iCs/>
          <w:color w:val="221E1F"/>
          <w:sz w:val="24"/>
          <w:szCs w:val="24"/>
        </w:rPr>
        <w:t>Engl</w:t>
      </w:r>
      <w:proofErr w:type="spellEnd"/>
      <w:r w:rsidRPr="0068648E">
        <w:rPr>
          <w:rFonts w:ascii="Times New Roman" w:hAnsi="Times New Roman"/>
          <w:iCs/>
          <w:color w:val="221E1F"/>
          <w:sz w:val="24"/>
          <w:szCs w:val="24"/>
        </w:rPr>
        <w:t xml:space="preserve">. J. </w:t>
      </w:r>
      <w:proofErr w:type="spellStart"/>
      <w:r w:rsidRPr="0068648E">
        <w:rPr>
          <w:rFonts w:ascii="Times New Roman" w:hAnsi="Times New Roman"/>
          <w:iCs/>
          <w:color w:val="221E1F"/>
          <w:sz w:val="24"/>
          <w:szCs w:val="24"/>
        </w:rPr>
        <w:t>Med</w:t>
      </w:r>
      <w:proofErr w:type="spellEnd"/>
      <w:r w:rsidRPr="0068648E">
        <w:rPr>
          <w:rFonts w:ascii="Times New Roman" w:hAnsi="Times New Roman"/>
          <w:iCs/>
          <w:color w:val="221E1F"/>
          <w:sz w:val="24"/>
          <w:szCs w:val="24"/>
        </w:rPr>
        <w:t xml:space="preserve"> 2001; </w:t>
      </w:r>
      <w:r w:rsidRPr="0068648E">
        <w:rPr>
          <w:rFonts w:ascii="Times New Roman" w:hAnsi="Times New Roman"/>
          <w:color w:val="221E1F"/>
          <w:sz w:val="24"/>
          <w:szCs w:val="24"/>
        </w:rPr>
        <w:t>344: 501–509.</w:t>
      </w:r>
    </w:p>
    <w:p w14:paraId="401EFE25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Siddoway LA.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: Guidelines for use and monitoring. </w:t>
      </w:r>
      <w:r w:rsidRPr="0068648E">
        <w:rPr>
          <w:rFonts w:ascii="Times New Roman" w:hAnsi="Times New Roman"/>
          <w:sz w:val="24"/>
          <w:szCs w:val="24"/>
        </w:rPr>
        <w:t xml:space="preserve">Am Fam </w:t>
      </w:r>
      <w:proofErr w:type="spellStart"/>
      <w:r w:rsidRPr="0068648E">
        <w:rPr>
          <w:rFonts w:ascii="Times New Roman" w:hAnsi="Times New Roman"/>
          <w:sz w:val="24"/>
          <w:szCs w:val="24"/>
        </w:rPr>
        <w:t>Phys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2003; 68: 2189-2196.</w:t>
      </w:r>
    </w:p>
    <w:p w14:paraId="0008BB05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sz w:val="24"/>
          <w:szCs w:val="24"/>
          <w:lang w:val="en-US"/>
        </w:rPr>
        <w:t xml:space="preserve">Albert SG, Alves LE, Rose EP. Thyroid dysfunction during chronic </w:t>
      </w:r>
      <w:proofErr w:type="spellStart"/>
      <w:r w:rsidRPr="00FA4A9E">
        <w:rPr>
          <w:rFonts w:ascii="Times New Roman" w:hAnsi="Times New Roman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sz w:val="24"/>
          <w:szCs w:val="24"/>
          <w:lang w:val="en-US"/>
        </w:rPr>
        <w:t xml:space="preserve"> therapy. </w:t>
      </w:r>
      <w:r w:rsidRPr="0068648E">
        <w:rPr>
          <w:rFonts w:ascii="Times New Roman" w:hAnsi="Times New Roman"/>
          <w:sz w:val="24"/>
          <w:szCs w:val="24"/>
        </w:rPr>
        <w:t xml:space="preserve">J Am </w:t>
      </w:r>
      <w:proofErr w:type="spellStart"/>
      <w:r w:rsidRPr="0068648E">
        <w:rPr>
          <w:rFonts w:ascii="Times New Roman" w:hAnsi="Times New Roman"/>
          <w:sz w:val="24"/>
          <w:szCs w:val="24"/>
        </w:rPr>
        <w:t>Coll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sz w:val="24"/>
          <w:szCs w:val="24"/>
        </w:rPr>
        <w:t>Cardiol</w:t>
      </w:r>
      <w:proofErr w:type="spellEnd"/>
      <w:r w:rsidRPr="0068648E">
        <w:rPr>
          <w:rFonts w:ascii="Times New Roman" w:hAnsi="Times New Roman"/>
          <w:sz w:val="24"/>
          <w:szCs w:val="24"/>
        </w:rPr>
        <w:t xml:space="preserve"> 1987; 9: 175-184.</w:t>
      </w:r>
    </w:p>
    <w:p w14:paraId="69FB5FAB" w14:textId="77777777" w:rsidR="00F878CA" w:rsidRPr="0068648E" w:rsidRDefault="00F878CA" w:rsidP="00F878CA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Polikar R, Goy JJ, </w:t>
      </w:r>
      <w:proofErr w:type="spellStart"/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>Schlapfer</w:t>
      </w:r>
      <w:proofErr w:type="spellEnd"/>
      <w:r w:rsidRPr="00FA4A9E">
        <w:rPr>
          <w:rFonts w:ascii="Times New Roman" w:hAnsi="Times New Roman"/>
          <w:color w:val="000000"/>
          <w:sz w:val="24"/>
          <w:szCs w:val="24"/>
          <w:lang w:val="en-US"/>
        </w:rPr>
        <w:t xml:space="preserve"> J </w:t>
      </w:r>
      <w:r w:rsidRPr="00FA4A9E">
        <w:rPr>
          <w:rFonts w:ascii="Times New Roman" w:hAnsi="Times New Roman"/>
          <w:iCs/>
          <w:color w:val="221E1F"/>
          <w:sz w:val="24"/>
          <w:szCs w:val="24"/>
          <w:lang w:val="en-US"/>
        </w:rPr>
        <w:t xml:space="preserve">et al. </w:t>
      </w:r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Effect of oral </w:t>
      </w:r>
      <w:proofErr w:type="spellStart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>triiodothyronine</w:t>
      </w:r>
      <w:proofErr w:type="spellEnd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 during </w:t>
      </w:r>
      <w:proofErr w:type="spellStart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color w:val="221E1F"/>
          <w:sz w:val="24"/>
          <w:szCs w:val="24"/>
          <w:lang w:val="en-US"/>
        </w:rPr>
        <w:t xml:space="preserve"> treatment for ventricular premature complexes. </w:t>
      </w:r>
      <w:r w:rsidRPr="0068648E">
        <w:rPr>
          <w:rFonts w:ascii="Times New Roman" w:hAnsi="Times New Roman"/>
          <w:iCs/>
          <w:color w:val="221E1F"/>
          <w:sz w:val="24"/>
          <w:szCs w:val="24"/>
        </w:rPr>
        <w:t xml:space="preserve">Am J </w:t>
      </w:r>
      <w:proofErr w:type="spellStart"/>
      <w:r w:rsidRPr="0068648E">
        <w:rPr>
          <w:rFonts w:ascii="Times New Roman" w:hAnsi="Times New Roman"/>
          <w:iCs/>
          <w:color w:val="221E1F"/>
          <w:sz w:val="24"/>
          <w:szCs w:val="24"/>
        </w:rPr>
        <w:t>Cardiol</w:t>
      </w:r>
      <w:proofErr w:type="spellEnd"/>
      <w:r w:rsidRPr="0068648E">
        <w:rPr>
          <w:rFonts w:ascii="Times New Roman" w:hAnsi="Times New Roman"/>
          <w:iCs/>
          <w:color w:val="221E1F"/>
          <w:sz w:val="24"/>
          <w:szCs w:val="24"/>
        </w:rPr>
        <w:t xml:space="preserve"> 1986; </w:t>
      </w:r>
      <w:r w:rsidRPr="0068648E">
        <w:rPr>
          <w:rFonts w:ascii="Times New Roman" w:hAnsi="Times New Roman"/>
          <w:color w:val="221E1F"/>
          <w:sz w:val="24"/>
          <w:szCs w:val="24"/>
        </w:rPr>
        <w:t>58: 987–991.</w:t>
      </w:r>
    </w:p>
    <w:p w14:paraId="6B920D72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Pavan-Senn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CC,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Nesi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-Franca S,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Pelaez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J et al. Transient neonatal hypothyroidism due to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administration during pregnancy – two cases report and review of literature.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Arq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Bras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Endocrinol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Metabol 2008; 52: 126-30.</w:t>
      </w:r>
    </w:p>
    <w:p w14:paraId="5D1AAC39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Lomenick JP, Jackson WA,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Backeljauw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PF.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-induced neonatal hypothyroidism: a unique form of transient early-onset hypothyroidism. </w:t>
      </w:r>
      <w:r w:rsidRPr="0068648E">
        <w:rPr>
          <w:rFonts w:ascii="Times New Roman" w:hAnsi="Times New Roman"/>
          <w:bCs/>
          <w:sz w:val="24"/>
          <w:szCs w:val="24"/>
        </w:rPr>
        <w:t xml:space="preserve">J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Perinatol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2004; 24: 397-399.</w:t>
      </w:r>
    </w:p>
    <w:p w14:paraId="634DF06E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Bartalena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L,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Bogazzi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F,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Braverman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LE, Martino E. Effects of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administration during pregnancy on neonatal thyroid function and subsequent neurodevelopment. </w:t>
      </w:r>
      <w:r w:rsidRPr="0068648E">
        <w:rPr>
          <w:rFonts w:ascii="Times New Roman" w:hAnsi="Times New Roman"/>
          <w:bCs/>
          <w:sz w:val="24"/>
          <w:szCs w:val="24"/>
        </w:rPr>
        <w:t xml:space="preserve">J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Endocrinol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Invest 2001; 24: 116-130.</w:t>
      </w:r>
    </w:p>
    <w:p w14:paraId="400D911D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Magee LA,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Nulman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I,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Rovet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JF,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Koren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G. Neurodevelopment after in utero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exposure.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Neurotoxicol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Teratol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1999; 21: 261-265.</w:t>
      </w:r>
    </w:p>
    <w:p w14:paraId="6384E79D" w14:textId="77777777" w:rsidR="00F878CA" w:rsidRPr="0068648E" w:rsidRDefault="00F878CA" w:rsidP="00F878CA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Magee LA,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Downar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E,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Sermer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M,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Boulton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BC, Allen LC,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Koren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G. Pregnancy outcome after gestational exposure to </w:t>
      </w:r>
      <w:proofErr w:type="spellStart"/>
      <w:r w:rsidRPr="00FA4A9E">
        <w:rPr>
          <w:rFonts w:ascii="Times New Roman" w:hAnsi="Times New Roman"/>
          <w:bCs/>
          <w:sz w:val="24"/>
          <w:szCs w:val="24"/>
          <w:lang w:val="en-US"/>
        </w:rPr>
        <w:t>amiodarone</w:t>
      </w:r>
      <w:proofErr w:type="spellEnd"/>
      <w:r w:rsidRPr="00FA4A9E">
        <w:rPr>
          <w:rFonts w:ascii="Times New Roman" w:hAnsi="Times New Roman"/>
          <w:bCs/>
          <w:sz w:val="24"/>
          <w:szCs w:val="24"/>
          <w:lang w:val="en-US"/>
        </w:rPr>
        <w:t xml:space="preserve"> in Canada. </w:t>
      </w:r>
      <w:r w:rsidRPr="0068648E">
        <w:rPr>
          <w:rFonts w:ascii="Times New Roman" w:hAnsi="Times New Roman"/>
          <w:bCs/>
          <w:sz w:val="24"/>
          <w:szCs w:val="24"/>
        </w:rPr>
        <w:t xml:space="preserve">Am J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Obstet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8648E">
        <w:rPr>
          <w:rFonts w:ascii="Times New Roman" w:hAnsi="Times New Roman"/>
          <w:bCs/>
          <w:sz w:val="24"/>
          <w:szCs w:val="24"/>
        </w:rPr>
        <w:t>Gynecol</w:t>
      </w:r>
      <w:proofErr w:type="spellEnd"/>
      <w:r w:rsidRPr="0068648E">
        <w:rPr>
          <w:rFonts w:ascii="Times New Roman" w:hAnsi="Times New Roman"/>
          <w:bCs/>
          <w:sz w:val="24"/>
          <w:szCs w:val="24"/>
        </w:rPr>
        <w:t xml:space="preserve"> 1995; 172: 1307-1311.</w:t>
      </w:r>
    </w:p>
    <w:p w14:paraId="7CB66951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7CF34F38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1D330EDB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4ACDB69C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ind w:left="720"/>
        <w:rPr>
          <w:rFonts w:ascii="Sabon-Roman" w:hAnsi="Sabon-Roman" w:cs="Sabon-Roman"/>
          <w:sz w:val="16"/>
          <w:szCs w:val="16"/>
        </w:rPr>
      </w:pPr>
    </w:p>
    <w:p w14:paraId="50E34A59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AA823B4" w14:textId="77777777" w:rsidR="00F878CA" w:rsidRPr="0068648E" w:rsidRDefault="00F878CA" w:rsidP="00F878CA"/>
    <w:p w14:paraId="5F6E9564" w14:textId="77777777" w:rsidR="00F878CA" w:rsidRPr="0068648E" w:rsidRDefault="00F878CA" w:rsidP="00F878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06617D6" w14:textId="77777777" w:rsidR="00F878CA" w:rsidRPr="0068648E" w:rsidRDefault="00F878CA" w:rsidP="00F878CA">
      <w:pPr>
        <w:pStyle w:val="Akapitzlist"/>
        <w:autoSpaceDE w:val="0"/>
        <w:autoSpaceDN w:val="0"/>
        <w:adjustRightInd w:val="0"/>
        <w:spacing w:line="360" w:lineRule="auto"/>
        <w:jc w:val="both"/>
      </w:pPr>
    </w:p>
    <w:p w14:paraId="57AD45E8" w14:textId="77777777" w:rsidR="00F878CA" w:rsidRPr="0068648E" w:rsidRDefault="00F878CA" w:rsidP="00F878CA">
      <w:pPr>
        <w:pStyle w:val="Akapitzlist"/>
        <w:autoSpaceDE w:val="0"/>
        <w:autoSpaceDN w:val="0"/>
        <w:adjustRightInd w:val="0"/>
        <w:spacing w:line="360" w:lineRule="auto"/>
        <w:jc w:val="both"/>
      </w:pPr>
    </w:p>
    <w:p w14:paraId="2D5FB4F7" w14:textId="77777777" w:rsidR="00F878CA" w:rsidRPr="0068648E" w:rsidRDefault="00F878CA" w:rsidP="00F878CA">
      <w:pPr>
        <w:pStyle w:val="Akapitzlist"/>
        <w:autoSpaceDE w:val="0"/>
        <w:autoSpaceDN w:val="0"/>
        <w:adjustRightInd w:val="0"/>
        <w:spacing w:line="360" w:lineRule="auto"/>
        <w:jc w:val="both"/>
      </w:pPr>
    </w:p>
    <w:p w14:paraId="4BAE3FD9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Sabon-Roman" w:hAnsi="Sabon-Roman" w:cs="Sabon-Roman"/>
          <w:sz w:val="16"/>
          <w:szCs w:val="16"/>
        </w:rPr>
      </w:pPr>
      <w:r w:rsidRPr="0068648E">
        <w:rPr>
          <w:rFonts w:ascii="Times New Roman" w:hAnsi="Times New Roman"/>
          <w:b/>
          <w:sz w:val="24"/>
          <w:szCs w:val="24"/>
          <w:lang w:eastAsia="pl-PL"/>
        </w:rPr>
        <w:br w:type="page"/>
      </w:r>
      <w:r w:rsidRPr="0068648E" w:rsidDel="00B8406E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 </w:t>
      </w:r>
    </w:p>
    <w:p w14:paraId="76D432AF" w14:textId="77777777" w:rsidR="00F878CA" w:rsidRPr="0068648E" w:rsidRDefault="00F878CA" w:rsidP="00F878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5A94F05" w14:textId="77777777" w:rsidR="00D93FFE" w:rsidRDefault="00D93FFE"/>
    <w:sectPr w:rsidR="00D93FFE" w:rsidSect="00F4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8A7554" w15:done="0"/>
  <w15:commentEx w15:paraId="5EFE7458" w15:done="0"/>
  <w15:commentEx w15:paraId="62C2482E" w15:done="0"/>
  <w15:commentEx w15:paraId="6C36A5CF" w15:done="0"/>
  <w15:commentEx w15:paraId="69E97838" w15:done="0"/>
  <w15:commentEx w15:paraId="07B9B9A7" w15:done="0"/>
  <w15:commentEx w15:paraId="1E9121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TC Franklin Gothic Std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CBC"/>
    <w:multiLevelType w:val="hybridMultilevel"/>
    <w:tmpl w:val="130408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7C96"/>
    <w:multiLevelType w:val="hybridMultilevel"/>
    <w:tmpl w:val="AF8E7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57B76"/>
    <w:multiLevelType w:val="hybridMultilevel"/>
    <w:tmpl w:val="07B6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E38CF"/>
    <w:multiLevelType w:val="hybridMultilevel"/>
    <w:tmpl w:val="2D22E210"/>
    <w:lvl w:ilvl="0" w:tplc="26AA9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A6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06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48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21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F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28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E9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CC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6503A1"/>
    <w:multiLevelType w:val="hybridMultilevel"/>
    <w:tmpl w:val="A976A54A"/>
    <w:lvl w:ilvl="0" w:tplc="96363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64A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86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AD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20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CF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E8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E9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5E46F8"/>
    <w:multiLevelType w:val="hybridMultilevel"/>
    <w:tmpl w:val="DC0EA722"/>
    <w:lvl w:ilvl="0" w:tplc="35602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CA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81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B26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645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AA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E9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3AB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A49D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D5CEC"/>
    <w:multiLevelType w:val="hybridMultilevel"/>
    <w:tmpl w:val="3384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2253D"/>
    <w:multiLevelType w:val="hybridMultilevel"/>
    <w:tmpl w:val="3384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E24C6"/>
    <w:multiLevelType w:val="hybridMultilevel"/>
    <w:tmpl w:val="D67E21C0"/>
    <w:lvl w:ilvl="0" w:tplc="14960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8AD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3C1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07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49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8BD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62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21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83A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862FE"/>
    <w:multiLevelType w:val="hybridMultilevel"/>
    <w:tmpl w:val="07B6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C6430"/>
    <w:multiLevelType w:val="hybridMultilevel"/>
    <w:tmpl w:val="07B6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047D8"/>
    <w:multiLevelType w:val="hybridMultilevel"/>
    <w:tmpl w:val="E6FA82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E7341"/>
    <w:multiLevelType w:val="hybridMultilevel"/>
    <w:tmpl w:val="860AB744"/>
    <w:lvl w:ilvl="0" w:tplc="24FC47EC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B2EEC0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8AAC0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EED2A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CC6C5E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06F6C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0D608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A43B4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C3D66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77D1D"/>
    <w:multiLevelType w:val="hybridMultilevel"/>
    <w:tmpl w:val="32822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711AE"/>
    <w:multiLevelType w:val="hybridMultilevel"/>
    <w:tmpl w:val="1B201A28"/>
    <w:lvl w:ilvl="0" w:tplc="4D60CF1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7F77078"/>
    <w:multiLevelType w:val="hybridMultilevel"/>
    <w:tmpl w:val="ECA6285C"/>
    <w:lvl w:ilvl="0" w:tplc="858CE4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5C241B"/>
    <w:multiLevelType w:val="hybridMultilevel"/>
    <w:tmpl w:val="BF829010"/>
    <w:lvl w:ilvl="0" w:tplc="63181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A6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E3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E3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27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2E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EB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65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A7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BA6467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C992D6D"/>
    <w:multiLevelType w:val="hybridMultilevel"/>
    <w:tmpl w:val="60BEC970"/>
    <w:lvl w:ilvl="0" w:tplc="889655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D1EF5"/>
    <w:multiLevelType w:val="hybridMultilevel"/>
    <w:tmpl w:val="B5E25264"/>
    <w:lvl w:ilvl="0" w:tplc="57248A6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A19E2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67276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CC290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2EDF0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0894A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CAEF0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884E6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02998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F40F71"/>
    <w:multiLevelType w:val="hybridMultilevel"/>
    <w:tmpl w:val="2DE86AF8"/>
    <w:lvl w:ilvl="0" w:tplc="211EF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4B6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86E1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A3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C3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7689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203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3433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8BC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AF61F1"/>
    <w:multiLevelType w:val="hybridMultilevel"/>
    <w:tmpl w:val="3384D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DD5D9A"/>
    <w:multiLevelType w:val="hybridMultilevel"/>
    <w:tmpl w:val="47AE3964"/>
    <w:lvl w:ilvl="0" w:tplc="2748465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6F540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90F856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AEB2E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AC040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0088C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02A64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024A26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C01F0C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282C8E"/>
    <w:multiLevelType w:val="hybridMultilevel"/>
    <w:tmpl w:val="F5AEC9B4"/>
    <w:lvl w:ilvl="0" w:tplc="A2A41B06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E404C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1C133C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89E96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27CC0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E70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F8D9FE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872EE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84206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AB03D0"/>
    <w:multiLevelType w:val="hybridMultilevel"/>
    <w:tmpl w:val="BE766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7861E4"/>
    <w:multiLevelType w:val="hybridMultilevel"/>
    <w:tmpl w:val="9F26E276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26462"/>
    <w:multiLevelType w:val="hybridMultilevel"/>
    <w:tmpl w:val="4B16EE02"/>
    <w:lvl w:ilvl="0" w:tplc="B300AB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BC2F5F"/>
    <w:multiLevelType w:val="hybridMultilevel"/>
    <w:tmpl w:val="36EAFE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F67CA"/>
    <w:multiLevelType w:val="hybridMultilevel"/>
    <w:tmpl w:val="DB84135A"/>
    <w:lvl w:ilvl="0" w:tplc="CB587C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CA8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3EC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444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C76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609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641E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16AC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C24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7E5A05"/>
    <w:multiLevelType w:val="hybridMultilevel"/>
    <w:tmpl w:val="5AF84EE2"/>
    <w:lvl w:ilvl="0" w:tplc="BBA6653A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07EAC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2AA4F0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4212E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249D8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4A410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C7090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2341C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FAEBEA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F72211"/>
    <w:multiLevelType w:val="hybridMultilevel"/>
    <w:tmpl w:val="572EEF66"/>
    <w:lvl w:ilvl="0" w:tplc="DA2EA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09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C4C8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6D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8C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E4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2E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CFC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4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4C3840"/>
    <w:multiLevelType w:val="hybridMultilevel"/>
    <w:tmpl w:val="07B6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15D2C"/>
    <w:multiLevelType w:val="hybridMultilevel"/>
    <w:tmpl w:val="6E54E3E6"/>
    <w:lvl w:ilvl="0" w:tplc="D2B04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CF05C5"/>
    <w:multiLevelType w:val="hybridMultilevel"/>
    <w:tmpl w:val="3640B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D3103"/>
    <w:multiLevelType w:val="hybridMultilevel"/>
    <w:tmpl w:val="F412179C"/>
    <w:lvl w:ilvl="0" w:tplc="3230E0D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A4C8C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AADC2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00A350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0E604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AB900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61D26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E24F2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EC4FDE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053A09"/>
    <w:multiLevelType w:val="hybridMultilevel"/>
    <w:tmpl w:val="7294F730"/>
    <w:lvl w:ilvl="0" w:tplc="70E4758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27AE6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C2C3E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0ACA0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C84A4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F80E6C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0E896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C07B7C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29B2A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7B3B61"/>
    <w:multiLevelType w:val="hybridMultilevel"/>
    <w:tmpl w:val="398CF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C765D"/>
    <w:multiLevelType w:val="hybridMultilevel"/>
    <w:tmpl w:val="255A6662"/>
    <w:lvl w:ilvl="0" w:tplc="353A4D0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C52D2" w:tentative="1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9C3CB0" w:tentative="1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0AA1BA" w:tentative="1">
      <w:start w:val="1"/>
      <w:numFmt w:val="bullet"/>
      <w:lvlText w:val="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C22256" w:tentative="1">
      <w:start w:val="1"/>
      <w:numFmt w:val="bullet"/>
      <w:lvlText w:val="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87784" w:tentative="1">
      <w:start w:val="1"/>
      <w:numFmt w:val="bullet"/>
      <w:lvlText w:val="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EDD98" w:tentative="1">
      <w:start w:val="1"/>
      <w:numFmt w:val="bullet"/>
      <w:lvlText w:val="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BCFCA0" w:tentative="1">
      <w:start w:val="1"/>
      <w:numFmt w:val="bullet"/>
      <w:lvlText w:val="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2E7A2" w:tentative="1">
      <w:start w:val="1"/>
      <w:numFmt w:val="bullet"/>
      <w:lvlText w:val="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101CE7"/>
    <w:multiLevelType w:val="hybridMultilevel"/>
    <w:tmpl w:val="07B6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B0528"/>
    <w:multiLevelType w:val="hybridMultilevel"/>
    <w:tmpl w:val="8F6EEB2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A571CB"/>
    <w:multiLevelType w:val="hybridMultilevel"/>
    <w:tmpl w:val="07B6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67FE8"/>
    <w:multiLevelType w:val="hybridMultilevel"/>
    <w:tmpl w:val="30626FB4"/>
    <w:lvl w:ilvl="0" w:tplc="1506F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8384EEB"/>
    <w:multiLevelType w:val="hybridMultilevel"/>
    <w:tmpl w:val="387A1566"/>
    <w:lvl w:ilvl="0" w:tplc="8376D3CE">
      <w:start w:val="1"/>
      <w:numFmt w:val="upperRoman"/>
      <w:lvlText w:val="%1."/>
      <w:lvlJc w:val="left"/>
      <w:pPr>
        <w:ind w:left="14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3">
    <w:nsid w:val="78897422"/>
    <w:multiLevelType w:val="hybridMultilevel"/>
    <w:tmpl w:val="053E9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5A1033"/>
    <w:multiLevelType w:val="hybridMultilevel"/>
    <w:tmpl w:val="33F6E9F8"/>
    <w:lvl w:ilvl="0" w:tplc="55424E32">
      <w:start w:val="1"/>
      <w:numFmt w:val="upp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02324D"/>
    <w:multiLevelType w:val="hybridMultilevel"/>
    <w:tmpl w:val="C5E20C7E"/>
    <w:lvl w:ilvl="0" w:tplc="82628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8B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AA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489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A1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23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06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E6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7F954AAB"/>
    <w:multiLevelType w:val="hybridMultilevel"/>
    <w:tmpl w:val="04DE20C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E37564"/>
    <w:multiLevelType w:val="hybridMultilevel"/>
    <w:tmpl w:val="36C473CE"/>
    <w:lvl w:ilvl="0" w:tplc="4BFC95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6"/>
  </w:num>
  <w:num w:numId="3">
    <w:abstractNumId w:val="37"/>
  </w:num>
  <w:num w:numId="4">
    <w:abstractNumId w:val="45"/>
  </w:num>
  <w:num w:numId="5">
    <w:abstractNumId w:val="19"/>
  </w:num>
  <w:num w:numId="6">
    <w:abstractNumId w:val="16"/>
  </w:num>
  <w:num w:numId="7">
    <w:abstractNumId w:val="3"/>
  </w:num>
  <w:num w:numId="8">
    <w:abstractNumId w:val="22"/>
  </w:num>
  <w:num w:numId="9">
    <w:abstractNumId w:val="35"/>
  </w:num>
  <w:num w:numId="10">
    <w:abstractNumId w:val="34"/>
  </w:num>
  <w:num w:numId="11">
    <w:abstractNumId w:val="12"/>
  </w:num>
  <w:num w:numId="12">
    <w:abstractNumId w:val="23"/>
  </w:num>
  <w:num w:numId="13">
    <w:abstractNumId w:val="8"/>
  </w:num>
  <w:num w:numId="14">
    <w:abstractNumId w:val="4"/>
  </w:num>
  <w:num w:numId="15">
    <w:abstractNumId w:val="20"/>
  </w:num>
  <w:num w:numId="16">
    <w:abstractNumId w:val="28"/>
  </w:num>
  <w:num w:numId="17">
    <w:abstractNumId w:val="30"/>
  </w:num>
  <w:num w:numId="18">
    <w:abstractNumId w:val="29"/>
  </w:num>
  <w:num w:numId="19">
    <w:abstractNumId w:val="5"/>
  </w:num>
  <w:num w:numId="20">
    <w:abstractNumId w:val="2"/>
  </w:num>
  <w:num w:numId="21">
    <w:abstractNumId w:val="15"/>
  </w:num>
  <w:num w:numId="22">
    <w:abstractNumId w:val="18"/>
  </w:num>
  <w:num w:numId="23">
    <w:abstractNumId w:val="40"/>
  </w:num>
  <w:num w:numId="24">
    <w:abstractNumId w:val="9"/>
  </w:num>
  <w:num w:numId="25">
    <w:abstractNumId w:val="31"/>
  </w:num>
  <w:num w:numId="26">
    <w:abstractNumId w:val="38"/>
  </w:num>
  <w:num w:numId="27">
    <w:abstractNumId w:val="10"/>
  </w:num>
  <w:num w:numId="28">
    <w:abstractNumId w:val="41"/>
  </w:num>
  <w:num w:numId="29">
    <w:abstractNumId w:val="33"/>
  </w:num>
  <w:num w:numId="30">
    <w:abstractNumId w:val="13"/>
  </w:num>
  <w:num w:numId="31">
    <w:abstractNumId w:val="24"/>
  </w:num>
  <w:num w:numId="32">
    <w:abstractNumId w:val="6"/>
  </w:num>
  <w:num w:numId="33">
    <w:abstractNumId w:val="11"/>
  </w:num>
  <w:num w:numId="34">
    <w:abstractNumId w:val="44"/>
  </w:num>
  <w:num w:numId="35">
    <w:abstractNumId w:val="1"/>
  </w:num>
  <w:num w:numId="36">
    <w:abstractNumId w:val="32"/>
  </w:num>
  <w:num w:numId="37">
    <w:abstractNumId w:val="7"/>
  </w:num>
  <w:num w:numId="38">
    <w:abstractNumId w:val="43"/>
  </w:num>
  <w:num w:numId="39">
    <w:abstractNumId w:val="14"/>
  </w:num>
  <w:num w:numId="40">
    <w:abstractNumId w:val="42"/>
  </w:num>
  <w:num w:numId="41">
    <w:abstractNumId w:val="21"/>
  </w:num>
  <w:num w:numId="42">
    <w:abstractNumId w:val="39"/>
  </w:num>
  <w:num w:numId="43">
    <w:abstractNumId w:val="27"/>
  </w:num>
  <w:num w:numId="44">
    <w:abstractNumId w:val="25"/>
  </w:num>
  <w:num w:numId="45">
    <w:abstractNumId w:val="47"/>
  </w:num>
  <w:num w:numId="46">
    <w:abstractNumId w:val="26"/>
  </w:num>
  <w:num w:numId="4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cja Hubalewska">
    <w15:presenceInfo w15:providerId="Windows Live" w15:userId="d0cbd83a6dd5e0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CA"/>
    <w:rsid w:val="001735BB"/>
    <w:rsid w:val="001832FD"/>
    <w:rsid w:val="00273418"/>
    <w:rsid w:val="00432CCB"/>
    <w:rsid w:val="00435632"/>
    <w:rsid w:val="00436AB7"/>
    <w:rsid w:val="005461CE"/>
    <w:rsid w:val="00552CC2"/>
    <w:rsid w:val="005F1468"/>
    <w:rsid w:val="00644BFB"/>
    <w:rsid w:val="00696B17"/>
    <w:rsid w:val="00715DBD"/>
    <w:rsid w:val="00760E32"/>
    <w:rsid w:val="007E272E"/>
    <w:rsid w:val="00830BB6"/>
    <w:rsid w:val="00866EB6"/>
    <w:rsid w:val="008D696C"/>
    <w:rsid w:val="00904DC9"/>
    <w:rsid w:val="00923EF5"/>
    <w:rsid w:val="00980418"/>
    <w:rsid w:val="009E2221"/>
    <w:rsid w:val="00B05D98"/>
    <w:rsid w:val="00C42F08"/>
    <w:rsid w:val="00C76867"/>
    <w:rsid w:val="00D71BD2"/>
    <w:rsid w:val="00D73CD8"/>
    <w:rsid w:val="00D77B15"/>
    <w:rsid w:val="00D93FFE"/>
    <w:rsid w:val="00DC142A"/>
    <w:rsid w:val="00DE3330"/>
    <w:rsid w:val="00E25617"/>
    <w:rsid w:val="00E44121"/>
    <w:rsid w:val="00E473E6"/>
    <w:rsid w:val="00E51E52"/>
    <w:rsid w:val="00E61F84"/>
    <w:rsid w:val="00E83A4C"/>
    <w:rsid w:val="00E8440A"/>
    <w:rsid w:val="00EA37A4"/>
    <w:rsid w:val="00EB3477"/>
    <w:rsid w:val="00EC0261"/>
    <w:rsid w:val="00F20671"/>
    <w:rsid w:val="00F42485"/>
    <w:rsid w:val="00F445C7"/>
    <w:rsid w:val="00F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2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8CA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F87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878CA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A12">
    <w:name w:val="A12"/>
    <w:uiPriority w:val="99"/>
    <w:rsid w:val="00F878CA"/>
    <w:rPr>
      <w:rFonts w:cs="Minion Pro"/>
      <w:color w:val="221E1F"/>
      <w:sz w:val="11"/>
      <w:szCs w:val="11"/>
    </w:rPr>
  </w:style>
  <w:style w:type="character" w:styleId="Odwoaniedokomentarza">
    <w:name w:val="annotation reference"/>
    <w:uiPriority w:val="99"/>
    <w:semiHidden/>
    <w:unhideWhenUsed/>
    <w:rsid w:val="00F87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8CA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8CA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8C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8C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8CA"/>
    <w:rPr>
      <w:rFonts w:ascii="Segoe UI" w:eastAsia="Calibri" w:hAnsi="Segoe UI" w:cs="Times New Roman"/>
      <w:sz w:val="18"/>
      <w:szCs w:val="18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878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878CA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878C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878CA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F878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F878CA"/>
    <w:rPr>
      <w:i/>
      <w:iCs/>
    </w:rPr>
  </w:style>
  <w:style w:type="paragraph" w:customStyle="1" w:styleId="Pa9">
    <w:name w:val="Pa9"/>
    <w:basedOn w:val="Normalny"/>
    <w:next w:val="Normalny"/>
    <w:uiPriority w:val="99"/>
    <w:rsid w:val="00F878CA"/>
    <w:pPr>
      <w:autoSpaceDE w:val="0"/>
      <w:autoSpaceDN w:val="0"/>
      <w:adjustRightInd w:val="0"/>
      <w:spacing w:after="0" w:line="171" w:lineRule="atLeast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unhideWhenUsed/>
    <w:rsid w:val="00F878CA"/>
    <w:rPr>
      <w:color w:val="0000FF"/>
      <w:u w:val="single"/>
    </w:rPr>
  </w:style>
  <w:style w:type="paragraph" w:customStyle="1" w:styleId="Pa24">
    <w:name w:val="Pa24"/>
    <w:basedOn w:val="Normalny"/>
    <w:next w:val="Normalny"/>
    <w:uiPriority w:val="99"/>
    <w:rsid w:val="00F878CA"/>
    <w:pPr>
      <w:autoSpaceDE w:val="0"/>
      <w:autoSpaceDN w:val="0"/>
      <w:adjustRightInd w:val="0"/>
      <w:spacing w:after="0" w:line="141" w:lineRule="atLeast"/>
    </w:pPr>
    <w:rPr>
      <w:rFonts w:ascii="ITC Franklin Gothic Std Book" w:hAnsi="ITC Franklin Gothic Std Book"/>
      <w:sz w:val="24"/>
      <w:szCs w:val="24"/>
    </w:rPr>
  </w:style>
  <w:style w:type="paragraph" w:customStyle="1" w:styleId="bulletindent11">
    <w:name w:val="bulletindent11"/>
    <w:basedOn w:val="Normalny"/>
    <w:rsid w:val="00F878CA"/>
    <w:pPr>
      <w:spacing w:before="24" w:after="24" w:line="336" w:lineRule="auto"/>
      <w:ind w:left="38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7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78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F878CA"/>
    <w:rPr>
      <w:b/>
      <w:bCs/>
    </w:rPr>
  </w:style>
  <w:style w:type="character" w:customStyle="1" w:styleId="apple-converted-space">
    <w:name w:val="apple-converted-space"/>
    <w:rsid w:val="00F878CA"/>
  </w:style>
  <w:style w:type="paragraph" w:customStyle="1" w:styleId="desc">
    <w:name w:val="desc"/>
    <w:basedOn w:val="Normalny"/>
    <w:rsid w:val="00F8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rnl">
    <w:name w:val="jrnl"/>
    <w:basedOn w:val="Domylnaczcionkaakapitu"/>
    <w:rsid w:val="00F878CA"/>
  </w:style>
  <w:style w:type="paragraph" w:customStyle="1" w:styleId="desc2">
    <w:name w:val="desc2"/>
    <w:basedOn w:val="Normalny"/>
    <w:rsid w:val="00F878CA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8CA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F87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878CA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A12">
    <w:name w:val="A12"/>
    <w:uiPriority w:val="99"/>
    <w:rsid w:val="00F878CA"/>
    <w:rPr>
      <w:rFonts w:cs="Minion Pro"/>
      <w:color w:val="221E1F"/>
      <w:sz w:val="11"/>
      <w:szCs w:val="11"/>
    </w:rPr>
  </w:style>
  <w:style w:type="character" w:styleId="Odwoaniedokomentarza">
    <w:name w:val="annotation reference"/>
    <w:uiPriority w:val="99"/>
    <w:semiHidden/>
    <w:unhideWhenUsed/>
    <w:rsid w:val="00F878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8CA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8CA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8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8CA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8C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8CA"/>
    <w:rPr>
      <w:rFonts w:ascii="Segoe UI" w:eastAsia="Calibri" w:hAnsi="Segoe UI" w:cs="Times New Roman"/>
      <w:sz w:val="18"/>
      <w:szCs w:val="18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F878C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878CA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F878C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F878CA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F878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F878CA"/>
    <w:rPr>
      <w:i/>
      <w:iCs/>
    </w:rPr>
  </w:style>
  <w:style w:type="paragraph" w:customStyle="1" w:styleId="Pa9">
    <w:name w:val="Pa9"/>
    <w:basedOn w:val="Normalny"/>
    <w:next w:val="Normalny"/>
    <w:uiPriority w:val="99"/>
    <w:rsid w:val="00F878CA"/>
    <w:pPr>
      <w:autoSpaceDE w:val="0"/>
      <w:autoSpaceDN w:val="0"/>
      <w:adjustRightInd w:val="0"/>
      <w:spacing w:after="0" w:line="171" w:lineRule="atLeast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unhideWhenUsed/>
    <w:rsid w:val="00F878CA"/>
    <w:rPr>
      <w:color w:val="0000FF"/>
      <w:u w:val="single"/>
    </w:rPr>
  </w:style>
  <w:style w:type="paragraph" w:customStyle="1" w:styleId="Pa24">
    <w:name w:val="Pa24"/>
    <w:basedOn w:val="Normalny"/>
    <w:next w:val="Normalny"/>
    <w:uiPriority w:val="99"/>
    <w:rsid w:val="00F878CA"/>
    <w:pPr>
      <w:autoSpaceDE w:val="0"/>
      <w:autoSpaceDN w:val="0"/>
      <w:adjustRightInd w:val="0"/>
      <w:spacing w:after="0" w:line="141" w:lineRule="atLeast"/>
    </w:pPr>
    <w:rPr>
      <w:rFonts w:ascii="ITC Franklin Gothic Std Book" w:hAnsi="ITC Franklin Gothic Std Book"/>
      <w:sz w:val="24"/>
      <w:szCs w:val="24"/>
    </w:rPr>
  </w:style>
  <w:style w:type="paragraph" w:customStyle="1" w:styleId="bulletindent11">
    <w:name w:val="bulletindent11"/>
    <w:basedOn w:val="Normalny"/>
    <w:rsid w:val="00F878CA"/>
    <w:pPr>
      <w:spacing w:before="24" w:after="24" w:line="336" w:lineRule="auto"/>
      <w:ind w:left="38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87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878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F878CA"/>
    <w:rPr>
      <w:b/>
      <w:bCs/>
    </w:rPr>
  </w:style>
  <w:style w:type="character" w:customStyle="1" w:styleId="apple-converted-space">
    <w:name w:val="apple-converted-space"/>
    <w:rsid w:val="00F878CA"/>
  </w:style>
  <w:style w:type="paragraph" w:customStyle="1" w:styleId="desc">
    <w:name w:val="desc"/>
    <w:basedOn w:val="Normalny"/>
    <w:rsid w:val="00F87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jrnl">
    <w:name w:val="jrnl"/>
    <w:basedOn w:val="Domylnaczcionkaakapitu"/>
    <w:rsid w:val="00F878CA"/>
  </w:style>
  <w:style w:type="paragraph" w:customStyle="1" w:styleId="desc2">
    <w:name w:val="desc2"/>
    <w:basedOn w:val="Normalny"/>
    <w:rsid w:val="00F878CA"/>
    <w:pPr>
      <w:spacing w:after="0" w:line="240" w:lineRule="auto"/>
    </w:pPr>
    <w:rPr>
      <w:rFonts w:ascii="Times New Roman" w:eastAsia="Times New Roman" w:hAnsi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e.org.uk/guidance/TA197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8780</Words>
  <Characters>52685</Characters>
  <Application>Microsoft Office Word</Application>
  <DocSecurity>0</DocSecurity>
  <Lines>439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2014-11-15T01:43:00Z</dcterms:created>
  <dcterms:modified xsi:type="dcterms:W3CDTF">2014-11-15T02:14:00Z</dcterms:modified>
</cp:coreProperties>
</file>