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4DBD8" w14:textId="77777777" w:rsidR="001B178D" w:rsidRPr="00D9298F" w:rsidRDefault="001B178D" w:rsidP="001B178D">
      <w:pPr>
        <w:pStyle w:val="MDPI13authornames"/>
        <w:jc w:val="center"/>
        <w:rPr>
          <w:snapToGrid w:val="0"/>
          <w:sz w:val="36"/>
          <w:szCs w:val="20"/>
        </w:rPr>
      </w:pPr>
      <w:bookmarkStart w:id="0" w:name="_GoBack"/>
      <w:bookmarkEnd w:id="0"/>
      <w:r w:rsidRPr="00D9298F">
        <w:rPr>
          <w:snapToGrid w:val="0"/>
          <w:sz w:val="36"/>
          <w:szCs w:val="20"/>
        </w:rPr>
        <w:t>Systematic review and meta-analysis of intravenous and topical tranexamic acid in reducing blood loss in knee arthroplasty</w:t>
      </w:r>
    </w:p>
    <w:p w14:paraId="379F7B0D" w14:textId="5FE406C2" w:rsidR="002266D2" w:rsidRDefault="002266D2">
      <w:pPr>
        <w:rPr>
          <w:lang w:val="en-US"/>
        </w:rPr>
      </w:pPr>
    </w:p>
    <w:p w14:paraId="49E41AFD" w14:textId="70F066CF" w:rsidR="001B178D" w:rsidRPr="001B178D" w:rsidRDefault="001B178D" w:rsidP="001B178D">
      <w:pPr>
        <w:jc w:val="center"/>
        <w:rPr>
          <w:b/>
          <w:bCs/>
          <w:u w:val="single"/>
          <w:lang w:val="en-US"/>
        </w:rPr>
      </w:pPr>
      <w:r w:rsidRPr="001B178D">
        <w:rPr>
          <w:b/>
          <w:bCs/>
          <w:u w:val="single"/>
          <w:lang w:val="en-US"/>
        </w:rPr>
        <w:t>Supplementary Digital File</w:t>
      </w:r>
    </w:p>
    <w:p w14:paraId="51A4F6C7" w14:textId="409C1991" w:rsidR="001B178D" w:rsidRDefault="001B178D">
      <w:pPr>
        <w:rPr>
          <w:lang w:val="en-US"/>
        </w:rPr>
      </w:pPr>
    </w:p>
    <w:p w14:paraId="3F8DB162" w14:textId="39DAD10C" w:rsidR="001B178D" w:rsidRDefault="001B178D">
      <w:pPr>
        <w:rPr>
          <w:lang w:val="en-US"/>
        </w:rPr>
      </w:pPr>
    </w:p>
    <w:p w14:paraId="340C35FE" w14:textId="77777777" w:rsidR="001B178D" w:rsidRDefault="001B178D" w:rsidP="001B178D">
      <w:pPr>
        <w:rPr>
          <w:lang w:val="en-US"/>
        </w:rPr>
      </w:pPr>
    </w:p>
    <w:p w14:paraId="75FA551A" w14:textId="77777777" w:rsidR="001B178D" w:rsidRDefault="001B178D" w:rsidP="001B178D">
      <w:pPr>
        <w:rPr>
          <w:lang w:val="en-US"/>
        </w:rPr>
      </w:pPr>
    </w:p>
    <w:sdt>
      <w:sdtPr>
        <w:id w:val="94365727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4"/>
          <w:szCs w:val="24"/>
          <w:lang w:eastAsia="en-US"/>
        </w:rPr>
      </w:sdtEndPr>
      <w:sdtContent>
        <w:p w14:paraId="01439E88" w14:textId="0DACFBFC" w:rsidR="001B178D" w:rsidRDefault="001B178D">
          <w:pPr>
            <w:pStyle w:val="Nagwekspisutreci"/>
          </w:pPr>
          <w:r>
            <w:t>CONTENT:</w:t>
          </w:r>
        </w:p>
        <w:p w14:paraId="485A5321" w14:textId="18F089E7" w:rsidR="001B178D" w:rsidRDefault="001B178D">
          <w:pPr>
            <w:pStyle w:val="Spistreci2"/>
            <w:tabs>
              <w:tab w:val="right" w:leader="dot" w:pos="9056"/>
            </w:tabs>
            <w:rPr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92194239" w:history="1">
            <w:r w:rsidRPr="000478A2">
              <w:rPr>
                <w:rStyle w:val="Hipercze"/>
                <w:noProof/>
                <w:lang w:val="en-US"/>
              </w:rPr>
              <w:t>Figure S1. A summary table of review authors' judgements for each risk of bias item for each randomized study.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_Toc92194239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33FD3E" w14:textId="6BDD9C30" w:rsidR="001B178D" w:rsidRDefault="001B178D">
          <w:pPr>
            <w:pStyle w:val="Spistreci2"/>
            <w:tabs>
              <w:tab w:val="right" w:leader="dot" w:pos="9056"/>
            </w:tabs>
            <w:rPr>
              <w:noProof/>
            </w:rPr>
          </w:pPr>
          <w:hyperlink w:anchor="_Toc92194240" w:history="1">
            <w:r w:rsidRPr="000478A2">
              <w:rPr>
                <w:rStyle w:val="Hipercze"/>
                <w:noProof/>
                <w:lang w:val="en-US"/>
              </w:rPr>
              <w:t>Figure S2. A plot of the distribution of review authors' judgements across randomized studies for each risk of bias item.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_Toc92194240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870EB7" w14:textId="54A3C813" w:rsidR="001B178D" w:rsidRDefault="001B178D">
          <w:pPr>
            <w:pStyle w:val="Spistreci2"/>
            <w:tabs>
              <w:tab w:val="right" w:leader="dot" w:pos="9056"/>
            </w:tabs>
            <w:rPr>
              <w:noProof/>
            </w:rPr>
          </w:pPr>
          <w:hyperlink w:anchor="_Toc92194241" w:history="1">
            <w:r w:rsidRPr="000478A2">
              <w:rPr>
                <w:rStyle w:val="Hipercze"/>
                <w:noProof/>
                <w:lang w:val="en-US"/>
              </w:rPr>
              <w:t>Figure S3. A summary table of review authors' judgements for each risk of bias item for each non-randomized study.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_Toc92194241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4C3821" w14:textId="65090AE8" w:rsidR="001B178D" w:rsidRDefault="001B178D">
          <w:pPr>
            <w:pStyle w:val="Spistreci2"/>
            <w:tabs>
              <w:tab w:val="right" w:leader="dot" w:pos="9056"/>
            </w:tabs>
            <w:rPr>
              <w:noProof/>
            </w:rPr>
          </w:pPr>
          <w:hyperlink w:anchor="_Toc92194242" w:history="1">
            <w:r w:rsidRPr="000478A2">
              <w:rPr>
                <w:rStyle w:val="Hipercze"/>
                <w:noProof/>
                <w:lang w:val="en-US"/>
              </w:rPr>
              <w:t>Figure S4. A plot of the distribution of review authors' judgements across non-randomized studies for each risk of bias item.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_Toc92194242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1225ED" w14:textId="35FAC3C7" w:rsidR="001B178D" w:rsidRDefault="001B178D">
          <w:pPr>
            <w:pStyle w:val="Spistreci2"/>
            <w:tabs>
              <w:tab w:val="right" w:leader="dot" w:pos="9056"/>
            </w:tabs>
            <w:rPr>
              <w:noProof/>
            </w:rPr>
          </w:pPr>
          <w:hyperlink w:anchor="_Toc92194243" w:history="1">
            <w:r w:rsidRPr="000478A2">
              <w:rPr>
                <w:rStyle w:val="Hipercze"/>
                <w:noProof/>
                <w:lang w:val="en-US"/>
              </w:rPr>
              <w:t>Figure S5. Forest plot of operative time among IV-TXA and T-TXA groups.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_Toc92194243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45D591" w14:textId="267FAE62" w:rsidR="001B178D" w:rsidRDefault="001B178D">
          <w:pPr>
            <w:pStyle w:val="Spistreci2"/>
            <w:tabs>
              <w:tab w:val="right" w:leader="dot" w:pos="9056"/>
            </w:tabs>
            <w:rPr>
              <w:noProof/>
            </w:rPr>
          </w:pPr>
          <w:hyperlink w:anchor="_Toc92194244" w:history="1">
            <w:r w:rsidRPr="000478A2">
              <w:rPr>
                <w:rStyle w:val="Hipercze"/>
                <w:noProof/>
              </w:rPr>
              <w:t xml:space="preserve">Figure S6. </w:t>
            </w:r>
            <w:r w:rsidRPr="000478A2">
              <w:rPr>
                <w:rStyle w:val="Hipercze"/>
                <w:noProof/>
                <w:lang w:val="en-US"/>
              </w:rPr>
              <w:t xml:space="preserve">Forest plot of </w:t>
            </w:r>
            <w:r w:rsidRPr="000478A2">
              <w:rPr>
                <w:rStyle w:val="Hipercze"/>
                <w:noProof/>
              </w:rPr>
              <w:t>length of hospital stay</w:t>
            </w:r>
            <w:r w:rsidRPr="000478A2">
              <w:rPr>
                <w:rStyle w:val="Hipercze"/>
                <w:noProof/>
                <w:lang w:val="en-US"/>
              </w:rPr>
              <w:t xml:space="preserve"> among IV-TXA and T-TXA groups.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_Toc92194244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258A3F" w14:textId="0B51AE23" w:rsidR="001B178D" w:rsidRDefault="001B178D">
          <w:r>
            <w:rPr>
              <w:b/>
              <w:bCs/>
              <w:noProof/>
            </w:rPr>
            <w:fldChar w:fldCharType="end"/>
          </w:r>
        </w:p>
      </w:sdtContent>
    </w:sdt>
    <w:p w14:paraId="4ED6E896" w14:textId="77777777" w:rsidR="001B178D" w:rsidRDefault="001B178D" w:rsidP="001B178D">
      <w:pPr>
        <w:rPr>
          <w:lang w:val="en-US"/>
        </w:rPr>
      </w:pPr>
    </w:p>
    <w:p w14:paraId="5EE98959" w14:textId="77777777" w:rsidR="001B178D" w:rsidRDefault="001B178D" w:rsidP="001B178D">
      <w:pPr>
        <w:rPr>
          <w:lang w:val="en-US"/>
        </w:rPr>
      </w:pPr>
    </w:p>
    <w:p w14:paraId="01405C3B" w14:textId="77777777" w:rsidR="001B178D" w:rsidRDefault="001B178D" w:rsidP="001B178D">
      <w:pPr>
        <w:rPr>
          <w:lang w:val="en-US"/>
        </w:rPr>
      </w:pPr>
    </w:p>
    <w:p w14:paraId="4A62DE41" w14:textId="77777777" w:rsidR="001B178D" w:rsidRDefault="001B178D">
      <w:pPr>
        <w:rPr>
          <w:lang w:val="en-US"/>
        </w:rPr>
      </w:pPr>
      <w:r>
        <w:rPr>
          <w:lang w:val="en-US"/>
        </w:rPr>
        <w:br w:type="page"/>
      </w:r>
    </w:p>
    <w:p w14:paraId="54224E43" w14:textId="17769C5D" w:rsidR="001B178D" w:rsidRDefault="001B178D" w:rsidP="001B178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C596537" wp14:editId="3C187883">
            <wp:extent cx="5756910" cy="8249285"/>
            <wp:effectExtent l="0" t="0" r="0" b="5715"/>
            <wp:docPr id="1" name="Obraz 1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stół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24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7559A" w14:textId="4DF53C97" w:rsidR="001B178D" w:rsidRPr="001B178D" w:rsidRDefault="001B178D" w:rsidP="001B178D">
      <w:pPr>
        <w:pStyle w:val="Nagwek2"/>
        <w:rPr>
          <w:sz w:val="24"/>
          <w:szCs w:val="24"/>
          <w:lang w:val="en-US"/>
        </w:rPr>
      </w:pPr>
      <w:bookmarkStart w:id="1" w:name="_Toc92194239"/>
      <w:r w:rsidRPr="001B178D">
        <w:rPr>
          <w:sz w:val="24"/>
          <w:szCs w:val="24"/>
          <w:lang w:val="en-US"/>
        </w:rPr>
        <w:t>Figure S1. A summary table of review authors' judgements for each risk of bias item for each randomized study</w:t>
      </w:r>
      <w:r w:rsidRPr="001B178D">
        <w:rPr>
          <w:sz w:val="24"/>
          <w:szCs w:val="24"/>
          <w:lang w:val="en-US"/>
        </w:rPr>
        <w:t>.</w:t>
      </w:r>
      <w:bookmarkEnd w:id="1"/>
    </w:p>
    <w:p w14:paraId="1181230C" w14:textId="77777777" w:rsidR="001B178D" w:rsidRDefault="001B178D" w:rsidP="001B178D">
      <w:pPr>
        <w:rPr>
          <w:lang w:val="en-US"/>
        </w:rPr>
      </w:pPr>
    </w:p>
    <w:p w14:paraId="30EC19E2" w14:textId="6988AEDF" w:rsidR="001B178D" w:rsidRDefault="001B178D" w:rsidP="001B178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BA99022" wp14:editId="0ACDEB86">
            <wp:extent cx="5756910" cy="17291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BBE00" w14:textId="295F6C26" w:rsidR="001B178D" w:rsidRDefault="001B178D" w:rsidP="001B178D">
      <w:pPr>
        <w:pStyle w:val="Nagwek2"/>
        <w:rPr>
          <w:lang w:val="en-US"/>
        </w:rPr>
      </w:pPr>
      <w:bookmarkStart w:id="2" w:name="_Toc92194240"/>
      <w:r w:rsidRPr="001B178D">
        <w:rPr>
          <w:lang w:val="en-US"/>
        </w:rPr>
        <w:t>Figure S2. A plot of the distribution of review authors' judgements across randomized studies for each risk of bias item.</w:t>
      </w:r>
      <w:bookmarkEnd w:id="2"/>
      <w:r w:rsidRPr="001B178D">
        <w:rPr>
          <w:lang w:val="en-US"/>
        </w:rPr>
        <w:tab/>
      </w:r>
    </w:p>
    <w:p w14:paraId="4CC4A39A" w14:textId="2EC534D2" w:rsidR="001B178D" w:rsidRDefault="001B178D" w:rsidP="001B178D">
      <w:pPr>
        <w:rPr>
          <w:lang w:val="en-US"/>
        </w:rPr>
      </w:pPr>
    </w:p>
    <w:p w14:paraId="5E882904" w14:textId="11FFE3F7" w:rsidR="001B178D" w:rsidRPr="001B178D" w:rsidRDefault="001B178D" w:rsidP="001B178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0D9309B" wp14:editId="007546C8">
            <wp:extent cx="5756910" cy="2767330"/>
            <wp:effectExtent l="0" t="0" r="0" b="1270"/>
            <wp:docPr id="5" name="Obraz 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stół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4E3A9" w14:textId="5FC35F7D" w:rsidR="001B178D" w:rsidRPr="001B178D" w:rsidRDefault="001B178D" w:rsidP="001B178D">
      <w:pPr>
        <w:pStyle w:val="Nagwek2"/>
        <w:rPr>
          <w:sz w:val="24"/>
          <w:szCs w:val="24"/>
          <w:lang w:val="en-US"/>
        </w:rPr>
      </w:pPr>
      <w:bookmarkStart w:id="3" w:name="_Toc92194241"/>
      <w:r w:rsidRPr="001B178D">
        <w:rPr>
          <w:sz w:val="24"/>
          <w:szCs w:val="24"/>
          <w:lang w:val="en-US"/>
        </w:rPr>
        <w:t>Figure S3. A summary table of review authors' judgements for each risk of bias item for each non-randomized study.</w:t>
      </w:r>
      <w:bookmarkEnd w:id="3"/>
      <w:r w:rsidRPr="001B178D">
        <w:rPr>
          <w:sz w:val="24"/>
          <w:szCs w:val="24"/>
          <w:lang w:val="en-US"/>
        </w:rPr>
        <w:tab/>
      </w:r>
    </w:p>
    <w:p w14:paraId="6533352B" w14:textId="788BAF00" w:rsidR="001B178D" w:rsidRDefault="001B178D" w:rsidP="001B178D">
      <w:pPr>
        <w:rPr>
          <w:lang w:val="en-US"/>
        </w:rPr>
      </w:pPr>
    </w:p>
    <w:p w14:paraId="21C580EC" w14:textId="62DF7CF5" w:rsidR="001B178D" w:rsidRPr="001B178D" w:rsidRDefault="001B178D" w:rsidP="001B178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2C9A9E2" wp14:editId="07C8ACBD">
            <wp:extent cx="5756910" cy="17291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28809" w14:textId="0A78FBCC" w:rsidR="001B178D" w:rsidRPr="001B178D" w:rsidRDefault="001B178D" w:rsidP="001B178D">
      <w:pPr>
        <w:pStyle w:val="Nagwek2"/>
        <w:rPr>
          <w:sz w:val="24"/>
          <w:szCs w:val="24"/>
          <w:lang w:val="en-US"/>
        </w:rPr>
      </w:pPr>
      <w:bookmarkStart w:id="4" w:name="_Toc92194242"/>
      <w:r w:rsidRPr="001B178D">
        <w:rPr>
          <w:sz w:val="24"/>
          <w:szCs w:val="24"/>
          <w:lang w:val="en-US"/>
        </w:rPr>
        <w:t>Figure S4. A plot of the distribution of review authors' judgements across non-randomized studies for each risk of bias item.</w:t>
      </w:r>
      <w:bookmarkEnd w:id="4"/>
    </w:p>
    <w:p w14:paraId="5E608179" w14:textId="3753D9EC" w:rsidR="001B178D" w:rsidRDefault="001B178D" w:rsidP="001B178D">
      <w:pPr>
        <w:rPr>
          <w:lang w:val="en-US"/>
        </w:rPr>
      </w:pPr>
    </w:p>
    <w:p w14:paraId="26DBF9D8" w14:textId="600C9567" w:rsidR="001B178D" w:rsidRDefault="001B178D" w:rsidP="001B178D">
      <w:pPr>
        <w:rPr>
          <w:lang w:val="en-US"/>
        </w:rPr>
      </w:pPr>
    </w:p>
    <w:p w14:paraId="5DCC8AA0" w14:textId="0AEEFFC8" w:rsidR="001B178D" w:rsidRDefault="001B178D" w:rsidP="001B178D">
      <w:pPr>
        <w:rPr>
          <w:lang w:val="en-US"/>
        </w:rPr>
      </w:pPr>
    </w:p>
    <w:p w14:paraId="0DD76577" w14:textId="52B6A7DF" w:rsidR="001B178D" w:rsidRDefault="001B178D" w:rsidP="001B178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D9E3EE0" wp14:editId="132A2413">
            <wp:extent cx="5756910" cy="1623695"/>
            <wp:effectExtent l="0" t="0" r="0" b="1905"/>
            <wp:docPr id="8" name="Obraz 8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stół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2EDFA" w14:textId="12052A8C" w:rsidR="001B178D" w:rsidRDefault="001B178D" w:rsidP="001B178D">
      <w:pPr>
        <w:jc w:val="both"/>
        <w:rPr>
          <w:sz w:val="22"/>
          <w:szCs w:val="22"/>
        </w:rPr>
      </w:pPr>
      <w:bookmarkStart w:id="5" w:name="_Toc92194243"/>
      <w:r w:rsidRPr="001B178D">
        <w:rPr>
          <w:rStyle w:val="Nagwek2Znak"/>
          <w:sz w:val="24"/>
          <w:szCs w:val="24"/>
          <w:lang w:val="en-US"/>
        </w:rPr>
        <w:t xml:space="preserve">Figure S5. </w:t>
      </w:r>
      <w:r w:rsidRPr="001B178D">
        <w:rPr>
          <w:rStyle w:val="Nagwek2Znak"/>
          <w:sz w:val="24"/>
          <w:szCs w:val="24"/>
          <w:lang w:val="en-US"/>
        </w:rPr>
        <w:t xml:space="preserve">Forest plot of </w:t>
      </w:r>
      <w:r>
        <w:rPr>
          <w:rStyle w:val="Nagwek2Znak"/>
          <w:sz w:val="24"/>
          <w:szCs w:val="24"/>
          <w:lang w:val="en-US"/>
        </w:rPr>
        <w:t>operative time</w:t>
      </w:r>
      <w:r w:rsidRPr="001B178D">
        <w:rPr>
          <w:rStyle w:val="Nagwek2Znak"/>
          <w:sz w:val="24"/>
          <w:szCs w:val="24"/>
          <w:lang w:val="en-US"/>
        </w:rPr>
        <w:t xml:space="preserve"> among IV-TXA and T-TXA groups.</w:t>
      </w:r>
      <w:bookmarkEnd w:id="5"/>
      <w:r w:rsidRPr="001B178D">
        <w:rPr>
          <w:sz w:val="22"/>
          <w:szCs w:val="22"/>
          <w:lang w:val="en-US"/>
        </w:rPr>
        <w:t xml:space="preserve"> The </w:t>
      </w:r>
      <w:proofErr w:type="spellStart"/>
      <w:r w:rsidRPr="001B178D">
        <w:rPr>
          <w:sz w:val="22"/>
          <w:szCs w:val="22"/>
          <w:lang w:val="en-US"/>
        </w:rPr>
        <w:t>centre</w:t>
      </w:r>
      <w:proofErr w:type="spellEnd"/>
      <w:r w:rsidRPr="001B178D">
        <w:rPr>
          <w:sz w:val="22"/>
          <w:szCs w:val="22"/>
          <w:lang w:val="en-US"/>
        </w:rPr>
        <w:t xml:space="preserve"> of each square represents the weighted standard mean differences for individual trials, and the corresponding horizontal line stands for a 95% confidence interval. </w:t>
      </w:r>
      <w:r w:rsidRPr="001B178D">
        <w:rPr>
          <w:sz w:val="22"/>
          <w:szCs w:val="22"/>
        </w:rPr>
        <w:t xml:space="preserve">The </w:t>
      </w:r>
      <w:proofErr w:type="spellStart"/>
      <w:r w:rsidRPr="001B178D">
        <w:rPr>
          <w:sz w:val="22"/>
          <w:szCs w:val="22"/>
        </w:rPr>
        <w:t>diamonds</w:t>
      </w:r>
      <w:proofErr w:type="spellEnd"/>
      <w:r w:rsidRPr="001B178D">
        <w:rPr>
          <w:sz w:val="22"/>
          <w:szCs w:val="22"/>
        </w:rPr>
        <w:t xml:space="preserve"> </w:t>
      </w:r>
      <w:proofErr w:type="spellStart"/>
      <w:r w:rsidRPr="001B178D">
        <w:rPr>
          <w:sz w:val="22"/>
          <w:szCs w:val="22"/>
        </w:rPr>
        <w:t>represent</w:t>
      </w:r>
      <w:proofErr w:type="spellEnd"/>
      <w:r w:rsidRPr="001B178D">
        <w:rPr>
          <w:sz w:val="22"/>
          <w:szCs w:val="22"/>
        </w:rPr>
        <w:t xml:space="preserve"> </w:t>
      </w:r>
      <w:proofErr w:type="spellStart"/>
      <w:r w:rsidRPr="001B178D">
        <w:rPr>
          <w:sz w:val="22"/>
          <w:szCs w:val="22"/>
        </w:rPr>
        <w:t>pooled</w:t>
      </w:r>
      <w:proofErr w:type="spellEnd"/>
      <w:r w:rsidRPr="001B178D">
        <w:rPr>
          <w:sz w:val="22"/>
          <w:szCs w:val="22"/>
        </w:rPr>
        <w:t xml:space="preserve"> </w:t>
      </w:r>
      <w:proofErr w:type="spellStart"/>
      <w:r w:rsidRPr="001B178D">
        <w:rPr>
          <w:sz w:val="22"/>
          <w:szCs w:val="22"/>
        </w:rPr>
        <w:t>results</w:t>
      </w:r>
      <w:proofErr w:type="spellEnd"/>
      <w:r w:rsidRPr="001B178D">
        <w:rPr>
          <w:sz w:val="22"/>
          <w:szCs w:val="22"/>
        </w:rPr>
        <w:t>.</w:t>
      </w:r>
    </w:p>
    <w:p w14:paraId="6B3DF3C8" w14:textId="2E9715FC" w:rsidR="001B178D" w:rsidRDefault="001B178D" w:rsidP="001B178D">
      <w:pPr>
        <w:jc w:val="both"/>
        <w:rPr>
          <w:sz w:val="22"/>
          <w:szCs w:val="22"/>
        </w:rPr>
      </w:pPr>
    </w:p>
    <w:p w14:paraId="753338FD" w14:textId="491E36F3" w:rsidR="001B178D" w:rsidRDefault="001B178D" w:rsidP="001B178D">
      <w:pPr>
        <w:jc w:val="both"/>
        <w:rPr>
          <w:sz w:val="22"/>
          <w:szCs w:val="22"/>
        </w:rPr>
      </w:pPr>
    </w:p>
    <w:p w14:paraId="272ED7A1" w14:textId="77777777" w:rsidR="001B178D" w:rsidRDefault="001B178D" w:rsidP="001B178D">
      <w:pPr>
        <w:jc w:val="both"/>
        <w:rPr>
          <w:sz w:val="22"/>
          <w:szCs w:val="22"/>
        </w:rPr>
      </w:pPr>
    </w:p>
    <w:p w14:paraId="12B6C55F" w14:textId="4F7A0E99" w:rsidR="001B178D" w:rsidRDefault="001B178D" w:rsidP="001B178D">
      <w:pPr>
        <w:jc w:val="both"/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</w:rPr>
        <w:drawing>
          <wp:inline distT="0" distB="0" distL="0" distR="0" wp14:anchorId="310080ED" wp14:editId="39035253">
            <wp:extent cx="5756910" cy="1577975"/>
            <wp:effectExtent l="0" t="0" r="0" b="0"/>
            <wp:docPr id="9" name="Obraz 9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stół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D242" w14:textId="1B4392FB" w:rsidR="001B178D" w:rsidRPr="001B178D" w:rsidRDefault="001B178D" w:rsidP="001B178D">
      <w:pPr>
        <w:jc w:val="both"/>
        <w:rPr>
          <w:sz w:val="22"/>
          <w:szCs w:val="22"/>
          <w:lang w:val="en-US"/>
        </w:rPr>
      </w:pPr>
      <w:bookmarkStart w:id="6" w:name="_Toc92194244"/>
      <w:proofErr w:type="spellStart"/>
      <w:r w:rsidRPr="001B178D">
        <w:rPr>
          <w:rStyle w:val="Nagwek2Znak"/>
          <w:sz w:val="24"/>
          <w:szCs w:val="24"/>
        </w:rPr>
        <w:t>Figure</w:t>
      </w:r>
      <w:proofErr w:type="spellEnd"/>
      <w:r w:rsidRPr="001B178D">
        <w:rPr>
          <w:rStyle w:val="Nagwek2Znak"/>
          <w:sz w:val="24"/>
          <w:szCs w:val="24"/>
        </w:rPr>
        <w:t xml:space="preserve"> S6. </w:t>
      </w:r>
      <w:r w:rsidRPr="001B178D">
        <w:rPr>
          <w:rStyle w:val="Nagwek2Znak"/>
          <w:sz w:val="24"/>
          <w:szCs w:val="24"/>
          <w:lang w:val="en-US"/>
        </w:rPr>
        <w:t xml:space="preserve">Forest plot of </w:t>
      </w:r>
      <w:proofErr w:type="spellStart"/>
      <w:r w:rsidRPr="001B178D">
        <w:rPr>
          <w:rStyle w:val="Nagwek2Znak"/>
          <w:sz w:val="24"/>
          <w:szCs w:val="24"/>
        </w:rPr>
        <w:t>length</w:t>
      </w:r>
      <w:proofErr w:type="spellEnd"/>
      <w:r w:rsidRPr="001B178D">
        <w:rPr>
          <w:rStyle w:val="Nagwek2Znak"/>
          <w:sz w:val="24"/>
          <w:szCs w:val="24"/>
        </w:rPr>
        <w:t xml:space="preserve"> of </w:t>
      </w:r>
      <w:proofErr w:type="spellStart"/>
      <w:r w:rsidRPr="001B178D">
        <w:rPr>
          <w:rStyle w:val="Nagwek2Znak"/>
          <w:sz w:val="24"/>
          <w:szCs w:val="24"/>
        </w:rPr>
        <w:t>hospital</w:t>
      </w:r>
      <w:proofErr w:type="spellEnd"/>
      <w:r w:rsidRPr="001B178D">
        <w:rPr>
          <w:rStyle w:val="Nagwek2Znak"/>
          <w:sz w:val="24"/>
          <w:szCs w:val="24"/>
        </w:rPr>
        <w:t xml:space="preserve"> </w:t>
      </w:r>
      <w:proofErr w:type="spellStart"/>
      <w:r w:rsidRPr="001B178D">
        <w:rPr>
          <w:rStyle w:val="Nagwek2Znak"/>
          <w:sz w:val="24"/>
          <w:szCs w:val="24"/>
        </w:rPr>
        <w:t>stay</w:t>
      </w:r>
      <w:proofErr w:type="spellEnd"/>
      <w:r w:rsidRPr="001B178D">
        <w:rPr>
          <w:rStyle w:val="Nagwek2Znak"/>
          <w:sz w:val="24"/>
          <w:szCs w:val="24"/>
          <w:lang w:val="en-US"/>
        </w:rPr>
        <w:t xml:space="preserve"> among IV-TXA and T-TXA groups.</w:t>
      </w:r>
      <w:bookmarkEnd w:id="6"/>
      <w:r w:rsidRPr="001B178D">
        <w:rPr>
          <w:sz w:val="22"/>
          <w:szCs w:val="22"/>
          <w:lang w:val="en-US"/>
        </w:rPr>
        <w:t xml:space="preserve"> </w:t>
      </w:r>
      <w:r w:rsidRPr="001B178D">
        <w:rPr>
          <w:lang w:val="en-US"/>
        </w:rPr>
        <w:t xml:space="preserve">The </w:t>
      </w:r>
      <w:proofErr w:type="spellStart"/>
      <w:r w:rsidRPr="001B178D">
        <w:rPr>
          <w:lang w:val="en-US"/>
        </w:rPr>
        <w:t>centre</w:t>
      </w:r>
      <w:proofErr w:type="spellEnd"/>
      <w:r w:rsidRPr="001B178D">
        <w:rPr>
          <w:lang w:val="en-US"/>
        </w:rPr>
        <w:t xml:space="preserve"> of each square represents the weighted standard mean differences for individual trials, and the corresponding horizontal line stands for a 95% confidence interval. </w:t>
      </w:r>
      <w:r w:rsidRPr="00D9298F">
        <w:t xml:space="preserve">The </w:t>
      </w:r>
      <w:proofErr w:type="spellStart"/>
      <w:r w:rsidRPr="00D9298F">
        <w:t>diamonds</w:t>
      </w:r>
      <w:proofErr w:type="spellEnd"/>
      <w:r w:rsidRPr="00D9298F">
        <w:t xml:space="preserve"> </w:t>
      </w:r>
      <w:proofErr w:type="spellStart"/>
      <w:r w:rsidRPr="00D9298F">
        <w:t>represent</w:t>
      </w:r>
      <w:proofErr w:type="spellEnd"/>
      <w:r w:rsidRPr="00D9298F">
        <w:t xml:space="preserve"> </w:t>
      </w:r>
      <w:proofErr w:type="spellStart"/>
      <w:r w:rsidRPr="00D9298F">
        <w:t>pooled</w:t>
      </w:r>
      <w:proofErr w:type="spellEnd"/>
      <w:r w:rsidRPr="00D9298F">
        <w:t xml:space="preserve"> </w:t>
      </w:r>
      <w:proofErr w:type="spellStart"/>
      <w:r w:rsidRPr="00D9298F">
        <w:t>results</w:t>
      </w:r>
      <w:proofErr w:type="spellEnd"/>
      <w:r w:rsidRPr="00D9298F">
        <w:t>.</w:t>
      </w:r>
    </w:p>
    <w:sectPr w:rsidR="001B178D" w:rsidRPr="001B178D" w:rsidSect="00BF72E9">
      <w:footerReference w:type="even" r:id="rId13"/>
      <w:footerReference w:type="defaul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28E56" w14:textId="77777777" w:rsidR="00900703" w:rsidRDefault="00900703" w:rsidP="001B178D">
      <w:r>
        <w:separator/>
      </w:r>
    </w:p>
  </w:endnote>
  <w:endnote w:type="continuationSeparator" w:id="0">
    <w:p w14:paraId="244D3917" w14:textId="77777777" w:rsidR="00900703" w:rsidRDefault="00900703" w:rsidP="001B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574899829"/>
      <w:docPartObj>
        <w:docPartGallery w:val="Page Numbers (Bottom of Page)"/>
        <w:docPartUnique/>
      </w:docPartObj>
    </w:sdtPr>
    <w:sdtContent>
      <w:p w14:paraId="72A0A1D6" w14:textId="5D1AF963" w:rsidR="001B178D" w:rsidRDefault="001B178D" w:rsidP="00CA5120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281CC43A" w14:textId="77777777" w:rsidR="001B178D" w:rsidRDefault="001B178D" w:rsidP="001B178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589687838"/>
      <w:docPartObj>
        <w:docPartGallery w:val="Page Numbers (Bottom of Page)"/>
        <w:docPartUnique/>
      </w:docPartObj>
    </w:sdtPr>
    <w:sdtContent>
      <w:p w14:paraId="5CDA970F" w14:textId="304106DA" w:rsidR="001B178D" w:rsidRDefault="001B178D" w:rsidP="00CA5120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55814FAE" w14:textId="77777777" w:rsidR="001B178D" w:rsidRDefault="001B178D" w:rsidP="001B178D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FE7B7" w14:textId="77777777" w:rsidR="00900703" w:rsidRDefault="00900703" w:rsidP="001B178D">
      <w:r>
        <w:separator/>
      </w:r>
    </w:p>
  </w:footnote>
  <w:footnote w:type="continuationSeparator" w:id="0">
    <w:p w14:paraId="063C3524" w14:textId="77777777" w:rsidR="00900703" w:rsidRDefault="00900703" w:rsidP="001B17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78D"/>
    <w:rsid w:val="00006811"/>
    <w:rsid w:val="0001118B"/>
    <w:rsid w:val="00012470"/>
    <w:rsid w:val="00015A21"/>
    <w:rsid w:val="00015A89"/>
    <w:rsid w:val="00030126"/>
    <w:rsid w:val="00034AA0"/>
    <w:rsid w:val="00043DD4"/>
    <w:rsid w:val="00052E45"/>
    <w:rsid w:val="00055067"/>
    <w:rsid w:val="00055FFA"/>
    <w:rsid w:val="00061C4B"/>
    <w:rsid w:val="00064C51"/>
    <w:rsid w:val="000759E6"/>
    <w:rsid w:val="000810E2"/>
    <w:rsid w:val="000A770C"/>
    <w:rsid w:val="000B22AC"/>
    <w:rsid w:val="000B35A2"/>
    <w:rsid w:val="000B41F8"/>
    <w:rsid w:val="000B4914"/>
    <w:rsid w:val="000B5FBF"/>
    <w:rsid w:val="000C2D2A"/>
    <w:rsid w:val="000D379B"/>
    <w:rsid w:val="000E3469"/>
    <w:rsid w:val="000E745F"/>
    <w:rsid w:val="001004CF"/>
    <w:rsid w:val="00101BB3"/>
    <w:rsid w:val="0013701A"/>
    <w:rsid w:val="0013747D"/>
    <w:rsid w:val="00166189"/>
    <w:rsid w:val="0018333B"/>
    <w:rsid w:val="001939AF"/>
    <w:rsid w:val="001B178D"/>
    <w:rsid w:val="001D785A"/>
    <w:rsid w:val="002266D2"/>
    <w:rsid w:val="00234397"/>
    <w:rsid w:val="0026254B"/>
    <w:rsid w:val="002B016C"/>
    <w:rsid w:val="002B07FC"/>
    <w:rsid w:val="002B6B57"/>
    <w:rsid w:val="002C7A09"/>
    <w:rsid w:val="002D2497"/>
    <w:rsid w:val="002D36E5"/>
    <w:rsid w:val="002E35E8"/>
    <w:rsid w:val="002F7044"/>
    <w:rsid w:val="00303750"/>
    <w:rsid w:val="003756C4"/>
    <w:rsid w:val="00375BEA"/>
    <w:rsid w:val="003A489B"/>
    <w:rsid w:val="003A73E0"/>
    <w:rsid w:val="003B1712"/>
    <w:rsid w:val="003D13DD"/>
    <w:rsid w:val="003D4DF1"/>
    <w:rsid w:val="003D596D"/>
    <w:rsid w:val="003D59AF"/>
    <w:rsid w:val="00457019"/>
    <w:rsid w:val="00481250"/>
    <w:rsid w:val="00494B82"/>
    <w:rsid w:val="004A4B8A"/>
    <w:rsid w:val="004D3BD2"/>
    <w:rsid w:val="004F3FF6"/>
    <w:rsid w:val="004F7547"/>
    <w:rsid w:val="00504B2D"/>
    <w:rsid w:val="005207C9"/>
    <w:rsid w:val="00561327"/>
    <w:rsid w:val="005616CF"/>
    <w:rsid w:val="00565CD1"/>
    <w:rsid w:val="00567DDC"/>
    <w:rsid w:val="00573397"/>
    <w:rsid w:val="0057745D"/>
    <w:rsid w:val="00597553"/>
    <w:rsid w:val="005A1542"/>
    <w:rsid w:val="005A2D9E"/>
    <w:rsid w:val="005A525B"/>
    <w:rsid w:val="00606DA0"/>
    <w:rsid w:val="006305D7"/>
    <w:rsid w:val="00632F5D"/>
    <w:rsid w:val="00645D12"/>
    <w:rsid w:val="00650678"/>
    <w:rsid w:val="00652800"/>
    <w:rsid w:val="00670A77"/>
    <w:rsid w:val="00681705"/>
    <w:rsid w:val="00687C39"/>
    <w:rsid w:val="006A6E60"/>
    <w:rsid w:val="006C409B"/>
    <w:rsid w:val="007001E6"/>
    <w:rsid w:val="00720705"/>
    <w:rsid w:val="00732053"/>
    <w:rsid w:val="00776580"/>
    <w:rsid w:val="00776938"/>
    <w:rsid w:val="007928D9"/>
    <w:rsid w:val="007B0804"/>
    <w:rsid w:val="007D1450"/>
    <w:rsid w:val="007D4D56"/>
    <w:rsid w:val="007F42D6"/>
    <w:rsid w:val="0083222C"/>
    <w:rsid w:val="00861FB3"/>
    <w:rsid w:val="00874D23"/>
    <w:rsid w:val="00890430"/>
    <w:rsid w:val="008E3239"/>
    <w:rsid w:val="008F46F6"/>
    <w:rsid w:val="00900703"/>
    <w:rsid w:val="00911697"/>
    <w:rsid w:val="009135B8"/>
    <w:rsid w:val="00916A1A"/>
    <w:rsid w:val="009458BE"/>
    <w:rsid w:val="00953F09"/>
    <w:rsid w:val="00974564"/>
    <w:rsid w:val="0097524C"/>
    <w:rsid w:val="009A236D"/>
    <w:rsid w:val="009A7686"/>
    <w:rsid w:val="009C2B31"/>
    <w:rsid w:val="009C3136"/>
    <w:rsid w:val="009D400E"/>
    <w:rsid w:val="00A1238F"/>
    <w:rsid w:val="00A12E49"/>
    <w:rsid w:val="00A14BA0"/>
    <w:rsid w:val="00A16ACE"/>
    <w:rsid w:val="00A24DB0"/>
    <w:rsid w:val="00A3033C"/>
    <w:rsid w:val="00A329DE"/>
    <w:rsid w:val="00A343A0"/>
    <w:rsid w:val="00A56DA7"/>
    <w:rsid w:val="00A7549E"/>
    <w:rsid w:val="00A77D59"/>
    <w:rsid w:val="00A96140"/>
    <w:rsid w:val="00AA1AD7"/>
    <w:rsid w:val="00AB3EC6"/>
    <w:rsid w:val="00AC6971"/>
    <w:rsid w:val="00AD0A9D"/>
    <w:rsid w:val="00AE5F72"/>
    <w:rsid w:val="00B44D93"/>
    <w:rsid w:val="00B4653D"/>
    <w:rsid w:val="00B5571E"/>
    <w:rsid w:val="00B60C64"/>
    <w:rsid w:val="00B767B0"/>
    <w:rsid w:val="00BA4405"/>
    <w:rsid w:val="00BC0DA2"/>
    <w:rsid w:val="00BC1033"/>
    <w:rsid w:val="00BC17A6"/>
    <w:rsid w:val="00BD43F6"/>
    <w:rsid w:val="00BE6B15"/>
    <w:rsid w:val="00BF5EF1"/>
    <w:rsid w:val="00BF72E9"/>
    <w:rsid w:val="00C029D0"/>
    <w:rsid w:val="00C10469"/>
    <w:rsid w:val="00C33B47"/>
    <w:rsid w:val="00C4723F"/>
    <w:rsid w:val="00C71B4D"/>
    <w:rsid w:val="00C73DED"/>
    <w:rsid w:val="00C7631F"/>
    <w:rsid w:val="00CA3B2B"/>
    <w:rsid w:val="00CB22D0"/>
    <w:rsid w:val="00CC7F75"/>
    <w:rsid w:val="00CE6B0C"/>
    <w:rsid w:val="00D064C5"/>
    <w:rsid w:val="00D263C0"/>
    <w:rsid w:val="00D333F8"/>
    <w:rsid w:val="00D56DCC"/>
    <w:rsid w:val="00D644B2"/>
    <w:rsid w:val="00D90EDF"/>
    <w:rsid w:val="00DB548A"/>
    <w:rsid w:val="00DC788A"/>
    <w:rsid w:val="00E01D04"/>
    <w:rsid w:val="00E2032E"/>
    <w:rsid w:val="00E2364D"/>
    <w:rsid w:val="00E31CA4"/>
    <w:rsid w:val="00E4640C"/>
    <w:rsid w:val="00E56642"/>
    <w:rsid w:val="00E90E17"/>
    <w:rsid w:val="00E931F8"/>
    <w:rsid w:val="00EB0EFA"/>
    <w:rsid w:val="00EF5AFC"/>
    <w:rsid w:val="00EF684C"/>
    <w:rsid w:val="00F11BF2"/>
    <w:rsid w:val="00F144F0"/>
    <w:rsid w:val="00F24A64"/>
    <w:rsid w:val="00F43BCC"/>
    <w:rsid w:val="00FA1FDB"/>
    <w:rsid w:val="00FB4A5A"/>
    <w:rsid w:val="00FF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8E759"/>
  <w15:chartTrackingRefBased/>
  <w15:docId w15:val="{1503B63F-DA6A-514B-9D8E-301ADE48A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B17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B17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DPI13authornames">
    <w:name w:val="MDPI_1.3_authornames"/>
    <w:next w:val="Normalny"/>
    <w:qFormat/>
    <w:rsid w:val="001B178D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szCs w:val="22"/>
      <w:lang w:val="en-US" w:eastAsia="de-DE" w:bidi="en-US"/>
    </w:rPr>
  </w:style>
  <w:style w:type="character" w:customStyle="1" w:styleId="Nagwek2Znak">
    <w:name w:val="Nagłówek 2 Znak"/>
    <w:basedOn w:val="Domylnaczcionkaakapitu"/>
    <w:link w:val="Nagwek2"/>
    <w:uiPriority w:val="9"/>
    <w:rsid w:val="001B178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topka">
    <w:name w:val="footer"/>
    <w:basedOn w:val="Normalny"/>
    <w:link w:val="StopkaZnak"/>
    <w:uiPriority w:val="99"/>
    <w:unhideWhenUsed/>
    <w:rsid w:val="001B17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B178D"/>
  </w:style>
  <w:style w:type="character" w:styleId="Numerstrony">
    <w:name w:val="page number"/>
    <w:basedOn w:val="Domylnaczcionkaakapitu"/>
    <w:uiPriority w:val="99"/>
    <w:semiHidden/>
    <w:unhideWhenUsed/>
    <w:rsid w:val="001B178D"/>
  </w:style>
  <w:style w:type="character" w:customStyle="1" w:styleId="Nagwek1Znak">
    <w:name w:val="Nagłówek 1 Znak"/>
    <w:basedOn w:val="Domylnaczcionkaakapitu"/>
    <w:link w:val="Nagwek1"/>
    <w:uiPriority w:val="9"/>
    <w:rsid w:val="001B17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B178D"/>
    <w:pPr>
      <w:spacing w:before="480" w:line="276" w:lineRule="auto"/>
      <w:outlineLvl w:val="9"/>
    </w:pPr>
    <w:rPr>
      <w:b/>
      <w:bCs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1B178D"/>
    <w:pPr>
      <w:spacing w:before="120"/>
      <w:ind w:left="240"/>
    </w:pPr>
    <w:rPr>
      <w:rFonts w:cstheme="minorHAnsi"/>
      <w:b/>
      <w:bCs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1B178D"/>
    <w:rPr>
      <w:color w:val="0563C1" w:themeColor="hyperlink"/>
      <w:u w:val="single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B178D"/>
    <w:pPr>
      <w:spacing w:before="120"/>
    </w:pPr>
    <w:rPr>
      <w:rFonts w:cstheme="minorHAnsi"/>
      <w:b/>
      <w:bCs/>
      <w:i/>
      <w:iC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B178D"/>
    <w:pPr>
      <w:ind w:left="480"/>
    </w:pPr>
    <w:rPr>
      <w:rFonts w:cstheme="minorHAnsi"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B178D"/>
    <w:pPr>
      <w:ind w:left="720"/>
    </w:pPr>
    <w:rPr>
      <w:rFonts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B178D"/>
    <w:pPr>
      <w:ind w:left="960"/>
    </w:pPr>
    <w:rPr>
      <w:rFonts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B178D"/>
    <w:pPr>
      <w:ind w:left="1200"/>
    </w:pPr>
    <w:rPr>
      <w:rFonts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B178D"/>
    <w:pPr>
      <w:ind w:left="1440"/>
    </w:pPr>
    <w:rPr>
      <w:rFonts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B178D"/>
    <w:pPr>
      <w:ind w:left="1680"/>
    </w:pPr>
    <w:rPr>
      <w:rFonts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B178D"/>
    <w:pPr>
      <w:ind w:left="192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t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CFE796-0295-F849-B83A-7D80B7A5B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326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Szarpak</dc:creator>
  <cp:keywords/>
  <dc:description/>
  <cp:lastModifiedBy>Łukasz Szarpak</cp:lastModifiedBy>
  <cp:revision>1</cp:revision>
  <dcterms:created xsi:type="dcterms:W3CDTF">2022-01-04T12:00:00Z</dcterms:created>
  <dcterms:modified xsi:type="dcterms:W3CDTF">2022-01-04T12:10:00Z</dcterms:modified>
</cp:coreProperties>
</file>