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E4151" w14:textId="77777777" w:rsidR="00A211C1" w:rsidRPr="00F86AB4" w:rsidRDefault="00A211C1" w:rsidP="00A211C1">
      <w:pPr>
        <w:rPr>
          <w:rFonts w:ascii="Times New Roman" w:hAnsi="Times New Roman" w:cs="Times New Roman"/>
          <w:i/>
          <w:color w:val="000000" w:themeColor="text1"/>
          <w:sz w:val="36"/>
          <w:szCs w:val="32"/>
        </w:rPr>
      </w:pPr>
      <w:r w:rsidRPr="00F86AB4">
        <w:rPr>
          <w:rFonts w:ascii="Times New Roman" w:hAnsi="Times New Roman" w:cs="Times New Roman"/>
          <w:i/>
          <w:color w:val="000000" w:themeColor="text1"/>
          <w:sz w:val="36"/>
          <w:szCs w:val="32"/>
        </w:rPr>
        <w:t xml:space="preserve">ATAKSJA FRIEDREICHA – </w:t>
      </w:r>
    </w:p>
    <w:p w14:paraId="47BCBE4E" w14:textId="4C798C3F" w:rsidR="00A211C1" w:rsidRPr="00F86AB4" w:rsidRDefault="00A211C1" w:rsidP="00A211C1">
      <w:pPr>
        <w:rPr>
          <w:rFonts w:ascii="Times New Roman" w:hAnsi="Times New Roman" w:cs="Times New Roman"/>
          <w:i/>
          <w:color w:val="000000" w:themeColor="text1"/>
          <w:sz w:val="36"/>
          <w:szCs w:val="32"/>
        </w:rPr>
      </w:pPr>
      <w:r w:rsidRPr="00F86AB4">
        <w:rPr>
          <w:rFonts w:ascii="Times New Roman" w:hAnsi="Times New Roman" w:cs="Times New Roman"/>
          <w:i/>
          <w:color w:val="000000" w:themeColor="text1"/>
          <w:sz w:val="36"/>
          <w:szCs w:val="32"/>
        </w:rPr>
        <w:t>AKTUALNE SPOJRZENIE NA CHOROBĘ</w:t>
      </w:r>
    </w:p>
    <w:p w14:paraId="2AB85E73" w14:textId="77777777" w:rsidR="00F86AB4" w:rsidRDefault="00F86AB4" w:rsidP="00F86AB4">
      <w:pPr>
        <w:pStyle w:val="Standard"/>
        <w:rPr>
          <w:rFonts w:ascii="serif" w:hAnsi="serif"/>
        </w:rPr>
      </w:pPr>
    </w:p>
    <w:p w14:paraId="7F1C4750" w14:textId="0D665ADC" w:rsidR="00F86AB4" w:rsidRDefault="00F86AB4" w:rsidP="00F86AB4">
      <w:pPr>
        <w:pStyle w:val="Standard"/>
      </w:pPr>
      <w:r>
        <w:rPr>
          <w:rFonts w:ascii="serif" w:hAnsi="serif"/>
        </w:rPr>
        <w:t>Zuzanna Niwińska</w:t>
      </w:r>
    </w:p>
    <w:p w14:paraId="7AE8CCC2" w14:textId="1EFFEE27" w:rsidR="00F86AB4" w:rsidRDefault="00F86AB4" w:rsidP="00F86AB4">
      <w:pPr>
        <w:pStyle w:val="Standard"/>
        <w:rPr>
          <w:rFonts w:ascii="serif" w:hAnsi="serif"/>
          <w:sz w:val="20"/>
          <w:szCs w:val="20"/>
        </w:rPr>
      </w:pPr>
      <w:r>
        <w:rPr>
          <w:rFonts w:ascii="serif" w:hAnsi="serif"/>
          <w:sz w:val="20"/>
          <w:szCs w:val="20"/>
        </w:rPr>
        <w:t>Katedra i Klinika Neurologii Wieku Rozwojowego Uniwersytet Medyczny im. Karola Marcinkowskiego w Poznaniu</w:t>
      </w:r>
    </w:p>
    <w:p w14:paraId="5B6003AA" w14:textId="6AAE918F" w:rsidR="00F86AB4" w:rsidRDefault="00F86AB4" w:rsidP="00F86AB4">
      <w:pPr>
        <w:pStyle w:val="Standard"/>
      </w:pPr>
      <w:r>
        <w:t>ORCID 0000-0001-5562-146X</w:t>
      </w:r>
      <w:bookmarkStart w:id="0" w:name="_GoBack"/>
      <w:bookmarkEnd w:id="0"/>
    </w:p>
    <w:p w14:paraId="2EDD962C" w14:textId="77777777" w:rsidR="00A211C1" w:rsidRPr="008D7632" w:rsidRDefault="00A211C1" w:rsidP="00A211C1">
      <w:pPr>
        <w:pStyle w:val="Standard"/>
        <w:rPr>
          <w:rFonts w:ascii="serif" w:hAnsi="serif" w:hint="eastAsia"/>
          <w:color w:val="000000" w:themeColor="text1"/>
        </w:rPr>
      </w:pPr>
    </w:p>
    <w:p w14:paraId="05D6D5AD" w14:textId="77777777" w:rsidR="00A211C1" w:rsidRPr="008D7632" w:rsidRDefault="00A211C1" w:rsidP="00A211C1">
      <w:pPr>
        <w:pStyle w:val="Standard"/>
        <w:rPr>
          <w:rFonts w:ascii="serif" w:hAnsi="serif" w:hint="eastAsia"/>
          <w:color w:val="000000" w:themeColor="text1"/>
        </w:rPr>
      </w:pPr>
    </w:p>
    <w:p w14:paraId="1DD01076" w14:textId="77777777" w:rsidR="00A211C1" w:rsidRPr="008D7632" w:rsidRDefault="00A211C1" w:rsidP="00A211C1">
      <w:pPr>
        <w:rPr>
          <w:rFonts w:ascii="Times New Roman" w:hAnsi="Times New Roman" w:cs="Times New Roman"/>
          <w:b/>
          <w:bCs/>
          <w:color w:val="000000" w:themeColor="text1"/>
          <w:sz w:val="32"/>
          <w:szCs w:val="32"/>
        </w:rPr>
      </w:pPr>
      <w:r w:rsidRPr="008D7632">
        <w:rPr>
          <w:rFonts w:ascii="Times New Roman" w:hAnsi="Times New Roman" w:cs="Times New Roman"/>
          <w:b/>
          <w:bCs/>
          <w:color w:val="000000" w:themeColor="text1"/>
          <w:sz w:val="32"/>
          <w:szCs w:val="32"/>
        </w:rPr>
        <w:t>STRESZCZENIE</w:t>
      </w:r>
    </w:p>
    <w:p w14:paraId="521444B3" w14:textId="77777777" w:rsidR="00A211C1" w:rsidRPr="008D7632" w:rsidRDefault="00A211C1" w:rsidP="00A211C1">
      <w:pPr>
        <w:pStyle w:val="HTML-wstpniesformatowany"/>
        <w:rPr>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 xml:space="preserve">Ataksja </w:t>
      </w:r>
      <w:proofErr w:type="spellStart"/>
      <w:r w:rsidRPr="008D7632">
        <w:rPr>
          <w:rStyle w:val="y2iqfc"/>
          <w:rFonts w:ascii="Times New Roman" w:hAnsi="Times New Roman" w:cs="Times New Roman"/>
          <w:color w:val="000000" w:themeColor="text1"/>
          <w:sz w:val="24"/>
          <w:szCs w:val="24"/>
        </w:rPr>
        <w:t>Friedreicha</w:t>
      </w:r>
      <w:proofErr w:type="spellEnd"/>
      <w:r w:rsidRPr="008D7632">
        <w:rPr>
          <w:rStyle w:val="y2iqfc"/>
          <w:rFonts w:ascii="Times New Roman" w:hAnsi="Times New Roman" w:cs="Times New Roman"/>
          <w:color w:val="000000" w:themeColor="text1"/>
          <w:sz w:val="24"/>
          <w:szCs w:val="24"/>
        </w:rPr>
        <w:t xml:space="preserve"> (FA) spowodowana jest deficytami w produkcji </w:t>
      </w:r>
      <w:proofErr w:type="spellStart"/>
      <w:r w:rsidRPr="008D7632">
        <w:rPr>
          <w:rStyle w:val="y2iqfc"/>
          <w:rFonts w:ascii="Times New Roman" w:hAnsi="Times New Roman" w:cs="Times New Roman"/>
          <w:color w:val="000000" w:themeColor="text1"/>
          <w:sz w:val="24"/>
          <w:szCs w:val="24"/>
        </w:rPr>
        <w:t>frataksyny</w:t>
      </w:r>
      <w:proofErr w:type="spellEnd"/>
      <w:r w:rsidRPr="008D7632">
        <w:rPr>
          <w:rStyle w:val="y2iqfc"/>
          <w:rFonts w:ascii="Times New Roman" w:hAnsi="Times New Roman" w:cs="Times New Roman"/>
          <w:color w:val="000000" w:themeColor="text1"/>
          <w:sz w:val="24"/>
          <w:szCs w:val="24"/>
        </w:rPr>
        <w:t xml:space="preserve">, co skutkuje akumulacją żelaza w mitochondriach. Choroba ta </w:t>
      </w:r>
      <w:r w:rsidRPr="008D7632">
        <w:rPr>
          <w:rFonts w:ascii="Times New Roman" w:hAnsi="Times New Roman" w:cs="Times New Roman"/>
          <w:color w:val="000000" w:themeColor="text1"/>
          <w:sz w:val="24"/>
          <w:szCs w:val="24"/>
        </w:rPr>
        <w:t>prowadzi do postępującego zwyrodnienia niektórych części układu nerwowego, a także mięśnia sercowego. Na jej o</w:t>
      </w:r>
      <w:r w:rsidRPr="008D7632">
        <w:rPr>
          <w:rStyle w:val="y2iqfc"/>
          <w:rFonts w:ascii="Times New Roman" w:hAnsi="Times New Roman" w:cs="Times New Roman"/>
          <w:color w:val="000000" w:themeColor="text1"/>
          <w:sz w:val="24"/>
          <w:szCs w:val="24"/>
        </w:rPr>
        <w:t xml:space="preserve">braz kliniczny składa się szerokie spektrum objawów, jednak konsekwentnie obejmuje ataksję chodu i kończyn, dyzartrię i utratę odruchów głębokich w kończynach dolnych. </w:t>
      </w:r>
      <w:r w:rsidRPr="008D7632">
        <w:rPr>
          <w:rFonts w:ascii="Times New Roman" w:hAnsi="Times New Roman" w:cs="Times New Roman"/>
          <w:color w:val="000000" w:themeColor="text1"/>
          <w:sz w:val="24"/>
          <w:szCs w:val="24"/>
        </w:rPr>
        <w:t xml:space="preserve">Postępowanie w tej jednostce od lat koncentruje się na </w:t>
      </w:r>
      <w:proofErr w:type="spellStart"/>
      <w:r w:rsidRPr="008D7632">
        <w:rPr>
          <w:rFonts w:ascii="Times New Roman" w:hAnsi="Times New Roman" w:cs="Times New Roman"/>
          <w:color w:val="000000" w:themeColor="text1"/>
          <w:sz w:val="24"/>
          <w:szCs w:val="24"/>
        </w:rPr>
        <w:t>multidyscyplinarnym</w:t>
      </w:r>
      <w:proofErr w:type="spellEnd"/>
      <w:r w:rsidRPr="008D7632">
        <w:rPr>
          <w:rFonts w:ascii="Times New Roman" w:hAnsi="Times New Roman" w:cs="Times New Roman"/>
          <w:color w:val="000000" w:themeColor="text1"/>
          <w:sz w:val="24"/>
          <w:szCs w:val="24"/>
        </w:rPr>
        <w:t xml:space="preserve"> leczeniu objawowym. </w:t>
      </w:r>
      <w:r w:rsidRPr="008D7632">
        <w:rPr>
          <w:rStyle w:val="y2iqfc"/>
          <w:rFonts w:ascii="Times New Roman" w:hAnsi="Times New Roman" w:cs="Times New Roman"/>
          <w:color w:val="000000" w:themeColor="text1"/>
          <w:sz w:val="24"/>
          <w:szCs w:val="24"/>
        </w:rPr>
        <w:t xml:space="preserve">W lutym 2023 roku </w:t>
      </w:r>
      <w:r w:rsidRPr="008D7632">
        <w:rPr>
          <w:rStyle w:val="Uwydatnienie"/>
          <w:rFonts w:ascii="Times New Roman" w:hAnsi="Times New Roman" w:cs="Times New Roman"/>
          <w:color w:val="000000" w:themeColor="text1"/>
          <w:sz w:val="24"/>
          <w:szCs w:val="24"/>
        </w:rPr>
        <w:t xml:space="preserve">Food and </w:t>
      </w:r>
      <w:proofErr w:type="spellStart"/>
      <w:r w:rsidRPr="008D7632">
        <w:rPr>
          <w:rStyle w:val="Uwydatnienie"/>
          <w:rFonts w:ascii="Times New Roman" w:hAnsi="Times New Roman" w:cs="Times New Roman"/>
          <w:color w:val="000000" w:themeColor="text1"/>
          <w:sz w:val="24"/>
          <w:szCs w:val="24"/>
        </w:rPr>
        <w:t>Drug</w:t>
      </w:r>
      <w:proofErr w:type="spellEnd"/>
      <w:r w:rsidRPr="008D7632">
        <w:rPr>
          <w:rStyle w:val="Uwydatnienie"/>
          <w:rFonts w:ascii="Times New Roman" w:hAnsi="Times New Roman" w:cs="Times New Roman"/>
          <w:color w:val="000000" w:themeColor="text1"/>
          <w:sz w:val="24"/>
          <w:szCs w:val="24"/>
        </w:rPr>
        <w:t xml:space="preserve"> Administration</w:t>
      </w:r>
      <w:r w:rsidRPr="008D7632">
        <w:rPr>
          <w:rFonts w:ascii="Times New Roman" w:hAnsi="Times New Roman" w:cs="Times New Roman"/>
          <w:color w:val="000000" w:themeColor="text1"/>
          <w:sz w:val="24"/>
          <w:szCs w:val="24"/>
        </w:rPr>
        <w:t xml:space="preserve"> (</w:t>
      </w:r>
      <w:r w:rsidRPr="008D7632">
        <w:rPr>
          <w:rStyle w:val="y2iqfc"/>
          <w:rFonts w:ascii="Times New Roman" w:hAnsi="Times New Roman" w:cs="Times New Roman"/>
          <w:color w:val="000000" w:themeColor="text1"/>
          <w:sz w:val="24"/>
          <w:szCs w:val="24"/>
        </w:rPr>
        <w:t xml:space="preserve">FDA) zatwierdziła pierwszy i obecnie jedyny lek zarejestrowany w leczeniu FA. </w:t>
      </w:r>
      <w:proofErr w:type="spellStart"/>
      <w:r w:rsidRPr="008D7632">
        <w:rPr>
          <w:rStyle w:val="y2iqfc"/>
          <w:rFonts w:ascii="Times New Roman" w:hAnsi="Times New Roman" w:cs="Times New Roman"/>
          <w:color w:val="000000" w:themeColor="text1"/>
          <w:sz w:val="24"/>
          <w:szCs w:val="24"/>
        </w:rPr>
        <w:t>Omaweloksolon</w:t>
      </w:r>
      <w:proofErr w:type="spellEnd"/>
      <w:r w:rsidRPr="008D7632">
        <w:rPr>
          <w:rStyle w:val="y2iqfc"/>
          <w:rFonts w:ascii="Times New Roman" w:hAnsi="Times New Roman" w:cs="Times New Roman"/>
          <w:color w:val="000000" w:themeColor="text1"/>
          <w:sz w:val="24"/>
          <w:szCs w:val="24"/>
        </w:rPr>
        <w:t xml:space="preserve"> </w:t>
      </w:r>
      <w:r w:rsidRPr="008D7632">
        <w:rPr>
          <w:rFonts w:ascii="Times New Roman" w:hAnsi="Times New Roman" w:cs="Times New Roman"/>
          <w:color w:val="000000" w:themeColor="text1"/>
          <w:sz w:val="24"/>
          <w:szCs w:val="24"/>
        </w:rPr>
        <w:t xml:space="preserve">jest aktywatorem czynnika transkrypcyjnego Nrf2, który indukuje szlaki molekularne odpowiedzialne za przywrócenie funkcji mitochondriów, zmniejszenie stresu oksydacyjnego i hamowanie reakcji prozapalnej. </w:t>
      </w:r>
    </w:p>
    <w:p w14:paraId="6E9C6BF4" w14:textId="77777777" w:rsidR="00A211C1" w:rsidRPr="008D7632" w:rsidRDefault="00A211C1" w:rsidP="00A211C1">
      <w:pPr>
        <w:pStyle w:val="HTML-wstpniesformatowany"/>
        <w:rPr>
          <w:rFonts w:ascii="Times New Roman" w:hAnsi="Times New Roman" w:cs="Times New Roman"/>
          <w:color w:val="000000" w:themeColor="text1"/>
          <w:sz w:val="24"/>
          <w:szCs w:val="24"/>
        </w:rPr>
      </w:pPr>
      <w:r w:rsidRPr="008D7632">
        <w:rPr>
          <w:rFonts w:ascii="Times New Roman" w:hAnsi="Times New Roman" w:cs="Times New Roman"/>
          <w:b/>
          <w:color w:val="000000" w:themeColor="text1"/>
          <w:sz w:val="24"/>
          <w:szCs w:val="24"/>
        </w:rPr>
        <w:t>SŁOWA KLUCZOWE</w:t>
      </w:r>
      <w:r w:rsidRPr="008D7632">
        <w:rPr>
          <w:rFonts w:ascii="Times New Roman" w:hAnsi="Times New Roman" w:cs="Times New Roman"/>
          <w:color w:val="000000" w:themeColor="text1"/>
          <w:sz w:val="24"/>
          <w:szCs w:val="24"/>
        </w:rPr>
        <w:t xml:space="preserve">: ataksja </w:t>
      </w:r>
      <w:proofErr w:type="spellStart"/>
      <w:r w:rsidRPr="008D7632">
        <w:rPr>
          <w:rFonts w:ascii="Times New Roman" w:hAnsi="Times New Roman" w:cs="Times New Roman"/>
          <w:color w:val="000000" w:themeColor="text1"/>
          <w:sz w:val="24"/>
          <w:szCs w:val="24"/>
        </w:rPr>
        <w:t>Friedreicha</w:t>
      </w:r>
      <w:proofErr w:type="spellEnd"/>
      <w:r w:rsidRPr="008D7632">
        <w:rPr>
          <w:rFonts w:ascii="Times New Roman" w:hAnsi="Times New Roman" w:cs="Times New Roman"/>
          <w:color w:val="000000" w:themeColor="text1"/>
          <w:sz w:val="24"/>
          <w:szCs w:val="24"/>
        </w:rPr>
        <w:t xml:space="preserve">, </w:t>
      </w:r>
      <w:proofErr w:type="spellStart"/>
      <w:r w:rsidRPr="008D7632">
        <w:rPr>
          <w:rFonts w:ascii="Times New Roman" w:hAnsi="Times New Roman" w:cs="Times New Roman"/>
          <w:color w:val="000000" w:themeColor="text1"/>
          <w:sz w:val="24"/>
          <w:szCs w:val="24"/>
        </w:rPr>
        <w:t>frataksyna</w:t>
      </w:r>
      <w:proofErr w:type="spellEnd"/>
      <w:r w:rsidRPr="008D7632">
        <w:rPr>
          <w:rFonts w:ascii="Times New Roman" w:hAnsi="Times New Roman" w:cs="Times New Roman"/>
          <w:color w:val="000000" w:themeColor="text1"/>
          <w:sz w:val="24"/>
          <w:szCs w:val="24"/>
        </w:rPr>
        <w:t xml:space="preserve">, </w:t>
      </w:r>
      <w:proofErr w:type="spellStart"/>
      <w:r w:rsidRPr="008D7632">
        <w:rPr>
          <w:rFonts w:ascii="Times New Roman" w:hAnsi="Times New Roman" w:cs="Times New Roman"/>
          <w:color w:val="000000" w:themeColor="text1"/>
          <w:sz w:val="24"/>
          <w:szCs w:val="24"/>
        </w:rPr>
        <w:t>omaweloksolon</w:t>
      </w:r>
      <w:proofErr w:type="spellEnd"/>
    </w:p>
    <w:p w14:paraId="01E6632F" w14:textId="77777777" w:rsidR="00A211C1" w:rsidRPr="008D7632" w:rsidRDefault="00A211C1" w:rsidP="00A211C1">
      <w:pPr>
        <w:rPr>
          <w:rFonts w:ascii="Times New Roman" w:hAnsi="Times New Roman" w:cs="Times New Roman"/>
          <w:color w:val="000000" w:themeColor="text1"/>
        </w:rPr>
      </w:pPr>
    </w:p>
    <w:p w14:paraId="7E77B925" w14:textId="77777777" w:rsidR="00A211C1" w:rsidRPr="008D7632" w:rsidRDefault="00A211C1" w:rsidP="00A211C1">
      <w:pPr>
        <w:rPr>
          <w:rFonts w:ascii="Times New Roman" w:hAnsi="Times New Roman" w:cs="Times New Roman"/>
          <w:b/>
          <w:bCs/>
          <w:color w:val="000000" w:themeColor="text1"/>
          <w:sz w:val="32"/>
          <w:szCs w:val="32"/>
        </w:rPr>
      </w:pPr>
      <w:r w:rsidRPr="008D7632">
        <w:rPr>
          <w:rFonts w:ascii="Times New Roman" w:hAnsi="Times New Roman" w:cs="Times New Roman"/>
          <w:b/>
          <w:bCs/>
          <w:color w:val="000000" w:themeColor="text1"/>
          <w:sz w:val="32"/>
          <w:szCs w:val="32"/>
        </w:rPr>
        <w:t>ABSTRACT</w:t>
      </w:r>
    </w:p>
    <w:p w14:paraId="5206ADB0" w14:textId="77777777" w:rsidR="00A211C1" w:rsidRPr="008D7632" w:rsidRDefault="00A211C1" w:rsidP="00A2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kern w:val="0"/>
          <w:sz w:val="24"/>
          <w:szCs w:val="24"/>
          <w:lang w:val="en" w:eastAsia="pl-PL"/>
          <w14:ligatures w14:val="none"/>
        </w:rPr>
      </w:pPr>
      <w:r w:rsidRPr="008D7632">
        <w:rPr>
          <w:rFonts w:ascii="Times New Roman" w:eastAsia="Times New Roman" w:hAnsi="Times New Roman" w:cs="Times New Roman"/>
          <w:color w:val="000000" w:themeColor="text1"/>
          <w:kern w:val="0"/>
          <w:sz w:val="24"/>
          <w:szCs w:val="24"/>
          <w:lang w:val="en" w:eastAsia="pl-PL"/>
          <w14:ligatures w14:val="none"/>
        </w:rPr>
        <w:t xml:space="preserve">Friedreich's ataxia (FA) is caused by deficits in frataxin production, which results in the accumulation of iron in the mitochondria. This disease leads to progressive degeneration of some parts of the nervous system and the heart muscle. Its clinical picture consists of a wide spectrum of symptoms, but consistently includes ataxia of gait and limbs, dysarthria and loss of deep reflexes in the lower limbs. For years management in this unit has focused on multidisciplinary symptomatic treatment. In February 2023, the Food and Drug Administration (FDA) approved the first and currently only drug approved for the treatment of FA. </w:t>
      </w:r>
      <w:proofErr w:type="spellStart"/>
      <w:r w:rsidRPr="008D7632">
        <w:rPr>
          <w:rFonts w:ascii="Times New Roman" w:eastAsia="Times New Roman" w:hAnsi="Times New Roman" w:cs="Times New Roman"/>
          <w:color w:val="000000" w:themeColor="text1"/>
          <w:kern w:val="0"/>
          <w:sz w:val="24"/>
          <w:szCs w:val="24"/>
          <w:lang w:val="en" w:eastAsia="pl-PL"/>
          <w14:ligatures w14:val="none"/>
        </w:rPr>
        <w:t>Omaveloxolone</w:t>
      </w:r>
      <w:proofErr w:type="spellEnd"/>
      <w:r w:rsidRPr="008D7632">
        <w:rPr>
          <w:rFonts w:ascii="Times New Roman" w:eastAsia="Times New Roman" w:hAnsi="Times New Roman" w:cs="Times New Roman"/>
          <w:color w:val="000000" w:themeColor="text1"/>
          <w:kern w:val="0"/>
          <w:sz w:val="24"/>
          <w:szCs w:val="24"/>
          <w:lang w:val="en" w:eastAsia="pl-PL"/>
          <w14:ligatures w14:val="none"/>
        </w:rPr>
        <w:t xml:space="preserve"> is an activator of the Nrf2 transcription factor, which induces molecular pathways responsible for restoring mitochondrial function, reducing oxidative stress and inhibiting the pro-inflammatory reaction.</w:t>
      </w:r>
    </w:p>
    <w:p w14:paraId="65422369" w14:textId="77777777" w:rsidR="00A211C1" w:rsidRPr="008D7632" w:rsidRDefault="00A211C1" w:rsidP="00A2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8D7632">
        <w:rPr>
          <w:rFonts w:ascii="Times New Roman" w:eastAsia="Times New Roman" w:hAnsi="Times New Roman" w:cs="Times New Roman"/>
          <w:b/>
          <w:color w:val="000000" w:themeColor="text1"/>
          <w:kern w:val="0"/>
          <w:sz w:val="24"/>
          <w:szCs w:val="24"/>
          <w:lang w:eastAsia="pl-PL"/>
          <w14:ligatures w14:val="none"/>
        </w:rPr>
        <w:t>KEY WORDS:</w:t>
      </w:r>
      <w:r w:rsidRPr="008D7632">
        <w:rPr>
          <w:rFonts w:ascii="Times New Roman" w:eastAsia="Times New Roman" w:hAnsi="Times New Roman" w:cs="Times New Roman"/>
          <w:color w:val="000000" w:themeColor="text1"/>
          <w:kern w:val="0"/>
          <w:sz w:val="24"/>
          <w:szCs w:val="24"/>
          <w:lang w:eastAsia="pl-PL"/>
          <w14:ligatures w14:val="none"/>
        </w:rPr>
        <w:t xml:space="preserve"> </w:t>
      </w:r>
      <w:r w:rsidRPr="008D7632">
        <w:rPr>
          <w:rFonts w:ascii="Times New Roman" w:eastAsia="Times New Roman" w:hAnsi="Times New Roman" w:cs="Times New Roman"/>
          <w:color w:val="000000" w:themeColor="text1"/>
          <w:kern w:val="0"/>
          <w:sz w:val="24"/>
          <w:szCs w:val="24"/>
          <w:lang w:val="en" w:eastAsia="pl-PL"/>
          <w14:ligatures w14:val="none"/>
        </w:rPr>
        <w:t xml:space="preserve">Friedreich's ataxia, frataxin, </w:t>
      </w:r>
      <w:proofErr w:type="spellStart"/>
      <w:r w:rsidRPr="008D7632">
        <w:rPr>
          <w:rFonts w:ascii="Times New Roman" w:eastAsia="Times New Roman" w:hAnsi="Times New Roman" w:cs="Times New Roman"/>
          <w:color w:val="000000" w:themeColor="text1"/>
          <w:kern w:val="0"/>
          <w:sz w:val="24"/>
          <w:szCs w:val="24"/>
          <w:lang w:val="en" w:eastAsia="pl-PL"/>
          <w14:ligatures w14:val="none"/>
        </w:rPr>
        <w:t>omaveloxolone</w:t>
      </w:r>
      <w:proofErr w:type="spellEnd"/>
    </w:p>
    <w:p w14:paraId="35555141" w14:textId="77777777" w:rsidR="00A211C1" w:rsidRPr="008D7632" w:rsidRDefault="00A211C1" w:rsidP="00A211C1">
      <w:pPr>
        <w:rPr>
          <w:rFonts w:ascii="Times New Roman" w:hAnsi="Times New Roman" w:cs="Times New Roman"/>
          <w:b/>
          <w:bCs/>
          <w:color w:val="000000" w:themeColor="text1"/>
          <w:sz w:val="32"/>
          <w:szCs w:val="32"/>
        </w:rPr>
      </w:pPr>
    </w:p>
    <w:p w14:paraId="251B09D9" w14:textId="77777777" w:rsidR="00A211C1" w:rsidRPr="008D7632" w:rsidRDefault="00A211C1" w:rsidP="00A211C1">
      <w:pPr>
        <w:rPr>
          <w:rFonts w:ascii="Times New Roman" w:hAnsi="Times New Roman" w:cs="Times New Roman"/>
          <w:b/>
          <w:bCs/>
          <w:color w:val="000000" w:themeColor="text1"/>
          <w:sz w:val="32"/>
          <w:szCs w:val="32"/>
        </w:rPr>
      </w:pPr>
    </w:p>
    <w:p w14:paraId="19559E81" w14:textId="77777777" w:rsidR="00A211C1" w:rsidRPr="008D7632" w:rsidRDefault="00A211C1" w:rsidP="00A211C1">
      <w:pPr>
        <w:rPr>
          <w:rFonts w:ascii="Times New Roman" w:hAnsi="Times New Roman" w:cs="Times New Roman"/>
          <w:b/>
          <w:bCs/>
          <w:color w:val="000000" w:themeColor="text1"/>
        </w:rPr>
      </w:pPr>
      <w:r w:rsidRPr="008D7632">
        <w:rPr>
          <w:rFonts w:ascii="Times New Roman" w:hAnsi="Times New Roman" w:cs="Times New Roman"/>
          <w:b/>
          <w:bCs/>
          <w:color w:val="000000" w:themeColor="text1"/>
          <w:sz w:val="32"/>
          <w:szCs w:val="32"/>
        </w:rPr>
        <w:t>WPROWADZENIE</w:t>
      </w:r>
    </w:p>
    <w:p w14:paraId="04AE7815" w14:textId="77777777" w:rsidR="00A211C1" w:rsidRPr="008D7632" w:rsidRDefault="00A211C1" w:rsidP="00A211C1">
      <w:pPr>
        <w:pStyle w:val="HTML-wstpniesformatowany"/>
        <w:rPr>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FA jest zaburzeniem wieloukładowym dziedziczonym w sposób autosomalnie recesywny. Stanowi najczęstszą dziedziczną ataksję w Europie, o zmiennym udziale występowania pod względem geograficznym - od 1 na 20 000 osób w południowo-zachodniej Europie do 1 na 250 000 osób w północnej i wschodniej Europie [1]. W</w:t>
      </w:r>
      <w:r w:rsidRPr="008D7632">
        <w:rPr>
          <w:rFonts w:ascii="Times New Roman" w:hAnsi="Times New Roman" w:cs="Times New Roman"/>
          <w:color w:val="000000" w:themeColor="text1"/>
          <w:sz w:val="24"/>
          <w:szCs w:val="24"/>
        </w:rPr>
        <w:t xml:space="preserve"> Stanach Zjednoczonych dotyka 1 na 50 000–100 000 osób [2]. </w:t>
      </w:r>
    </w:p>
    <w:p w14:paraId="34418077" w14:textId="77777777" w:rsidR="00A211C1" w:rsidRPr="008D7632" w:rsidRDefault="00A211C1" w:rsidP="00A211C1">
      <w:pPr>
        <w:pStyle w:val="HTML-wstpniesformatowany"/>
        <w:rPr>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lastRenderedPageBreak/>
        <w:t xml:space="preserve">Od czasu pierwszego opisu choroby dokonanego przez </w:t>
      </w:r>
      <w:proofErr w:type="spellStart"/>
      <w:r w:rsidRPr="008D7632">
        <w:rPr>
          <w:rStyle w:val="y2iqfc"/>
          <w:rFonts w:ascii="Times New Roman" w:hAnsi="Times New Roman" w:cs="Times New Roman"/>
          <w:color w:val="000000" w:themeColor="text1"/>
          <w:sz w:val="24"/>
          <w:szCs w:val="24"/>
        </w:rPr>
        <w:t>Nicholausa</w:t>
      </w:r>
      <w:proofErr w:type="spellEnd"/>
      <w:r w:rsidRPr="008D7632">
        <w:rPr>
          <w:rStyle w:val="y2iqfc"/>
          <w:rFonts w:ascii="Times New Roman" w:hAnsi="Times New Roman" w:cs="Times New Roman"/>
          <w:color w:val="000000" w:themeColor="text1"/>
          <w:sz w:val="24"/>
          <w:szCs w:val="24"/>
        </w:rPr>
        <w:t xml:space="preserve"> </w:t>
      </w:r>
      <w:proofErr w:type="spellStart"/>
      <w:r w:rsidRPr="008D7632">
        <w:rPr>
          <w:rStyle w:val="y2iqfc"/>
          <w:rFonts w:ascii="Times New Roman" w:hAnsi="Times New Roman" w:cs="Times New Roman"/>
          <w:color w:val="000000" w:themeColor="text1"/>
          <w:sz w:val="24"/>
          <w:szCs w:val="24"/>
        </w:rPr>
        <w:t>Friedreicha</w:t>
      </w:r>
      <w:proofErr w:type="spellEnd"/>
      <w:r w:rsidRPr="008D7632">
        <w:rPr>
          <w:rStyle w:val="y2iqfc"/>
          <w:rFonts w:ascii="Times New Roman" w:hAnsi="Times New Roman" w:cs="Times New Roman"/>
          <w:color w:val="000000" w:themeColor="text1"/>
          <w:sz w:val="24"/>
          <w:szCs w:val="24"/>
        </w:rPr>
        <w:t xml:space="preserve"> w 1863 r., rozumienie genetycznej etiologii, patofizjologii i manifestacji klinicznej znacznie się rozwinęło. Odkrycie mutacji sprawczej w 1996 r. pozwoliło neurologom na dalsze poszerzenie i udoskonalenie wiedzy na temat fenotypu FA [1, 3]. </w:t>
      </w:r>
    </w:p>
    <w:p w14:paraId="4FEA2FF8" w14:textId="77777777" w:rsidR="00A211C1" w:rsidRPr="008D7632" w:rsidRDefault="00A211C1" w:rsidP="00A211C1">
      <w:pPr>
        <w:pStyle w:val="HTML-wstpniesformatowany"/>
        <w:rPr>
          <w:rStyle w:val="y2iqfc"/>
          <w:rFonts w:ascii="Times New Roman" w:eastAsiaTheme="majorEastAsia" w:hAnsi="Times New Roman" w:cs="Times New Roman"/>
          <w:color w:val="000000" w:themeColor="text1"/>
          <w:sz w:val="24"/>
          <w:szCs w:val="24"/>
        </w:rPr>
      </w:pPr>
      <w:r w:rsidRPr="008D7632">
        <w:rPr>
          <w:rStyle w:val="y2iqfc"/>
          <w:rFonts w:ascii="Times New Roman" w:eastAsiaTheme="majorEastAsia" w:hAnsi="Times New Roman" w:cs="Times New Roman"/>
          <w:color w:val="000000" w:themeColor="text1"/>
          <w:sz w:val="24"/>
          <w:szCs w:val="24"/>
        </w:rPr>
        <w:t xml:space="preserve">U niemal wszystkich pacjentów z FA (96-98%) występują ekspansje powtórzeń guanina-adenina-adenina (GAA) w pierwszym intronie obu alleli genu FXN ramienia długiego chromosomu 9, podczas gdy u pozostałych w jednym z alleli obserwuje się ekspansję powtórzeń GAA, w drugim mutację punktową lub delecję [2]. Prawidłowe allele posiadają 35 lub mniej powtórzeń GAA, podczas gdy allele chorobotwórcze mają, w zależności od źródła, od 66 do 1700 [1] lub od 600 do 900 powtórzeń [4]. </w:t>
      </w:r>
      <w:r w:rsidRPr="008D7632">
        <w:rPr>
          <w:rStyle w:val="y2iqfc"/>
          <w:rFonts w:ascii="Times New Roman" w:hAnsi="Times New Roman" w:cs="Times New Roman"/>
          <w:color w:val="000000" w:themeColor="text1"/>
          <w:sz w:val="24"/>
          <w:szCs w:val="24"/>
        </w:rPr>
        <w:t xml:space="preserve">Heterozygotyczni nosiciele są zdrowi, a wskaźnik nosicielstwa wśród Europejczyków wynosi w przybliżeniu 1 na 85 [1]. Chociaż wiek, w którym obserwuje się pierwsze objawy skorelowany jest z długością powtórzeń GAA. Korelacja ta nie jest na tyle wysoka, aby można ją było wykorzystać do prognozowania wieku wystąpienia pierwszych objawów u pacjenta [2]. </w:t>
      </w:r>
    </w:p>
    <w:p w14:paraId="663F15A8" w14:textId="77777777" w:rsidR="00A211C1" w:rsidRPr="008D7632" w:rsidRDefault="00A211C1" w:rsidP="00A211C1">
      <w:pPr>
        <w:pStyle w:val="HTML-wstpniesformatowany"/>
        <w:rPr>
          <w:rStyle w:val="y2iqfc"/>
          <w:rFonts w:ascii="Times New Roman" w:eastAsiaTheme="majorEastAsia" w:hAnsi="Times New Roman" w:cs="Times New Roman"/>
          <w:color w:val="000000" w:themeColor="text1"/>
          <w:sz w:val="24"/>
          <w:szCs w:val="24"/>
        </w:rPr>
      </w:pPr>
      <w:proofErr w:type="spellStart"/>
      <w:r w:rsidRPr="008D7632">
        <w:rPr>
          <w:rStyle w:val="y2iqfc"/>
          <w:rFonts w:ascii="Times New Roman" w:hAnsi="Times New Roman" w:cs="Times New Roman"/>
          <w:color w:val="000000" w:themeColor="text1"/>
          <w:sz w:val="24"/>
          <w:szCs w:val="24"/>
        </w:rPr>
        <w:t>Intronowa</w:t>
      </w:r>
      <w:proofErr w:type="spellEnd"/>
      <w:r w:rsidRPr="008D7632">
        <w:rPr>
          <w:rStyle w:val="y2iqfc"/>
          <w:rFonts w:ascii="Times New Roman" w:hAnsi="Times New Roman" w:cs="Times New Roman"/>
          <w:color w:val="000000" w:themeColor="text1"/>
          <w:sz w:val="24"/>
          <w:szCs w:val="24"/>
        </w:rPr>
        <w:t xml:space="preserve"> ekspansja GAA wycisza gen FXN, co skutkuje patologicznie obniżonymi poziomami </w:t>
      </w:r>
      <w:proofErr w:type="spellStart"/>
      <w:r w:rsidRPr="008D7632">
        <w:rPr>
          <w:rStyle w:val="y2iqfc"/>
          <w:rFonts w:ascii="Times New Roman" w:hAnsi="Times New Roman" w:cs="Times New Roman"/>
          <w:color w:val="000000" w:themeColor="text1"/>
          <w:sz w:val="24"/>
          <w:szCs w:val="24"/>
        </w:rPr>
        <w:t>frataksyny</w:t>
      </w:r>
      <w:proofErr w:type="spellEnd"/>
      <w:r w:rsidRPr="008D7632">
        <w:rPr>
          <w:rStyle w:val="y2iqfc"/>
          <w:rFonts w:ascii="Times New Roman" w:hAnsi="Times New Roman" w:cs="Times New Roman"/>
          <w:color w:val="000000" w:themeColor="text1"/>
          <w:sz w:val="24"/>
          <w:szCs w:val="24"/>
        </w:rPr>
        <w:t xml:space="preserve"> -</w:t>
      </w:r>
      <w:r w:rsidRPr="008D7632">
        <w:rPr>
          <w:rFonts w:ascii="Times New Roman" w:hAnsi="Times New Roman" w:cs="Times New Roman"/>
          <w:color w:val="000000" w:themeColor="text1"/>
          <w:sz w:val="24"/>
          <w:szCs w:val="24"/>
        </w:rPr>
        <w:t xml:space="preserve"> białka mitochondrialnego, występującego w całym organizmie, które odgrywa istotną rolę w homeostazie żelaza i łagodzeniu skutków stresu oksydacyjnego [5, 6]. </w:t>
      </w:r>
      <w:r w:rsidRPr="008D7632">
        <w:rPr>
          <w:rStyle w:val="y2iqfc"/>
          <w:rFonts w:ascii="Times New Roman" w:eastAsiaTheme="majorEastAsia" w:hAnsi="Times New Roman" w:cs="Times New Roman"/>
          <w:color w:val="000000" w:themeColor="text1"/>
          <w:sz w:val="24"/>
          <w:szCs w:val="24"/>
        </w:rPr>
        <w:t xml:space="preserve">W FA niedobór </w:t>
      </w:r>
      <w:proofErr w:type="spellStart"/>
      <w:r w:rsidRPr="008D7632">
        <w:rPr>
          <w:rStyle w:val="y2iqfc"/>
          <w:rFonts w:ascii="Times New Roman" w:eastAsiaTheme="majorEastAsia" w:hAnsi="Times New Roman" w:cs="Times New Roman"/>
          <w:color w:val="000000" w:themeColor="text1"/>
          <w:sz w:val="24"/>
          <w:szCs w:val="24"/>
        </w:rPr>
        <w:t>frataksyny</w:t>
      </w:r>
      <w:proofErr w:type="spellEnd"/>
      <w:r w:rsidRPr="008D7632">
        <w:rPr>
          <w:rStyle w:val="y2iqfc"/>
          <w:rFonts w:ascii="Times New Roman" w:eastAsiaTheme="majorEastAsia" w:hAnsi="Times New Roman" w:cs="Times New Roman"/>
          <w:color w:val="000000" w:themeColor="text1"/>
          <w:sz w:val="24"/>
          <w:szCs w:val="24"/>
        </w:rPr>
        <w:t xml:space="preserve"> prowadzi do zmniejszenia produkcji ATP przez związki żelazowo-siarkowe, odkładanie żelaza w mitochondriach, zwiększoną produkcję reaktywnych form tlenu, </w:t>
      </w:r>
      <w:r w:rsidRPr="008D7632">
        <w:rPr>
          <w:rStyle w:val="y2iqfc"/>
          <w:rFonts w:ascii="Times New Roman" w:hAnsi="Times New Roman" w:cs="Times New Roman"/>
          <w:color w:val="000000" w:themeColor="text1"/>
          <w:sz w:val="24"/>
          <w:szCs w:val="24"/>
        </w:rPr>
        <w:t>co skutkuje większym obciążeniem stresem oksydacyjnym [1, 5].</w:t>
      </w:r>
    </w:p>
    <w:p w14:paraId="1D2EC2B2" w14:textId="77777777" w:rsidR="00A211C1" w:rsidRPr="008D7632" w:rsidRDefault="00A211C1" w:rsidP="00A211C1">
      <w:pPr>
        <w:pStyle w:val="HTML-wstpniesformatowany"/>
        <w:rPr>
          <w:rStyle w:val="y2iqfc"/>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 xml:space="preserve">Rola wewnątrzkomórkowej akumulacji żelaza w populacjach </w:t>
      </w:r>
      <w:proofErr w:type="spellStart"/>
      <w:r w:rsidRPr="008D7632">
        <w:rPr>
          <w:rStyle w:val="y2iqfc"/>
          <w:rFonts w:ascii="Times New Roman" w:hAnsi="Times New Roman" w:cs="Times New Roman"/>
          <w:color w:val="000000" w:themeColor="text1"/>
          <w:sz w:val="24"/>
          <w:szCs w:val="24"/>
        </w:rPr>
        <w:t>mikrogleju</w:t>
      </w:r>
      <w:proofErr w:type="spellEnd"/>
      <w:r w:rsidRPr="008D7632">
        <w:rPr>
          <w:rStyle w:val="y2iqfc"/>
          <w:rFonts w:ascii="Times New Roman" w:hAnsi="Times New Roman" w:cs="Times New Roman"/>
          <w:color w:val="000000" w:themeColor="text1"/>
          <w:sz w:val="24"/>
          <w:szCs w:val="24"/>
        </w:rPr>
        <w:t xml:space="preserve"> może skutkować upośledzonym wsparciem troficznym neuronów [1, 2]. W ośrodkowym układzie nerwowym (OUN) najbardziej dotkniętymi obszarami stają się móżdżek i rdzeń kręgowy. Zanik rogu grzbietowego rdzenia kręgowego występuje jako pierwszy, mając miejsce we wczesnym dzieciństwie, dlatego uważa się, że FA jest zaburzeniem </w:t>
      </w:r>
      <w:proofErr w:type="spellStart"/>
      <w:r w:rsidRPr="008D7632">
        <w:rPr>
          <w:rStyle w:val="y2iqfc"/>
          <w:rFonts w:ascii="Times New Roman" w:hAnsi="Times New Roman" w:cs="Times New Roman"/>
          <w:color w:val="000000" w:themeColor="text1"/>
          <w:sz w:val="24"/>
          <w:szCs w:val="24"/>
        </w:rPr>
        <w:t>neurorozwojowym</w:t>
      </w:r>
      <w:proofErr w:type="spellEnd"/>
      <w:r w:rsidRPr="008D7632">
        <w:rPr>
          <w:rStyle w:val="y2iqfc"/>
          <w:rFonts w:ascii="Times New Roman" w:hAnsi="Times New Roman" w:cs="Times New Roman"/>
          <w:color w:val="000000" w:themeColor="text1"/>
          <w:sz w:val="24"/>
          <w:szCs w:val="24"/>
        </w:rPr>
        <w:t xml:space="preserve">. W późniejszych stadiach postępująca </w:t>
      </w:r>
      <w:proofErr w:type="spellStart"/>
      <w:r w:rsidRPr="008D7632">
        <w:rPr>
          <w:rStyle w:val="y2iqfc"/>
          <w:rFonts w:ascii="Times New Roman" w:hAnsi="Times New Roman" w:cs="Times New Roman"/>
          <w:color w:val="000000" w:themeColor="text1"/>
          <w:sz w:val="24"/>
          <w:szCs w:val="24"/>
        </w:rPr>
        <w:t>neurodegeneracja</w:t>
      </w:r>
      <w:proofErr w:type="spellEnd"/>
      <w:r w:rsidRPr="008D7632">
        <w:rPr>
          <w:rStyle w:val="y2iqfc"/>
          <w:rFonts w:ascii="Times New Roman" w:hAnsi="Times New Roman" w:cs="Times New Roman"/>
          <w:color w:val="000000" w:themeColor="text1"/>
          <w:sz w:val="24"/>
          <w:szCs w:val="24"/>
        </w:rPr>
        <w:t xml:space="preserve"> obejmuje móżdżek, zwłaszcza jądro zębate [4].</w:t>
      </w:r>
    </w:p>
    <w:p w14:paraId="25EFF963" w14:textId="77777777" w:rsidR="00A211C1" w:rsidRPr="008D7632" w:rsidRDefault="00A211C1" w:rsidP="00A211C1">
      <w:pPr>
        <w:pStyle w:val="HTML-wstpniesformatowany"/>
        <w:rPr>
          <w:rStyle w:val="y2iqfc"/>
          <w:rFonts w:ascii="Times New Roman" w:hAnsi="Times New Roman" w:cs="Times New Roman"/>
          <w:color w:val="000000" w:themeColor="text1"/>
          <w:sz w:val="24"/>
          <w:szCs w:val="24"/>
        </w:rPr>
      </w:pPr>
    </w:p>
    <w:p w14:paraId="023F12D3" w14:textId="77777777" w:rsidR="00A211C1" w:rsidRPr="008D7632" w:rsidRDefault="00A211C1" w:rsidP="00A211C1">
      <w:pPr>
        <w:rPr>
          <w:rStyle w:val="y2iqfc"/>
          <w:rFonts w:ascii="Times New Roman" w:hAnsi="Times New Roman" w:cs="Times New Roman"/>
          <w:color w:val="000000" w:themeColor="text1"/>
          <w:sz w:val="24"/>
          <w:szCs w:val="24"/>
        </w:rPr>
      </w:pPr>
    </w:p>
    <w:p w14:paraId="48C1E38C" w14:textId="77777777" w:rsidR="00A211C1" w:rsidRPr="008D7632" w:rsidRDefault="00A211C1" w:rsidP="00A211C1">
      <w:pPr>
        <w:rPr>
          <w:rFonts w:ascii="Times New Roman" w:hAnsi="Times New Roman" w:cs="Times New Roman"/>
          <w:b/>
          <w:bCs/>
          <w:color w:val="000000" w:themeColor="text1"/>
          <w:sz w:val="32"/>
          <w:szCs w:val="32"/>
        </w:rPr>
      </w:pPr>
      <w:r w:rsidRPr="008D7632">
        <w:rPr>
          <w:rFonts w:ascii="Times New Roman" w:hAnsi="Times New Roman" w:cs="Times New Roman"/>
          <w:b/>
          <w:bCs/>
          <w:color w:val="000000" w:themeColor="text1"/>
          <w:sz w:val="32"/>
          <w:szCs w:val="32"/>
        </w:rPr>
        <w:t>OBJAWY I SKALE KLINICZNE</w:t>
      </w:r>
    </w:p>
    <w:p w14:paraId="2D90B19D" w14:textId="05B910DE" w:rsidR="00E36E05" w:rsidRPr="008D7632" w:rsidRDefault="00A211C1" w:rsidP="005C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kern w:val="0"/>
          <w:sz w:val="24"/>
          <w:szCs w:val="24"/>
          <w:lang w:eastAsia="pl-PL"/>
          <w14:ligatures w14:val="none"/>
        </w:rPr>
      </w:pPr>
      <w:r w:rsidRPr="008D7632">
        <w:rPr>
          <w:rStyle w:val="y2iqfc"/>
          <w:rFonts w:ascii="Times New Roman" w:hAnsi="Times New Roman" w:cs="Times New Roman"/>
          <w:color w:val="000000" w:themeColor="text1"/>
          <w:sz w:val="24"/>
          <w:szCs w:val="24"/>
        </w:rPr>
        <w:t xml:space="preserve">FA jest zaburzeniem wieloukładowym z objawami z zakresu ośrodkowego jak i obwodowego  układu nerwowego, układu mięśniowo-szkieletowego, mięśnia sercowego i wydzielania wewnętrznego trzustki. Podczas gdy „klasyczny” fenotyp FA znacznie się różni, ataksja chodu i kończyn, dyzartria i utrata odruchów z kończyn dolnych z głęboką utratą czucia są </w:t>
      </w:r>
      <w:r w:rsidR="0011195D" w:rsidRPr="008D7632">
        <w:rPr>
          <w:rStyle w:val="y2iqfc"/>
          <w:rFonts w:ascii="Times New Roman" w:hAnsi="Times New Roman" w:cs="Times New Roman"/>
          <w:color w:val="000000" w:themeColor="text1"/>
          <w:sz w:val="24"/>
          <w:szCs w:val="24"/>
        </w:rPr>
        <w:t xml:space="preserve">niemal </w:t>
      </w:r>
      <w:r w:rsidRPr="008D7632">
        <w:rPr>
          <w:rStyle w:val="y2iqfc"/>
          <w:rFonts w:ascii="Times New Roman" w:hAnsi="Times New Roman" w:cs="Times New Roman"/>
          <w:color w:val="000000" w:themeColor="text1"/>
          <w:sz w:val="24"/>
          <w:szCs w:val="24"/>
        </w:rPr>
        <w:t xml:space="preserve">zawsze wykrywalne. Objawy zwykle pojawiają się między 10. a 16. rokiem życia [4, 6]. </w:t>
      </w:r>
      <w:r w:rsidR="00F771FC" w:rsidRPr="008D7632">
        <w:rPr>
          <w:rStyle w:val="y2iqfc"/>
          <w:rFonts w:ascii="Times New Roman" w:hAnsi="Times New Roman" w:cs="Times New Roman"/>
          <w:color w:val="000000" w:themeColor="text1"/>
          <w:sz w:val="24"/>
          <w:szCs w:val="24"/>
        </w:rPr>
        <w:t xml:space="preserve">Należy jednak zwrócić uwagę, że </w:t>
      </w:r>
      <w:r w:rsidR="00F771FC" w:rsidRPr="008D7632">
        <w:rPr>
          <w:rFonts w:ascii="Times New Roman" w:eastAsia="Times New Roman" w:hAnsi="Times New Roman" w:cs="Times New Roman"/>
          <w:color w:val="000000" w:themeColor="text1"/>
          <w:kern w:val="0"/>
          <w:sz w:val="24"/>
          <w:szCs w:val="24"/>
          <w:lang w:eastAsia="pl-PL"/>
          <w14:ligatures w14:val="none"/>
        </w:rPr>
        <w:t>w</w:t>
      </w:r>
      <w:r w:rsidR="00F771FC" w:rsidRPr="008563F4">
        <w:rPr>
          <w:rFonts w:ascii="Times New Roman" w:eastAsia="Times New Roman" w:hAnsi="Times New Roman" w:cs="Times New Roman"/>
          <w:color w:val="000000" w:themeColor="text1"/>
          <w:kern w:val="0"/>
          <w:sz w:val="24"/>
          <w:szCs w:val="24"/>
          <w:lang w:eastAsia="pl-PL"/>
          <w14:ligatures w14:val="none"/>
        </w:rPr>
        <w:t xml:space="preserve">iek, w którym </w:t>
      </w:r>
      <w:r w:rsidR="00F771FC" w:rsidRPr="008D7632">
        <w:rPr>
          <w:rFonts w:ascii="Times New Roman" w:eastAsia="Times New Roman" w:hAnsi="Times New Roman" w:cs="Times New Roman"/>
          <w:color w:val="000000" w:themeColor="text1"/>
          <w:kern w:val="0"/>
          <w:sz w:val="24"/>
          <w:szCs w:val="24"/>
          <w:lang w:eastAsia="pl-PL"/>
          <w14:ligatures w14:val="none"/>
        </w:rPr>
        <w:t xml:space="preserve">rozpoczynają się </w:t>
      </w:r>
      <w:r w:rsidR="00F771FC" w:rsidRPr="008563F4">
        <w:rPr>
          <w:rFonts w:ascii="Times New Roman" w:eastAsia="Times New Roman" w:hAnsi="Times New Roman" w:cs="Times New Roman"/>
          <w:color w:val="000000" w:themeColor="text1"/>
          <w:kern w:val="0"/>
          <w:sz w:val="24"/>
          <w:szCs w:val="24"/>
          <w:lang w:eastAsia="pl-PL"/>
          <w14:ligatures w14:val="none"/>
        </w:rPr>
        <w:t xml:space="preserve">objawy jest zawsze badany retrospektywnie i jako taki może charakteryzować się znaczną zmiennością w zakresie przypominania sobie </w:t>
      </w:r>
      <w:r w:rsidR="00F771FC" w:rsidRPr="008D7632">
        <w:rPr>
          <w:rFonts w:ascii="Times New Roman" w:eastAsia="Times New Roman" w:hAnsi="Times New Roman" w:cs="Times New Roman"/>
          <w:color w:val="000000" w:themeColor="text1"/>
          <w:kern w:val="0"/>
          <w:sz w:val="24"/>
          <w:szCs w:val="24"/>
          <w:lang w:eastAsia="pl-PL"/>
          <w14:ligatures w14:val="none"/>
        </w:rPr>
        <w:t>symptomów [6]</w:t>
      </w:r>
      <w:r w:rsidR="00F771FC" w:rsidRPr="008563F4">
        <w:rPr>
          <w:rFonts w:ascii="Times New Roman" w:eastAsia="Times New Roman" w:hAnsi="Times New Roman" w:cs="Times New Roman"/>
          <w:color w:val="000000" w:themeColor="text1"/>
          <w:kern w:val="0"/>
          <w:sz w:val="24"/>
          <w:szCs w:val="24"/>
          <w:lang w:eastAsia="pl-PL"/>
          <w14:ligatures w14:val="none"/>
        </w:rPr>
        <w:t>.</w:t>
      </w:r>
      <w:r w:rsidR="00F771FC" w:rsidRPr="008D7632">
        <w:rPr>
          <w:rFonts w:ascii="Times New Roman" w:eastAsia="Times New Roman" w:hAnsi="Times New Roman" w:cs="Times New Roman"/>
          <w:color w:val="000000" w:themeColor="text1"/>
          <w:kern w:val="0"/>
          <w:sz w:val="24"/>
          <w:szCs w:val="24"/>
          <w:lang w:eastAsia="pl-PL"/>
          <w14:ligatures w14:val="none"/>
        </w:rPr>
        <w:t xml:space="preserve"> </w:t>
      </w:r>
      <w:r w:rsidRPr="008D7632">
        <w:rPr>
          <w:rStyle w:val="y2iqfc"/>
          <w:rFonts w:ascii="Times New Roman" w:hAnsi="Times New Roman" w:cs="Times New Roman"/>
          <w:color w:val="000000" w:themeColor="text1"/>
          <w:sz w:val="24"/>
          <w:szCs w:val="24"/>
        </w:rPr>
        <w:t xml:space="preserve">U niewielkiej liczby pacjentów objawy występują przed ukończeniem 5. roku życia i takie przypadki klasyfikowane są jako FA o wczesnym początku. Przypadki te związane </w:t>
      </w:r>
      <w:r w:rsidR="00C35150" w:rsidRPr="008D7632">
        <w:rPr>
          <w:rStyle w:val="y2iqfc"/>
          <w:rFonts w:ascii="Times New Roman" w:hAnsi="Times New Roman" w:cs="Times New Roman"/>
          <w:color w:val="000000" w:themeColor="text1"/>
          <w:sz w:val="24"/>
          <w:szCs w:val="24"/>
        </w:rPr>
        <w:t xml:space="preserve">są </w:t>
      </w:r>
      <w:r w:rsidRPr="008D7632">
        <w:rPr>
          <w:rStyle w:val="y2iqfc"/>
          <w:rFonts w:ascii="Times New Roman" w:hAnsi="Times New Roman" w:cs="Times New Roman"/>
          <w:color w:val="000000" w:themeColor="text1"/>
          <w:sz w:val="24"/>
          <w:szCs w:val="24"/>
        </w:rPr>
        <w:t>z większą liczba powtórzeń GAA, cięższym fenotypem, szybszym postępem choroby i częstszym występowaniem powikłań sercowyc</w:t>
      </w:r>
      <w:r w:rsidR="00373B3C" w:rsidRPr="008D7632">
        <w:rPr>
          <w:rStyle w:val="y2iqfc"/>
          <w:rFonts w:ascii="Times New Roman" w:hAnsi="Times New Roman" w:cs="Times New Roman"/>
          <w:color w:val="000000" w:themeColor="text1"/>
          <w:sz w:val="24"/>
          <w:szCs w:val="24"/>
        </w:rPr>
        <w:t>h</w:t>
      </w:r>
      <w:r w:rsidRPr="008D7632">
        <w:rPr>
          <w:rStyle w:val="y2iqfc"/>
          <w:rFonts w:ascii="Times New Roman" w:hAnsi="Times New Roman" w:cs="Times New Roman"/>
          <w:color w:val="000000" w:themeColor="text1"/>
          <w:sz w:val="24"/>
          <w:szCs w:val="24"/>
        </w:rPr>
        <w:t>.</w:t>
      </w:r>
      <w:r w:rsidR="00E36E05" w:rsidRPr="008D7632">
        <w:rPr>
          <w:rStyle w:val="y2iqfc"/>
          <w:rFonts w:ascii="Times New Roman" w:hAnsi="Times New Roman" w:cs="Times New Roman"/>
          <w:color w:val="000000" w:themeColor="text1"/>
          <w:sz w:val="24"/>
          <w:szCs w:val="24"/>
        </w:rPr>
        <w:t xml:space="preserve"> </w:t>
      </w:r>
      <w:r w:rsidR="00373B3C" w:rsidRPr="008D7632">
        <w:rPr>
          <w:rStyle w:val="y2iqfc"/>
          <w:rFonts w:ascii="Times New Roman" w:hAnsi="Times New Roman" w:cs="Times New Roman"/>
          <w:color w:val="000000" w:themeColor="text1"/>
          <w:sz w:val="24"/>
          <w:szCs w:val="24"/>
        </w:rPr>
        <w:t xml:space="preserve">FA </w:t>
      </w:r>
      <w:r w:rsidR="00E36E05" w:rsidRPr="008D7632">
        <w:rPr>
          <w:rStyle w:val="y2iqfc"/>
          <w:rFonts w:ascii="Times New Roman" w:hAnsi="Times New Roman" w:cs="Times New Roman"/>
          <w:color w:val="000000" w:themeColor="text1"/>
          <w:sz w:val="24"/>
          <w:szCs w:val="24"/>
        </w:rPr>
        <w:t xml:space="preserve">o późnym początku (LOFA) </w:t>
      </w:r>
      <w:r w:rsidR="00373B3C" w:rsidRPr="008D7632">
        <w:rPr>
          <w:rStyle w:val="y2iqfc"/>
          <w:rFonts w:ascii="Times New Roman" w:hAnsi="Times New Roman" w:cs="Times New Roman"/>
          <w:color w:val="000000" w:themeColor="text1"/>
          <w:sz w:val="24"/>
          <w:szCs w:val="24"/>
        </w:rPr>
        <w:t>oraz FA o</w:t>
      </w:r>
      <w:r w:rsidR="00E36E05" w:rsidRPr="008D7632">
        <w:rPr>
          <w:rStyle w:val="y2iqfc"/>
          <w:rFonts w:ascii="Times New Roman" w:hAnsi="Times New Roman" w:cs="Times New Roman"/>
          <w:color w:val="000000" w:themeColor="text1"/>
          <w:sz w:val="24"/>
          <w:szCs w:val="24"/>
        </w:rPr>
        <w:t xml:space="preserve"> bardzo późnym początku (VLOFA) rozwija</w:t>
      </w:r>
      <w:r w:rsidR="00373B3C" w:rsidRPr="008D7632">
        <w:rPr>
          <w:rStyle w:val="y2iqfc"/>
          <w:rFonts w:ascii="Times New Roman" w:hAnsi="Times New Roman" w:cs="Times New Roman"/>
          <w:color w:val="000000" w:themeColor="text1"/>
          <w:sz w:val="24"/>
          <w:szCs w:val="24"/>
        </w:rPr>
        <w:t>ją</w:t>
      </w:r>
      <w:r w:rsidR="00E36E05" w:rsidRPr="008D7632">
        <w:rPr>
          <w:rStyle w:val="y2iqfc"/>
          <w:rFonts w:ascii="Times New Roman" w:hAnsi="Times New Roman" w:cs="Times New Roman"/>
          <w:color w:val="000000" w:themeColor="text1"/>
          <w:sz w:val="24"/>
          <w:szCs w:val="24"/>
        </w:rPr>
        <w:t xml:space="preserve"> się odpowiednio po 25</w:t>
      </w:r>
      <w:r w:rsidR="00373B3C" w:rsidRPr="008D7632">
        <w:rPr>
          <w:rStyle w:val="y2iqfc"/>
          <w:rFonts w:ascii="Times New Roman" w:hAnsi="Times New Roman" w:cs="Times New Roman"/>
          <w:color w:val="000000" w:themeColor="text1"/>
          <w:sz w:val="24"/>
          <w:szCs w:val="24"/>
        </w:rPr>
        <w:t>.</w:t>
      </w:r>
      <w:r w:rsidR="00E36E05" w:rsidRPr="008D7632">
        <w:rPr>
          <w:rStyle w:val="y2iqfc"/>
          <w:rFonts w:ascii="Times New Roman" w:hAnsi="Times New Roman" w:cs="Times New Roman"/>
          <w:color w:val="000000" w:themeColor="text1"/>
          <w:sz w:val="24"/>
          <w:szCs w:val="24"/>
        </w:rPr>
        <w:t xml:space="preserve"> i 40</w:t>
      </w:r>
      <w:r w:rsidR="00373B3C" w:rsidRPr="008D7632">
        <w:rPr>
          <w:rStyle w:val="y2iqfc"/>
          <w:rFonts w:ascii="Times New Roman" w:hAnsi="Times New Roman" w:cs="Times New Roman"/>
          <w:color w:val="000000" w:themeColor="text1"/>
          <w:sz w:val="24"/>
          <w:szCs w:val="24"/>
        </w:rPr>
        <w:t>.</w:t>
      </w:r>
      <w:r w:rsidR="00E36E05" w:rsidRPr="008D7632">
        <w:rPr>
          <w:rStyle w:val="y2iqfc"/>
          <w:rFonts w:ascii="Times New Roman" w:hAnsi="Times New Roman" w:cs="Times New Roman"/>
          <w:color w:val="000000" w:themeColor="text1"/>
          <w:sz w:val="24"/>
          <w:szCs w:val="24"/>
        </w:rPr>
        <w:t xml:space="preserve"> roku życia. Przypadki o</w:t>
      </w:r>
      <w:r w:rsidR="00373B3C" w:rsidRPr="008D7632">
        <w:rPr>
          <w:rStyle w:val="y2iqfc"/>
          <w:rFonts w:ascii="Times New Roman" w:hAnsi="Times New Roman" w:cs="Times New Roman"/>
          <w:color w:val="000000" w:themeColor="text1"/>
          <w:sz w:val="24"/>
          <w:szCs w:val="24"/>
        </w:rPr>
        <w:t xml:space="preserve"> </w:t>
      </w:r>
      <w:r w:rsidR="00E36E05" w:rsidRPr="008D7632">
        <w:rPr>
          <w:rStyle w:val="y2iqfc"/>
          <w:rFonts w:ascii="Times New Roman" w:hAnsi="Times New Roman" w:cs="Times New Roman"/>
          <w:color w:val="000000" w:themeColor="text1"/>
          <w:sz w:val="24"/>
          <w:szCs w:val="24"/>
        </w:rPr>
        <w:t>opóźnionym początku charakteryzują się łagodniejszym fenotypem</w:t>
      </w:r>
      <w:r w:rsidR="00373B3C" w:rsidRPr="008D7632">
        <w:rPr>
          <w:rStyle w:val="y2iqfc"/>
          <w:rFonts w:ascii="Times New Roman" w:hAnsi="Times New Roman" w:cs="Times New Roman"/>
          <w:color w:val="000000" w:themeColor="text1"/>
          <w:sz w:val="24"/>
          <w:szCs w:val="24"/>
        </w:rPr>
        <w:t xml:space="preserve"> oraz</w:t>
      </w:r>
      <w:r w:rsidR="00E36E05" w:rsidRPr="008D7632">
        <w:rPr>
          <w:rStyle w:val="y2iqfc"/>
          <w:rFonts w:ascii="Times New Roman" w:hAnsi="Times New Roman" w:cs="Times New Roman"/>
          <w:color w:val="000000" w:themeColor="text1"/>
          <w:sz w:val="24"/>
          <w:szCs w:val="24"/>
        </w:rPr>
        <w:t xml:space="preserve"> wolniejszym postępem choroby</w:t>
      </w:r>
      <w:r w:rsidR="00373B3C" w:rsidRPr="008D7632">
        <w:rPr>
          <w:rStyle w:val="y2iqfc"/>
          <w:rFonts w:ascii="Times New Roman" w:hAnsi="Times New Roman" w:cs="Times New Roman"/>
          <w:color w:val="000000" w:themeColor="text1"/>
          <w:sz w:val="24"/>
          <w:szCs w:val="24"/>
        </w:rPr>
        <w:t>.</w:t>
      </w:r>
      <w:r w:rsidR="00E36E05" w:rsidRPr="008D7632">
        <w:rPr>
          <w:rStyle w:val="y2iqfc"/>
          <w:rFonts w:ascii="Times New Roman" w:hAnsi="Times New Roman" w:cs="Times New Roman"/>
          <w:color w:val="000000" w:themeColor="text1"/>
          <w:sz w:val="24"/>
          <w:szCs w:val="24"/>
        </w:rPr>
        <w:t xml:space="preserve"> Najczęstszymi objawami pozostają ataksja chodu i kończyn, dyzartria pojawia się późno, a spastyczność i </w:t>
      </w:r>
      <w:r w:rsidR="00373B3C" w:rsidRPr="008D7632">
        <w:rPr>
          <w:rStyle w:val="y2iqfc"/>
          <w:rFonts w:ascii="Times New Roman" w:hAnsi="Times New Roman" w:cs="Times New Roman"/>
          <w:color w:val="000000" w:themeColor="text1"/>
          <w:sz w:val="24"/>
          <w:szCs w:val="24"/>
        </w:rPr>
        <w:t>arefleksja</w:t>
      </w:r>
      <w:r w:rsidR="00E36E05" w:rsidRPr="008D7632">
        <w:rPr>
          <w:rStyle w:val="y2iqfc"/>
          <w:rFonts w:ascii="Times New Roman" w:hAnsi="Times New Roman" w:cs="Times New Roman"/>
          <w:color w:val="000000" w:themeColor="text1"/>
          <w:sz w:val="24"/>
          <w:szCs w:val="24"/>
        </w:rPr>
        <w:t xml:space="preserve"> </w:t>
      </w:r>
      <w:r w:rsidR="00373B3C" w:rsidRPr="008D7632">
        <w:rPr>
          <w:rStyle w:val="y2iqfc"/>
          <w:rFonts w:ascii="Times New Roman" w:hAnsi="Times New Roman" w:cs="Times New Roman"/>
          <w:color w:val="000000" w:themeColor="text1"/>
          <w:sz w:val="24"/>
          <w:szCs w:val="24"/>
        </w:rPr>
        <w:t xml:space="preserve">obserwowane są </w:t>
      </w:r>
      <w:r w:rsidR="00E36E05" w:rsidRPr="008D7632">
        <w:rPr>
          <w:rStyle w:val="y2iqfc"/>
          <w:rFonts w:ascii="Times New Roman" w:hAnsi="Times New Roman" w:cs="Times New Roman"/>
          <w:color w:val="000000" w:themeColor="text1"/>
          <w:sz w:val="24"/>
          <w:szCs w:val="24"/>
        </w:rPr>
        <w:t>częściej</w:t>
      </w:r>
      <w:r w:rsidR="00D82336" w:rsidRPr="008D7632">
        <w:rPr>
          <w:rStyle w:val="y2iqfc"/>
          <w:rFonts w:ascii="Times New Roman" w:hAnsi="Times New Roman" w:cs="Times New Roman"/>
          <w:color w:val="000000" w:themeColor="text1"/>
          <w:sz w:val="24"/>
          <w:szCs w:val="24"/>
        </w:rPr>
        <w:t xml:space="preserve"> niż w klasycznym fenotypie FA</w:t>
      </w:r>
      <w:r w:rsidR="00373B3C" w:rsidRPr="008D7632">
        <w:rPr>
          <w:rStyle w:val="y2iqfc"/>
          <w:rFonts w:ascii="Times New Roman" w:hAnsi="Times New Roman" w:cs="Times New Roman"/>
          <w:color w:val="000000" w:themeColor="text1"/>
          <w:sz w:val="24"/>
          <w:szCs w:val="24"/>
        </w:rPr>
        <w:t xml:space="preserve"> [1]</w:t>
      </w:r>
      <w:r w:rsidR="00E36E05" w:rsidRPr="008D7632">
        <w:rPr>
          <w:rStyle w:val="y2iqfc"/>
          <w:rFonts w:ascii="Times New Roman" w:hAnsi="Times New Roman" w:cs="Times New Roman"/>
          <w:color w:val="000000" w:themeColor="text1"/>
          <w:sz w:val="24"/>
          <w:szCs w:val="24"/>
        </w:rPr>
        <w:t>.</w:t>
      </w:r>
      <w:r w:rsidR="00F771FC" w:rsidRPr="008D7632">
        <w:rPr>
          <w:rStyle w:val="y2iqfc"/>
          <w:rFonts w:ascii="Times New Roman" w:hAnsi="Times New Roman" w:cs="Times New Roman"/>
          <w:color w:val="000000" w:themeColor="text1"/>
          <w:sz w:val="24"/>
          <w:szCs w:val="24"/>
        </w:rPr>
        <w:t xml:space="preserve"> </w:t>
      </w:r>
    </w:p>
    <w:p w14:paraId="69E0E331" w14:textId="77777777" w:rsidR="005C2A96" w:rsidRPr="008D7632" w:rsidRDefault="005C2A96" w:rsidP="005C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y2iqfc"/>
          <w:rFonts w:ascii="Times New Roman" w:eastAsia="Times New Roman" w:hAnsi="Times New Roman" w:cs="Times New Roman"/>
          <w:color w:val="000000" w:themeColor="text1"/>
          <w:kern w:val="0"/>
          <w:sz w:val="24"/>
          <w:szCs w:val="24"/>
          <w:lang w:eastAsia="pl-PL"/>
          <w14:ligatures w14:val="none"/>
        </w:rPr>
      </w:pPr>
    </w:p>
    <w:p w14:paraId="1C68C9F7" w14:textId="7C873991" w:rsidR="00A211C1" w:rsidRPr="008D7632" w:rsidRDefault="00A211C1" w:rsidP="00A211C1">
      <w:pPr>
        <w:pStyle w:val="HTML-wstpniesformatowany"/>
        <w:rPr>
          <w:rStyle w:val="y2iqfc"/>
          <w:rFonts w:ascii="Times New Roman" w:hAnsi="Times New Roman" w:cs="Times New Roman"/>
          <w:b/>
          <w:bCs/>
          <w:color w:val="000000" w:themeColor="text1"/>
          <w:sz w:val="24"/>
          <w:szCs w:val="24"/>
        </w:rPr>
      </w:pPr>
      <w:r w:rsidRPr="008D7632">
        <w:rPr>
          <w:rStyle w:val="y2iqfc"/>
          <w:rFonts w:ascii="Times New Roman" w:hAnsi="Times New Roman" w:cs="Times New Roman"/>
          <w:color w:val="000000" w:themeColor="text1"/>
          <w:sz w:val="24"/>
          <w:szCs w:val="24"/>
          <w:u w:val="single"/>
        </w:rPr>
        <w:t>Ataksja</w:t>
      </w:r>
      <w:r w:rsidRPr="008D7632">
        <w:rPr>
          <w:rStyle w:val="y2iqfc"/>
          <w:rFonts w:ascii="Times New Roman" w:hAnsi="Times New Roman" w:cs="Times New Roman"/>
          <w:color w:val="000000" w:themeColor="text1"/>
          <w:sz w:val="24"/>
          <w:szCs w:val="24"/>
        </w:rPr>
        <w:t xml:space="preserve"> jest spowodowana obwodową neuropatią czuciową, zwyrodnieniem dróg rdzeniowo-móżdżkowych i patologią w obrębie samego móżdżku. Ataksja chodu rozwija się wcześnie, chód jest charakterystycznie niestabilny, ale nie jest jawnie szeroki. Zaburzenia równowagi i </w:t>
      </w:r>
      <w:r w:rsidRPr="008D7632">
        <w:rPr>
          <w:rStyle w:val="y2iqfc"/>
          <w:rFonts w:ascii="Times New Roman" w:hAnsi="Times New Roman" w:cs="Times New Roman"/>
          <w:color w:val="000000" w:themeColor="text1"/>
          <w:sz w:val="24"/>
          <w:szCs w:val="24"/>
        </w:rPr>
        <w:lastRenderedPageBreak/>
        <w:t xml:space="preserve">ataksja tułowia </w:t>
      </w:r>
      <w:r w:rsidR="005C2A96" w:rsidRPr="008D7632">
        <w:rPr>
          <w:rStyle w:val="y2iqfc"/>
          <w:rFonts w:ascii="Times New Roman" w:hAnsi="Times New Roman" w:cs="Times New Roman"/>
          <w:color w:val="000000" w:themeColor="text1"/>
          <w:sz w:val="24"/>
          <w:szCs w:val="24"/>
        </w:rPr>
        <w:t xml:space="preserve">występują we wszystkich przypadkach choroby, </w:t>
      </w:r>
      <w:r w:rsidRPr="008D7632">
        <w:rPr>
          <w:rStyle w:val="y2iqfc"/>
          <w:rFonts w:ascii="Times New Roman" w:hAnsi="Times New Roman" w:cs="Times New Roman"/>
          <w:color w:val="000000" w:themeColor="text1"/>
          <w:sz w:val="24"/>
          <w:szCs w:val="24"/>
        </w:rPr>
        <w:t>wymagają stopniowego wspomagania, a większość pacjentów zmuszona jest do korzystania z wózka siedzącego, w zależności od źródła, przed trzecią dekadą życia [1] lub po 15-20 latach trwania choroby [4</w:t>
      </w:r>
      <w:r w:rsidR="005C2A96" w:rsidRPr="008D7632">
        <w:rPr>
          <w:rStyle w:val="y2iqfc"/>
          <w:rFonts w:ascii="Times New Roman" w:hAnsi="Times New Roman" w:cs="Times New Roman"/>
          <w:color w:val="000000" w:themeColor="text1"/>
          <w:sz w:val="24"/>
          <w:szCs w:val="24"/>
        </w:rPr>
        <w:t>, 6</w:t>
      </w:r>
      <w:r w:rsidRPr="008D7632">
        <w:rPr>
          <w:rStyle w:val="y2iqfc"/>
          <w:rFonts w:ascii="Times New Roman" w:hAnsi="Times New Roman" w:cs="Times New Roman"/>
          <w:color w:val="000000" w:themeColor="text1"/>
          <w:sz w:val="24"/>
          <w:szCs w:val="24"/>
        </w:rPr>
        <w:t xml:space="preserve">]. Ataksja kończyn </w:t>
      </w:r>
      <w:r w:rsidR="005C2A96" w:rsidRPr="008D7632">
        <w:rPr>
          <w:rStyle w:val="y2iqfc"/>
          <w:rFonts w:ascii="Times New Roman" w:hAnsi="Times New Roman" w:cs="Times New Roman"/>
          <w:color w:val="000000" w:themeColor="text1"/>
          <w:sz w:val="24"/>
          <w:szCs w:val="24"/>
        </w:rPr>
        <w:t xml:space="preserve">(obserwowana w 94-100%) </w:t>
      </w:r>
      <w:r w:rsidRPr="008D7632">
        <w:rPr>
          <w:rStyle w:val="y2iqfc"/>
          <w:rFonts w:ascii="Times New Roman" w:hAnsi="Times New Roman" w:cs="Times New Roman"/>
          <w:color w:val="000000" w:themeColor="text1"/>
          <w:sz w:val="24"/>
          <w:szCs w:val="24"/>
        </w:rPr>
        <w:t xml:space="preserve">wpływa na osłabienie zręczności i koordynacji w taki sposób, że podstawowe codzienne czynności stają się coraz trudniejsze. Nieprawidłowe próby palec-noc oraz pięta-kolano, </w:t>
      </w:r>
      <w:proofErr w:type="spellStart"/>
      <w:r w:rsidRPr="008D7632">
        <w:rPr>
          <w:rStyle w:val="y2iqfc"/>
          <w:rFonts w:ascii="Times New Roman" w:hAnsi="Times New Roman" w:cs="Times New Roman"/>
          <w:color w:val="000000" w:themeColor="text1"/>
          <w:sz w:val="24"/>
          <w:szCs w:val="24"/>
        </w:rPr>
        <w:t>dysdiadochokineza</w:t>
      </w:r>
      <w:proofErr w:type="spellEnd"/>
      <w:r w:rsidRPr="008D7632">
        <w:rPr>
          <w:rStyle w:val="y2iqfc"/>
          <w:rFonts w:ascii="Times New Roman" w:hAnsi="Times New Roman" w:cs="Times New Roman"/>
          <w:color w:val="000000" w:themeColor="text1"/>
          <w:sz w:val="24"/>
          <w:szCs w:val="24"/>
        </w:rPr>
        <w:t xml:space="preserve"> kończyn górnych są powszechnymi wczesnymi objawami. </w:t>
      </w:r>
      <w:r w:rsidRPr="008D7632">
        <w:rPr>
          <w:rStyle w:val="y2iqfc"/>
          <w:rFonts w:ascii="Times New Roman" w:hAnsi="Times New Roman" w:cs="Times New Roman"/>
          <w:color w:val="000000" w:themeColor="text1"/>
          <w:sz w:val="24"/>
          <w:szCs w:val="24"/>
          <w:u w:val="single"/>
        </w:rPr>
        <w:t>Dyzartria</w:t>
      </w:r>
      <w:r w:rsidRPr="008D7632">
        <w:rPr>
          <w:rStyle w:val="y2iqfc"/>
          <w:rFonts w:ascii="Times New Roman" w:hAnsi="Times New Roman" w:cs="Times New Roman"/>
          <w:color w:val="000000" w:themeColor="text1"/>
          <w:sz w:val="24"/>
          <w:szCs w:val="24"/>
        </w:rPr>
        <w:t xml:space="preserve"> </w:t>
      </w:r>
      <w:r w:rsidR="005C2A96" w:rsidRPr="008D7632">
        <w:rPr>
          <w:rStyle w:val="y2iqfc"/>
          <w:rFonts w:ascii="Times New Roman" w:hAnsi="Times New Roman" w:cs="Times New Roman"/>
          <w:color w:val="000000" w:themeColor="text1"/>
          <w:sz w:val="24"/>
          <w:szCs w:val="24"/>
        </w:rPr>
        <w:t xml:space="preserve">(75-100% pacjentów) </w:t>
      </w:r>
      <w:r w:rsidRPr="008D7632">
        <w:rPr>
          <w:rStyle w:val="y2iqfc"/>
          <w:rFonts w:ascii="Times New Roman" w:hAnsi="Times New Roman" w:cs="Times New Roman"/>
          <w:color w:val="000000" w:themeColor="text1"/>
          <w:sz w:val="24"/>
          <w:szCs w:val="24"/>
        </w:rPr>
        <w:t xml:space="preserve">polega na powolnej, niewyraźnej mowie, która postępuje od wczesnych etapów choroby do niezrozumiałości w zaawansowanych jej stadiach. </w:t>
      </w:r>
      <w:r w:rsidR="00D90BC0" w:rsidRPr="008D7632">
        <w:rPr>
          <w:rStyle w:val="y2iqfc"/>
          <w:rFonts w:ascii="Times New Roman" w:hAnsi="Times New Roman" w:cs="Times New Roman"/>
          <w:color w:val="000000" w:themeColor="text1"/>
          <w:sz w:val="24"/>
          <w:szCs w:val="24"/>
        </w:rPr>
        <w:t>O</w:t>
      </w:r>
      <w:r w:rsidRPr="008D7632">
        <w:rPr>
          <w:rStyle w:val="y2iqfc"/>
          <w:rFonts w:ascii="Times New Roman" w:hAnsi="Times New Roman" w:cs="Times New Roman"/>
          <w:color w:val="000000" w:themeColor="text1"/>
          <w:sz w:val="24"/>
          <w:szCs w:val="24"/>
        </w:rPr>
        <w:t xml:space="preserve">bserwuje się również brak odruchów z kończyn dolnych </w:t>
      </w:r>
      <w:r w:rsidR="00D90BC0" w:rsidRPr="008D7632">
        <w:rPr>
          <w:rStyle w:val="y2iqfc"/>
          <w:rFonts w:ascii="Times New Roman" w:hAnsi="Times New Roman" w:cs="Times New Roman"/>
          <w:color w:val="000000" w:themeColor="text1"/>
          <w:sz w:val="24"/>
          <w:szCs w:val="24"/>
        </w:rPr>
        <w:t xml:space="preserve">(84-100%) </w:t>
      </w:r>
      <w:r w:rsidRPr="008D7632">
        <w:rPr>
          <w:rStyle w:val="y2iqfc"/>
          <w:rFonts w:ascii="Times New Roman" w:hAnsi="Times New Roman" w:cs="Times New Roman"/>
          <w:color w:val="000000" w:themeColor="text1"/>
          <w:sz w:val="24"/>
          <w:szCs w:val="24"/>
        </w:rPr>
        <w:t>oraz wczesną utratę czucia wibracji</w:t>
      </w:r>
      <w:r w:rsidR="00D90BC0" w:rsidRPr="008D7632">
        <w:rPr>
          <w:rStyle w:val="y2iqfc"/>
          <w:rFonts w:ascii="Times New Roman" w:hAnsi="Times New Roman" w:cs="Times New Roman"/>
          <w:color w:val="000000" w:themeColor="text1"/>
          <w:sz w:val="24"/>
          <w:szCs w:val="24"/>
        </w:rPr>
        <w:t xml:space="preserve"> (67-91%)</w:t>
      </w:r>
      <w:r w:rsidRPr="008D7632">
        <w:rPr>
          <w:rStyle w:val="y2iqfc"/>
          <w:rFonts w:ascii="Times New Roman" w:hAnsi="Times New Roman" w:cs="Times New Roman"/>
          <w:color w:val="000000" w:themeColor="text1"/>
          <w:sz w:val="24"/>
          <w:szCs w:val="24"/>
        </w:rPr>
        <w:t xml:space="preserve"> w dystalnych partiach ciała [1, 4, 6]. Późniejsze stadia choroby wiążą się z występowaniem objawów ze strony układu piramidowego. Manifestują się one zwłaszcza w obrębie kończyn dolnych</w:t>
      </w:r>
      <w:r w:rsidR="00D90BC0" w:rsidRPr="008D7632">
        <w:rPr>
          <w:rStyle w:val="y2iqfc"/>
          <w:rFonts w:ascii="Times New Roman" w:hAnsi="Times New Roman" w:cs="Times New Roman"/>
          <w:color w:val="000000" w:themeColor="text1"/>
          <w:sz w:val="24"/>
          <w:szCs w:val="24"/>
        </w:rPr>
        <w:t xml:space="preserve"> w postaci osłabienia siły mięśniowej (67-100%) oraz nieprawidłowego napięcia mięśniowego</w:t>
      </w:r>
      <w:r w:rsidRPr="008D7632">
        <w:rPr>
          <w:rStyle w:val="y2iqfc"/>
          <w:rFonts w:ascii="Times New Roman" w:hAnsi="Times New Roman" w:cs="Times New Roman"/>
          <w:color w:val="000000" w:themeColor="text1"/>
          <w:sz w:val="24"/>
          <w:szCs w:val="24"/>
        </w:rPr>
        <w:t xml:space="preserve">. </w:t>
      </w:r>
      <w:r w:rsidRPr="008D7632">
        <w:rPr>
          <w:rStyle w:val="y2iqfc"/>
          <w:rFonts w:ascii="Times New Roman" w:hAnsi="Times New Roman" w:cs="Times New Roman"/>
          <w:color w:val="000000" w:themeColor="text1"/>
          <w:sz w:val="24"/>
          <w:szCs w:val="24"/>
          <w:u w:val="single"/>
        </w:rPr>
        <w:t>Spastyczność</w:t>
      </w:r>
      <w:r w:rsidRPr="008D7632">
        <w:rPr>
          <w:rStyle w:val="y2iqfc"/>
          <w:rFonts w:ascii="Times New Roman" w:hAnsi="Times New Roman" w:cs="Times New Roman"/>
          <w:color w:val="000000" w:themeColor="text1"/>
          <w:sz w:val="24"/>
          <w:szCs w:val="24"/>
        </w:rPr>
        <w:t xml:space="preserve"> zwykle opisywano w bardziej zaawansowanych stadiach choroby</w:t>
      </w:r>
      <w:r w:rsidR="00967760" w:rsidRPr="008D7632">
        <w:rPr>
          <w:rStyle w:val="y2iqfc"/>
          <w:rFonts w:ascii="Times New Roman" w:hAnsi="Times New Roman" w:cs="Times New Roman"/>
          <w:color w:val="000000" w:themeColor="text1"/>
          <w:sz w:val="24"/>
          <w:szCs w:val="24"/>
        </w:rPr>
        <w:t>, najwcześniej po 10 latach jej trwania.</w:t>
      </w:r>
      <w:r w:rsidRPr="008D7632">
        <w:rPr>
          <w:rStyle w:val="y2iqfc"/>
          <w:rFonts w:ascii="Times New Roman" w:hAnsi="Times New Roman" w:cs="Times New Roman"/>
          <w:color w:val="000000" w:themeColor="text1"/>
          <w:sz w:val="24"/>
          <w:szCs w:val="24"/>
        </w:rPr>
        <w:t xml:space="preserve"> [1, 6]. </w:t>
      </w:r>
      <w:r w:rsidRPr="008D7632">
        <w:rPr>
          <w:rStyle w:val="y2iqfc"/>
          <w:rFonts w:ascii="Times New Roman" w:hAnsi="Times New Roman" w:cs="Times New Roman"/>
          <w:color w:val="000000" w:themeColor="text1"/>
          <w:sz w:val="24"/>
          <w:szCs w:val="24"/>
          <w:u w:val="single"/>
        </w:rPr>
        <w:t>Dysfagia</w:t>
      </w:r>
      <w:r w:rsidRPr="008D7632">
        <w:rPr>
          <w:rStyle w:val="y2iqfc"/>
          <w:rFonts w:ascii="Times New Roman" w:hAnsi="Times New Roman" w:cs="Times New Roman"/>
          <w:color w:val="000000" w:themeColor="text1"/>
          <w:sz w:val="24"/>
          <w:szCs w:val="24"/>
        </w:rPr>
        <w:t xml:space="preserve"> </w:t>
      </w:r>
      <w:r w:rsidR="00D90BC0" w:rsidRPr="008D7632">
        <w:rPr>
          <w:rStyle w:val="y2iqfc"/>
          <w:rFonts w:ascii="Times New Roman" w:hAnsi="Times New Roman" w:cs="Times New Roman"/>
          <w:color w:val="000000" w:themeColor="text1"/>
          <w:sz w:val="24"/>
          <w:szCs w:val="24"/>
        </w:rPr>
        <w:t xml:space="preserve">(27-76%) </w:t>
      </w:r>
      <w:r w:rsidRPr="008D7632">
        <w:rPr>
          <w:rStyle w:val="y2iqfc"/>
          <w:rFonts w:ascii="Times New Roman" w:hAnsi="Times New Roman" w:cs="Times New Roman"/>
          <w:color w:val="000000" w:themeColor="text1"/>
          <w:sz w:val="24"/>
          <w:szCs w:val="24"/>
        </w:rPr>
        <w:t xml:space="preserve">postępuje wraz z chorobą, a w zaawansowanych przypadkach pacjenci wymagają zmodyfikowanej diety i ewentualnie karmienia nosowo-żołądkowego lub gastrostomii [1, 6, 7]. Niestabilność fiksacji przerywana mimowolnymi ruchami </w:t>
      </w:r>
      <w:proofErr w:type="spellStart"/>
      <w:r w:rsidRPr="008D7632">
        <w:rPr>
          <w:rStyle w:val="y2iqfc"/>
          <w:rFonts w:ascii="Times New Roman" w:hAnsi="Times New Roman" w:cs="Times New Roman"/>
          <w:color w:val="000000" w:themeColor="text1"/>
          <w:sz w:val="24"/>
          <w:szCs w:val="24"/>
        </w:rPr>
        <w:t>sakkadowymi</w:t>
      </w:r>
      <w:proofErr w:type="spellEnd"/>
      <w:r w:rsidRPr="008D7632">
        <w:rPr>
          <w:rStyle w:val="y2iqfc"/>
          <w:rFonts w:ascii="Times New Roman" w:hAnsi="Times New Roman" w:cs="Times New Roman"/>
          <w:color w:val="000000" w:themeColor="text1"/>
          <w:sz w:val="24"/>
          <w:szCs w:val="24"/>
        </w:rPr>
        <w:t xml:space="preserve"> </w:t>
      </w:r>
      <w:r w:rsidR="003F658D" w:rsidRPr="008D7632">
        <w:rPr>
          <w:rStyle w:val="y2iqfc"/>
          <w:rFonts w:ascii="Times New Roman" w:hAnsi="Times New Roman" w:cs="Times New Roman"/>
          <w:color w:val="000000" w:themeColor="text1"/>
          <w:sz w:val="24"/>
          <w:szCs w:val="24"/>
        </w:rPr>
        <w:t xml:space="preserve">(12-30%) </w:t>
      </w:r>
      <w:r w:rsidRPr="008D7632">
        <w:rPr>
          <w:rStyle w:val="y2iqfc"/>
          <w:rFonts w:ascii="Times New Roman" w:hAnsi="Times New Roman" w:cs="Times New Roman"/>
          <w:color w:val="000000" w:themeColor="text1"/>
          <w:sz w:val="24"/>
          <w:szCs w:val="24"/>
        </w:rPr>
        <w:t xml:space="preserve">jest prawdopodobnie najczęściej występującym objawem okulistycznym u pacjentów z </w:t>
      </w:r>
      <w:r w:rsidR="0011195D" w:rsidRPr="008D7632">
        <w:rPr>
          <w:rStyle w:val="y2iqfc"/>
          <w:rFonts w:ascii="Times New Roman" w:hAnsi="Times New Roman" w:cs="Times New Roman"/>
          <w:color w:val="000000" w:themeColor="text1"/>
          <w:sz w:val="24"/>
          <w:szCs w:val="24"/>
        </w:rPr>
        <w:t>FA</w:t>
      </w:r>
      <w:r w:rsidRPr="008D7632">
        <w:rPr>
          <w:rStyle w:val="y2iqfc"/>
          <w:rFonts w:ascii="Times New Roman" w:hAnsi="Times New Roman" w:cs="Times New Roman"/>
          <w:color w:val="000000" w:themeColor="text1"/>
          <w:sz w:val="24"/>
          <w:szCs w:val="24"/>
        </w:rPr>
        <w:t xml:space="preserve"> [6]. U około dwóch trzecich pacjentów występuje kliniczna lub </w:t>
      </w:r>
      <w:proofErr w:type="spellStart"/>
      <w:r w:rsidRPr="008D7632">
        <w:rPr>
          <w:rStyle w:val="y2iqfc"/>
          <w:rFonts w:ascii="Times New Roman" w:hAnsi="Times New Roman" w:cs="Times New Roman"/>
          <w:color w:val="000000" w:themeColor="text1"/>
          <w:sz w:val="24"/>
          <w:szCs w:val="24"/>
        </w:rPr>
        <w:t>subkliniczna</w:t>
      </w:r>
      <w:proofErr w:type="spellEnd"/>
      <w:r w:rsidRPr="008D7632">
        <w:rPr>
          <w:rStyle w:val="y2iqfc"/>
          <w:rFonts w:ascii="Times New Roman" w:hAnsi="Times New Roman" w:cs="Times New Roman"/>
          <w:color w:val="000000" w:themeColor="text1"/>
          <w:sz w:val="24"/>
          <w:szCs w:val="24"/>
        </w:rPr>
        <w:t xml:space="preserve"> </w:t>
      </w:r>
      <w:r w:rsidRPr="008D7632">
        <w:rPr>
          <w:rStyle w:val="y2iqfc"/>
          <w:rFonts w:ascii="Times New Roman" w:hAnsi="Times New Roman" w:cs="Times New Roman"/>
          <w:color w:val="000000" w:themeColor="text1"/>
          <w:sz w:val="24"/>
          <w:szCs w:val="24"/>
          <w:u w:val="single"/>
        </w:rPr>
        <w:t>neuropatia nerwu wzrokowego</w:t>
      </w:r>
      <w:r w:rsidRPr="008D7632">
        <w:rPr>
          <w:rStyle w:val="y2iqfc"/>
          <w:rFonts w:ascii="Times New Roman" w:hAnsi="Times New Roman" w:cs="Times New Roman"/>
          <w:color w:val="000000" w:themeColor="text1"/>
          <w:sz w:val="24"/>
          <w:szCs w:val="24"/>
        </w:rPr>
        <w:t>, a ostrość wzroku ma tendencję do powolnego zmniejszania się wraz z chorobą, aż u niewielkiej liczby osób dochodzi do ślepoty</w:t>
      </w:r>
      <w:r w:rsidR="003F658D" w:rsidRPr="008D7632">
        <w:rPr>
          <w:rStyle w:val="y2iqfc"/>
          <w:rFonts w:ascii="Times New Roman" w:hAnsi="Times New Roman" w:cs="Times New Roman"/>
          <w:color w:val="000000" w:themeColor="text1"/>
          <w:sz w:val="24"/>
          <w:szCs w:val="24"/>
        </w:rPr>
        <w:t xml:space="preserve"> (6-18%)</w:t>
      </w:r>
      <w:r w:rsidRPr="008D7632">
        <w:rPr>
          <w:rStyle w:val="y2iqfc"/>
          <w:rFonts w:ascii="Times New Roman" w:hAnsi="Times New Roman" w:cs="Times New Roman"/>
          <w:color w:val="000000" w:themeColor="text1"/>
          <w:sz w:val="24"/>
          <w:szCs w:val="24"/>
        </w:rPr>
        <w:t xml:space="preserve"> [1, </w:t>
      </w:r>
      <w:r w:rsidR="003F658D" w:rsidRPr="008D7632">
        <w:rPr>
          <w:rStyle w:val="y2iqfc"/>
          <w:rFonts w:ascii="Times New Roman" w:hAnsi="Times New Roman" w:cs="Times New Roman"/>
          <w:color w:val="000000" w:themeColor="text1"/>
          <w:sz w:val="24"/>
          <w:szCs w:val="24"/>
        </w:rPr>
        <w:t xml:space="preserve">6, </w:t>
      </w:r>
      <w:r w:rsidRPr="008D7632">
        <w:rPr>
          <w:rStyle w:val="y2iqfc"/>
          <w:rFonts w:ascii="Times New Roman" w:hAnsi="Times New Roman" w:cs="Times New Roman"/>
          <w:color w:val="000000" w:themeColor="text1"/>
          <w:sz w:val="24"/>
          <w:szCs w:val="24"/>
        </w:rPr>
        <w:t xml:space="preserve">8]. Typowe nieprawidłowości układu mięśniowo-szkieletowego obejmują </w:t>
      </w:r>
      <w:r w:rsidRPr="008D7632">
        <w:rPr>
          <w:rStyle w:val="y2iqfc"/>
          <w:rFonts w:ascii="Times New Roman" w:hAnsi="Times New Roman" w:cs="Times New Roman"/>
          <w:color w:val="000000" w:themeColor="text1"/>
          <w:sz w:val="24"/>
          <w:szCs w:val="24"/>
          <w:u w:val="single"/>
        </w:rPr>
        <w:t xml:space="preserve">skoliozę </w:t>
      </w:r>
      <w:r w:rsidRPr="008D7632">
        <w:rPr>
          <w:rStyle w:val="y2iqfc"/>
          <w:rFonts w:ascii="Times New Roman" w:hAnsi="Times New Roman" w:cs="Times New Roman"/>
          <w:color w:val="000000" w:themeColor="text1"/>
          <w:sz w:val="24"/>
          <w:szCs w:val="24"/>
        </w:rPr>
        <w:t>(</w:t>
      </w:r>
      <w:r w:rsidR="00D90BC0" w:rsidRPr="008D7632">
        <w:rPr>
          <w:rStyle w:val="y2iqfc"/>
          <w:rFonts w:ascii="Times New Roman" w:hAnsi="Times New Roman" w:cs="Times New Roman"/>
          <w:color w:val="000000" w:themeColor="text1"/>
          <w:sz w:val="24"/>
          <w:szCs w:val="24"/>
        </w:rPr>
        <w:t>60-94%</w:t>
      </w:r>
      <w:r w:rsidRPr="008D7632">
        <w:rPr>
          <w:rStyle w:val="y2iqfc"/>
          <w:rFonts w:ascii="Times New Roman" w:hAnsi="Times New Roman" w:cs="Times New Roman"/>
          <w:color w:val="000000" w:themeColor="text1"/>
          <w:sz w:val="24"/>
          <w:szCs w:val="24"/>
        </w:rPr>
        <w:t xml:space="preserve">), </w:t>
      </w:r>
      <w:r w:rsidRPr="008D7632">
        <w:rPr>
          <w:rStyle w:val="y2iqfc"/>
          <w:rFonts w:ascii="Times New Roman" w:hAnsi="Times New Roman" w:cs="Times New Roman"/>
          <w:color w:val="000000" w:themeColor="text1"/>
          <w:sz w:val="24"/>
          <w:szCs w:val="24"/>
          <w:u w:val="single"/>
        </w:rPr>
        <w:t>stopę wydrążoną</w:t>
      </w:r>
      <w:r w:rsidRPr="008D7632">
        <w:rPr>
          <w:rStyle w:val="y2iqfc"/>
          <w:rFonts w:ascii="Times New Roman" w:hAnsi="Times New Roman" w:cs="Times New Roman"/>
          <w:color w:val="000000" w:themeColor="text1"/>
          <w:sz w:val="24"/>
          <w:szCs w:val="24"/>
        </w:rPr>
        <w:t xml:space="preserve"> (</w:t>
      </w:r>
      <w:proofErr w:type="spellStart"/>
      <w:r w:rsidRPr="008D7632">
        <w:rPr>
          <w:rStyle w:val="y2iqfc"/>
          <w:rFonts w:ascii="Times New Roman" w:hAnsi="Times New Roman" w:cs="Times New Roman"/>
          <w:color w:val="000000" w:themeColor="text1"/>
          <w:sz w:val="24"/>
          <w:szCs w:val="24"/>
        </w:rPr>
        <w:t>pes</w:t>
      </w:r>
      <w:proofErr w:type="spellEnd"/>
      <w:r w:rsidRPr="008D7632">
        <w:rPr>
          <w:rStyle w:val="y2iqfc"/>
          <w:rFonts w:ascii="Times New Roman" w:hAnsi="Times New Roman" w:cs="Times New Roman"/>
          <w:color w:val="000000" w:themeColor="text1"/>
          <w:sz w:val="24"/>
          <w:szCs w:val="24"/>
        </w:rPr>
        <w:t xml:space="preserve"> </w:t>
      </w:r>
      <w:proofErr w:type="spellStart"/>
      <w:r w:rsidRPr="008D7632">
        <w:rPr>
          <w:rStyle w:val="y2iqfc"/>
          <w:rFonts w:ascii="Times New Roman" w:hAnsi="Times New Roman" w:cs="Times New Roman"/>
          <w:color w:val="000000" w:themeColor="text1"/>
          <w:sz w:val="24"/>
          <w:szCs w:val="24"/>
        </w:rPr>
        <w:t>cavus</w:t>
      </w:r>
      <w:proofErr w:type="spellEnd"/>
      <w:r w:rsidR="00D90BC0" w:rsidRPr="008D7632">
        <w:rPr>
          <w:rStyle w:val="y2iqfc"/>
          <w:rFonts w:ascii="Times New Roman" w:hAnsi="Times New Roman" w:cs="Times New Roman"/>
          <w:color w:val="000000" w:themeColor="text1"/>
          <w:sz w:val="24"/>
          <w:szCs w:val="24"/>
        </w:rPr>
        <w:t>, 55-89%</w:t>
      </w:r>
      <w:r w:rsidRPr="008D7632">
        <w:rPr>
          <w:rStyle w:val="y2iqfc"/>
          <w:rFonts w:ascii="Times New Roman" w:hAnsi="Times New Roman" w:cs="Times New Roman"/>
          <w:color w:val="000000" w:themeColor="text1"/>
          <w:sz w:val="24"/>
          <w:szCs w:val="24"/>
        </w:rPr>
        <w:t xml:space="preserve">) i stopę końsko-szpotawą [1, </w:t>
      </w:r>
      <w:r w:rsidR="00D90BC0" w:rsidRPr="008D7632">
        <w:rPr>
          <w:rStyle w:val="y2iqfc"/>
          <w:rFonts w:ascii="Times New Roman" w:hAnsi="Times New Roman" w:cs="Times New Roman"/>
          <w:color w:val="000000" w:themeColor="text1"/>
          <w:sz w:val="24"/>
          <w:szCs w:val="24"/>
        </w:rPr>
        <w:t xml:space="preserve">6, </w:t>
      </w:r>
      <w:r w:rsidRPr="008D7632">
        <w:rPr>
          <w:rStyle w:val="y2iqfc"/>
          <w:rFonts w:ascii="Times New Roman" w:hAnsi="Times New Roman" w:cs="Times New Roman"/>
          <w:color w:val="000000" w:themeColor="text1"/>
          <w:sz w:val="24"/>
          <w:szCs w:val="24"/>
        </w:rPr>
        <w:t xml:space="preserve">9]. Skolioza pojawia się wcześnie, rozwija wraz ze wzrostem w okresie dojrzewania i zwykle nie postępuje po tym czasie. Ciężka skolioza występuje najczęściej we wczesnym początku choroby u pacjentów z dużą liczbą powtórzeń GAA, ale u niektórych osób skolioza objawia się w wieku młodzieńczym, a ataksja pojawia się znacznie później, co kontrastuje z większością innych schorzeń nerwowo-mięśniowych, w których skolioza zwykle występuje w efekcie upośledzenia motorycznego [2]. W hiszpańskim badaniu A. </w:t>
      </w:r>
      <w:proofErr w:type="spellStart"/>
      <w:r w:rsidRPr="008D7632">
        <w:rPr>
          <w:rStyle w:val="y2iqfc"/>
          <w:rFonts w:ascii="Times New Roman" w:hAnsi="Times New Roman" w:cs="Times New Roman"/>
          <w:color w:val="000000" w:themeColor="text1"/>
          <w:sz w:val="24"/>
          <w:szCs w:val="24"/>
        </w:rPr>
        <w:t>Nieto</w:t>
      </w:r>
      <w:proofErr w:type="spellEnd"/>
      <w:r w:rsidRPr="008D7632">
        <w:rPr>
          <w:rStyle w:val="y2iqfc"/>
          <w:rFonts w:ascii="Times New Roman" w:hAnsi="Times New Roman" w:cs="Times New Roman"/>
          <w:color w:val="000000" w:themeColor="text1"/>
          <w:sz w:val="24"/>
          <w:szCs w:val="24"/>
        </w:rPr>
        <w:t xml:space="preserve"> i R. </w:t>
      </w:r>
      <w:proofErr w:type="spellStart"/>
      <w:r w:rsidRPr="008D7632">
        <w:rPr>
          <w:rStyle w:val="y2iqfc"/>
          <w:rFonts w:ascii="Times New Roman" w:hAnsi="Times New Roman" w:cs="Times New Roman"/>
          <w:color w:val="000000" w:themeColor="text1"/>
          <w:sz w:val="24"/>
          <w:szCs w:val="24"/>
        </w:rPr>
        <w:t>Cerreia</w:t>
      </w:r>
      <w:proofErr w:type="spellEnd"/>
      <w:r w:rsidRPr="008D7632">
        <w:rPr>
          <w:rStyle w:val="y2iqfc"/>
          <w:rFonts w:ascii="Times New Roman" w:hAnsi="Times New Roman" w:cs="Times New Roman"/>
          <w:color w:val="000000" w:themeColor="text1"/>
          <w:sz w:val="24"/>
          <w:szCs w:val="24"/>
        </w:rPr>
        <w:t xml:space="preserve"> opisały subtelne </w:t>
      </w:r>
      <w:r w:rsidRPr="008D7632">
        <w:rPr>
          <w:rStyle w:val="y2iqfc"/>
          <w:rFonts w:ascii="Times New Roman" w:hAnsi="Times New Roman" w:cs="Times New Roman"/>
          <w:color w:val="000000" w:themeColor="text1"/>
          <w:sz w:val="24"/>
          <w:szCs w:val="24"/>
          <w:u w:val="single"/>
        </w:rPr>
        <w:t>deficyty poznawcze</w:t>
      </w:r>
      <w:r w:rsidRPr="008D7632">
        <w:rPr>
          <w:rStyle w:val="y2iqfc"/>
          <w:rFonts w:ascii="Times New Roman" w:hAnsi="Times New Roman" w:cs="Times New Roman"/>
          <w:color w:val="000000" w:themeColor="text1"/>
          <w:sz w:val="24"/>
          <w:szCs w:val="24"/>
        </w:rPr>
        <w:t xml:space="preserve"> obejmujące różne dziedziny, w tym funkcje wykonawcze, szybkość i uwagę, pamięć roboczą i rozumowanie wzrokowo-przestrzenne [10]. W FA występują też objawy związane z </w:t>
      </w:r>
      <w:proofErr w:type="spellStart"/>
      <w:r w:rsidRPr="008D7632">
        <w:rPr>
          <w:rStyle w:val="y2iqfc"/>
          <w:rFonts w:ascii="Times New Roman" w:hAnsi="Times New Roman" w:cs="Times New Roman"/>
          <w:color w:val="000000" w:themeColor="text1"/>
          <w:sz w:val="24"/>
          <w:szCs w:val="24"/>
          <w:u w:val="single"/>
        </w:rPr>
        <w:t>kardiomiopatią</w:t>
      </w:r>
      <w:proofErr w:type="spellEnd"/>
      <w:r w:rsidRPr="008D7632">
        <w:rPr>
          <w:rStyle w:val="y2iqfc"/>
          <w:rFonts w:ascii="Times New Roman" w:hAnsi="Times New Roman" w:cs="Times New Roman"/>
          <w:color w:val="000000" w:themeColor="text1"/>
          <w:sz w:val="24"/>
          <w:szCs w:val="24"/>
          <w:u w:val="single"/>
        </w:rPr>
        <w:t xml:space="preserve"> przerostową</w:t>
      </w:r>
      <w:r w:rsidRPr="008D7632">
        <w:rPr>
          <w:rStyle w:val="y2iqfc"/>
          <w:rFonts w:ascii="Times New Roman" w:hAnsi="Times New Roman" w:cs="Times New Roman"/>
          <w:color w:val="000000" w:themeColor="text1"/>
          <w:sz w:val="24"/>
          <w:szCs w:val="24"/>
        </w:rPr>
        <w:t xml:space="preserve"> </w:t>
      </w:r>
      <w:r w:rsidR="0011195D" w:rsidRPr="008D7632">
        <w:rPr>
          <w:rStyle w:val="y2iqfc"/>
          <w:rFonts w:ascii="Times New Roman" w:hAnsi="Times New Roman" w:cs="Times New Roman"/>
          <w:color w:val="000000" w:themeColor="text1"/>
          <w:sz w:val="24"/>
          <w:szCs w:val="24"/>
        </w:rPr>
        <w:t>(</w:t>
      </w:r>
      <w:r w:rsidRPr="008D7632">
        <w:rPr>
          <w:rStyle w:val="y2iqfc"/>
          <w:rFonts w:ascii="Times New Roman" w:hAnsi="Times New Roman" w:cs="Times New Roman"/>
          <w:color w:val="000000" w:themeColor="text1"/>
          <w:sz w:val="24"/>
          <w:szCs w:val="24"/>
        </w:rPr>
        <w:t>60-70</w:t>
      </w:r>
      <w:r w:rsidR="00157562" w:rsidRPr="008D7632">
        <w:rPr>
          <w:rStyle w:val="y2iqfc"/>
          <w:rFonts w:ascii="Times New Roman" w:hAnsi="Times New Roman" w:cs="Times New Roman"/>
          <w:color w:val="000000" w:themeColor="text1"/>
          <w:sz w:val="24"/>
          <w:szCs w:val="24"/>
        </w:rPr>
        <w:t>%</w:t>
      </w:r>
      <w:r w:rsidRPr="008D7632">
        <w:rPr>
          <w:rStyle w:val="y2iqfc"/>
          <w:rFonts w:ascii="Times New Roman" w:hAnsi="Times New Roman" w:cs="Times New Roman"/>
          <w:color w:val="000000" w:themeColor="text1"/>
          <w:sz w:val="24"/>
          <w:szCs w:val="24"/>
        </w:rPr>
        <w:t>). Uważa się, że u większości pacjentów występują nieprawidłowości ściany serca, chociaż często przebiegają one bezobjawowo.</w:t>
      </w:r>
      <w:r w:rsidR="000C2624" w:rsidRPr="008D7632">
        <w:rPr>
          <w:rStyle w:val="y2iqfc"/>
          <w:rFonts w:ascii="Times New Roman" w:hAnsi="Times New Roman" w:cs="Times New Roman"/>
          <w:color w:val="000000" w:themeColor="text1"/>
          <w:sz w:val="24"/>
          <w:szCs w:val="24"/>
        </w:rPr>
        <w:t xml:space="preserve"> </w:t>
      </w:r>
      <w:r w:rsidR="00B54C8E" w:rsidRPr="008D7632">
        <w:rPr>
          <w:rStyle w:val="y2iqfc"/>
          <w:rFonts w:ascii="Times New Roman" w:hAnsi="Times New Roman" w:cs="Times New Roman"/>
          <w:color w:val="000000" w:themeColor="text1"/>
          <w:sz w:val="24"/>
          <w:szCs w:val="24"/>
        </w:rPr>
        <w:t>U około 20% chorych badanie echokardiograficzne wykazuje obniżoną frakcję wyrzutową, która ma tendencję do zmniejszania się wraz z wiekiem.</w:t>
      </w:r>
      <w:r w:rsidR="00B54C8E" w:rsidRPr="008D7632">
        <w:rPr>
          <w:rStyle w:val="Pogrubienie"/>
          <w:rFonts w:ascii="Times New Roman" w:hAnsi="Times New Roman" w:cs="Times New Roman"/>
          <w:color w:val="000000" w:themeColor="text1"/>
          <w:sz w:val="24"/>
          <w:szCs w:val="24"/>
        </w:rPr>
        <w:t xml:space="preserve"> </w:t>
      </w:r>
      <w:r w:rsidR="000C2624" w:rsidRPr="008D7632">
        <w:rPr>
          <w:rStyle w:val="y2iqfc"/>
          <w:rFonts w:ascii="Times New Roman" w:hAnsi="Times New Roman" w:cs="Times New Roman"/>
          <w:color w:val="000000" w:themeColor="text1"/>
          <w:sz w:val="24"/>
          <w:szCs w:val="24"/>
        </w:rPr>
        <w:t>Oprócz jawnej niewydolności serca u pacjentów z FA może występować kilka innych objawów kardiologicznych. Część pacjentów zgłasza ból w klatce piersiowej, przypominający klasyczną dławicę piersiową, choć nie zawsze związany jest on z wysiłkiem fizycznym [1, 6].</w:t>
      </w:r>
      <w:r w:rsidR="00B23279" w:rsidRPr="008D7632">
        <w:rPr>
          <w:rStyle w:val="y2iqfc"/>
          <w:rFonts w:ascii="Times New Roman" w:hAnsi="Times New Roman" w:cs="Times New Roman"/>
          <w:color w:val="000000" w:themeColor="text1"/>
          <w:sz w:val="24"/>
          <w:szCs w:val="24"/>
        </w:rPr>
        <w:t xml:space="preserve"> </w:t>
      </w:r>
      <w:r w:rsidRPr="008D7632">
        <w:rPr>
          <w:rStyle w:val="y2iqfc"/>
          <w:rFonts w:ascii="Times New Roman" w:hAnsi="Times New Roman" w:cs="Times New Roman"/>
          <w:color w:val="000000" w:themeColor="text1"/>
          <w:sz w:val="24"/>
          <w:szCs w:val="24"/>
          <w:u w:val="single"/>
        </w:rPr>
        <w:t>Cukrzyca</w:t>
      </w:r>
      <w:r w:rsidRPr="008D7632">
        <w:rPr>
          <w:rStyle w:val="y2iqfc"/>
          <w:rFonts w:ascii="Times New Roman" w:hAnsi="Times New Roman" w:cs="Times New Roman"/>
          <w:color w:val="000000" w:themeColor="text1"/>
          <w:sz w:val="24"/>
          <w:szCs w:val="24"/>
        </w:rPr>
        <w:t xml:space="preserve"> występuje częściej u pacjentów z FA w porównaniu z populacjami kontrolnymi dobranymi pod względem</w:t>
      </w:r>
      <w:r w:rsidRPr="008D7632">
        <w:rPr>
          <w:rStyle w:val="y2iqfc"/>
          <w:rFonts w:ascii="Times New Roman" w:hAnsi="Times New Roman" w:cs="Times New Roman"/>
          <w:b/>
          <w:bCs/>
          <w:color w:val="000000" w:themeColor="text1"/>
          <w:sz w:val="24"/>
          <w:szCs w:val="24"/>
        </w:rPr>
        <w:t xml:space="preserve"> </w:t>
      </w:r>
      <w:r w:rsidRPr="008D7632">
        <w:rPr>
          <w:rStyle w:val="y2iqfc"/>
          <w:rFonts w:ascii="Times New Roman" w:hAnsi="Times New Roman" w:cs="Times New Roman"/>
          <w:color w:val="000000" w:themeColor="text1"/>
          <w:sz w:val="24"/>
          <w:szCs w:val="24"/>
        </w:rPr>
        <w:t xml:space="preserve">wieku. Młodszy wiek wystąpienia pierwszych objawów i dłuższy czas trwania choroby zwiększają ryzyko wystąpienia cukrzycy, która nieleczona może objawić się ostrą kwasicą ketonową [1]. Szacunkowe dane dotyczące częstości występowania cukrzycy oraz nieprawidłowej tolerancji glukozy wahają się od 10% do 65%. Cukrzyca w FA jest cechą wysoce zmienną i zależną od wieku [2]. </w:t>
      </w:r>
    </w:p>
    <w:p w14:paraId="7B18CC9D" w14:textId="4E7C6757" w:rsidR="00A211C1" w:rsidRPr="008D7632" w:rsidRDefault="00A211C1" w:rsidP="0049062D">
      <w:pPr>
        <w:pStyle w:val="HTML-wstpniesformatowany"/>
        <w:rPr>
          <w:rStyle w:val="y2iqfc"/>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 xml:space="preserve">FA jest chorobą postępującą. Dowody sugerują, że osoby z wcześniejszym początkiem choroby mają cięższy i dynamiczniej postępujący przebieg choroby. Najczęstszą przyczyną </w:t>
      </w:r>
      <w:r w:rsidRPr="008D7632">
        <w:rPr>
          <w:rStyle w:val="y2iqfc"/>
          <w:rFonts w:ascii="Times New Roman" w:hAnsi="Times New Roman" w:cs="Times New Roman"/>
          <w:color w:val="000000" w:themeColor="text1"/>
          <w:sz w:val="24"/>
          <w:szCs w:val="24"/>
          <w:u w:val="single"/>
        </w:rPr>
        <w:t>zgonu</w:t>
      </w:r>
      <w:r w:rsidRPr="008D7632">
        <w:rPr>
          <w:rStyle w:val="y2iqfc"/>
          <w:rFonts w:ascii="Times New Roman" w:hAnsi="Times New Roman" w:cs="Times New Roman"/>
          <w:color w:val="000000" w:themeColor="text1"/>
          <w:sz w:val="24"/>
          <w:szCs w:val="24"/>
        </w:rPr>
        <w:t xml:space="preserve"> w FA są dysfunkcje kardiologiczne, takie jak zastoinowa niewydolność serca lub arytmia. Średni wiek zgonu wynos</w:t>
      </w:r>
      <w:r w:rsidR="005A13EA" w:rsidRPr="008D7632">
        <w:rPr>
          <w:rStyle w:val="y2iqfc"/>
          <w:rFonts w:ascii="Times New Roman" w:hAnsi="Times New Roman" w:cs="Times New Roman"/>
          <w:color w:val="000000" w:themeColor="text1"/>
          <w:sz w:val="24"/>
          <w:szCs w:val="24"/>
        </w:rPr>
        <w:t>i</w:t>
      </w:r>
      <w:r w:rsidRPr="008D7632">
        <w:rPr>
          <w:rStyle w:val="y2iqfc"/>
          <w:rFonts w:ascii="Times New Roman" w:hAnsi="Times New Roman" w:cs="Times New Roman"/>
          <w:color w:val="000000" w:themeColor="text1"/>
          <w:sz w:val="24"/>
          <w:szCs w:val="24"/>
        </w:rPr>
        <w:t xml:space="preserve"> 3</w:t>
      </w:r>
      <w:r w:rsidR="0049062D" w:rsidRPr="008D7632">
        <w:rPr>
          <w:rStyle w:val="y2iqfc"/>
          <w:rFonts w:ascii="Times New Roman" w:hAnsi="Times New Roman" w:cs="Times New Roman"/>
          <w:color w:val="000000" w:themeColor="text1"/>
          <w:sz w:val="24"/>
          <w:szCs w:val="24"/>
        </w:rPr>
        <w:t>7</w:t>
      </w:r>
      <w:r w:rsidRPr="008D7632">
        <w:rPr>
          <w:rStyle w:val="y2iqfc"/>
          <w:rFonts w:ascii="Times New Roman" w:hAnsi="Times New Roman" w:cs="Times New Roman"/>
          <w:color w:val="000000" w:themeColor="text1"/>
          <w:sz w:val="24"/>
          <w:szCs w:val="24"/>
        </w:rPr>
        <w:t xml:space="preserve"> lat</w:t>
      </w:r>
      <w:r w:rsidR="00157562" w:rsidRPr="008D7632">
        <w:rPr>
          <w:rStyle w:val="y2iqfc"/>
          <w:rFonts w:ascii="Times New Roman" w:hAnsi="Times New Roman" w:cs="Times New Roman"/>
          <w:color w:val="000000" w:themeColor="text1"/>
          <w:sz w:val="24"/>
          <w:szCs w:val="24"/>
        </w:rPr>
        <w:t xml:space="preserve"> (zakres </w:t>
      </w:r>
      <w:r w:rsidR="0049062D" w:rsidRPr="008D7632">
        <w:rPr>
          <w:rStyle w:val="y2iqfc"/>
          <w:rFonts w:ascii="Times New Roman" w:hAnsi="Times New Roman" w:cs="Times New Roman"/>
          <w:color w:val="000000" w:themeColor="text1"/>
          <w:sz w:val="24"/>
          <w:szCs w:val="24"/>
        </w:rPr>
        <w:t xml:space="preserve">wiekowy </w:t>
      </w:r>
      <w:r w:rsidR="00157562" w:rsidRPr="008D7632">
        <w:rPr>
          <w:rStyle w:val="y2iqfc"/>
          <w:rFonts w:ascii="Times New Roman" w:hAnsi="Times New Roman" w:cs="Times New Roman"/>
          <w:color w:val="000000" w:themeColor="text1"/>
          <w:sz w:val="24"/>
          <w:szCs w:val="24"/>
        </w:rPr>
        <w:t>12-87</w:t>
      </w:r>
      <w:r w:rsidR="0049062D" w:rsidRPr="008D7632">
        <w:rPr>
          <w:rStyle w:val="y2iqfc"/>
          <w:rFonts w:ascii="Times New Roman" w:hAnsi="Times New Roman" w:cs="Times New Roman"/>
          <w:color w:val="000000" w:themeColor="text1"/>
          <w:sz w:val="24"/>
          <w:szCs w:val="24"/>
        </w:rPr>
        <w:t>; około 25 lat lub więcej od wystąpienia choroby nawet u najmłodszych pacjentów</w:t>
      </w:r>
      <w:r w:rsidR="00157562" w:rsidRPr="008D7632">
        <w:rPr>
          <w:rStyle w:val="y2iqfc"/>
          <w:rFonts w:ascii="Times New Roman" w:hAnsi="Times New Roman" w:cs="Times New Roman"/>
          <w:color w:val="000000" w:themeColor="text1"/>
          <w:sz w:val="24"/>
          <w:szCs w:val="24"/>
        </w:rPr>
        <w:t>)</w:t>
      </w:r>
      <w:r w:rsidR="0049062D" w:rsidRPr="008D7632">
        <w:rPr>
          <w:rStyle w:val="y2iqfc"/>
          <w:rFonts w:ascii="Times New Roman" w:hAnsi="Times New Roman" w:cs="Times New Roman"/>
          <w:color w:val="000000" w:themeColor="text1"/>
          <w:sz w:val="24"/>
          <w:szCs w:val="24"/>
        </w:rPr>
        <w:t xml:space="preserve"> [1, 2].</w:t>
      </w:r>
      <w:r w:rsidRPr="008D7632">
        <w:rPr>
          <w:rStyle w:val="y2iqfc"/>
          <w:rFonts w:ascii="Times New Roman" w:hAnsi="Times New Roman" w:cs="Times New Roman"/>
          <w:color w:val="000000" w:themeColor="text1"/>
          <w:sz w:val="24"/>
          <w:szCs w:val="24"/>
        </w:rPr>
        <w:t xml:space="preserve"> Inne </w:t>
      </w:r>
      <w:r w:rsidR="005A13EA" w:rsidRPr="008D7632">
        <w:rPr>
          <w:rStyle w:val="y2iqfc"/>
          <w:rFonts w:ascii="Times New Roman" w:hAnsi="Times New Roman" w:cs="Times New Roman"/>
          <w:color w:val="000000" w:themeColor="text1"/>
          <w:sz w:val="24"/>
          <w:szCs w:val="24"/>
        </w:rPr>
        <w:t xml:space="preserve">odnotowywane </w:t>
      </w:r>
      <w:r w:rsidRPr="008D7632">
        <w:rPr>
          <w:rStyle w:val="y2iqfc"/>
          <w:rFonts w:ascii="Times New Roman" w:hAnsi="Times New Roman" w:cs="Times New Roman"/>
          <w:color w:val="000000" w:themeColor="text1"/>
          <w:sz w:val="24"/>
          <w:szCs w:val="24"/>
        </w:rPr>
        <w:t>przyczyny zgonu to udar niedokrwienny, choroby serca i zapalenie płuc [1].</w:t>
      </w:r>
    </w:p>
    <w:p w14:paraId="4EFEA36D" w14:textId="77777777" w:rsidR="0049062D" w:rsidRPr="008D7632" w:rsidRDefault="0049062D" w:rsidP="00A211C1">
      <w:pPr>
        <w:rPr>
          <w:rStyle w:val="y2iqfc"/>
          <w:rFonts w:ascii="Times New Roman" w:hAnsi="Times New Roman" w:cs="Times New Roman"/>
          <w:color w:val="000000" w:themeColor="text1"/>
          <w:sz w:val="24"/>
          <w:szCs w:val="24"/>
        </w:rPr>
      </w:pPr>
    </w:p>
    <w:p w14:paraId="016E929C" w14:textId="77777777" w:rsidR="00A211C1" w:rsidRPr="008D7632" w:rsidRDefault="00A211C1" w:rsidP="00A211C1">
      <w:pPr>
        <w:pStyle w:val="HTML-wstpniesformatowany"/>
        <w:rPr>
          <w:rFonts w:ascii="Times New Roman" w:hAnsi="Times New Roman" w:cs="Times New Roman"/>
          <w:color w:val="000000" w:themeColor="text1"/>
          <w:sz w:val="24"/>
          <w:szCs w:val="24"/>
        </w:rPr>
      </w:pPr>
      <w:r w:rsidRPr="008D7632">
        <w:rPr>
          <w:rStyle w:val="y2iqfc"/>
          <w:rFonts w:ascii="Times New Roman" w:eastAsiaTheme="majorEastAsia" w:hAnsi="Times New Roman" w:cs="Times New Roman"/>
          <w:color w:val="000000" w:themeColor="text1"/>
          <w:sz w:val="24"/>
          <w:szCs w:val="24"/>
        </w:rPr>
        <w:t xml:space="preserve">Istnieje wiele mierników oceny stanu klinicznego pacjenta z FA. Do oceny stanu neurologicznego można wykorzystać Międzynarodową Skalę Oceny Ataksji (ICARS), Skalę Oceny Ataksji </w:t>
      </w:r>
      <w:proofErr w:type="spellStart"/>
      <w:r w:rsidRPr="008D7632">
        <w:rPr>
          <w:rStyle w:val="y2iqfc"/>
          <w:rFonts w:ascii="Times New Roman" w:eastAsiaTheme="majorEastAsia" w:hAnsi="Times New Roman" w:cs="Times New Roman"/>
          <w:color w:val="000000" w:themeColor="text1"/>
          <w:sz w:val="24"/>
          <w:szCs w:val="24"/>
        </w:rPr>
        <w:t>Friedreicha</w:t>
      </w:r>
      <w:proofErr w:type="spellEnd"/>
      <w:r w:rsidRPr="008D7632">
        <w:rPr>
          <w:rStyle w:val="y2iqfc"/>
          <w:rFonts w:ascii="Times New Roman" w:eastAsiaTheme="majorEastAsia" w:hAnsi="Times New Roman" w:cs="Times New Roman"/>
          <w:color w:val="000000" w:themeColor="text1"/>
          <w:sz w:val="24"/>
          <w:szCs w:val="24"/>
        </w:rPr>
        <w:t xml:space="preserve"> (FARS) oraz Skalę Oceny Ataksji (Scala for </w:t>
      </w:r>
      <w:proofErr w:type="spellStart"/>
      <w:r w:rsidRPr="008D7632">
        <w:rPr>
          <w:rStyle w:val="y2iqfc"/>
          <w:rFonts w:ascii="Times New Roman" w:eastAsiaTheme="majorEastAsia" w:hAnsi="Times New Roman" w:cs="Times New Roman"/>
          <w:color w:val="000000" w:themeColor="text1"/>
          <w:sz w:val="24"/>
          <w:szCs w:val="24"/>
        </w:rPr>
        <w:t>Assessment</w:t>
      </w:r>
      <w:proofErr w:type="spellEnd"/>
      <w:r w:rsidRPr="008D7632">
        <w:rPr>
          <w:rStyle w:val="y2iqfc"/>
          <w:rFonts w:ascii="Times New Roman" w:eastAsiaTheme="majorEastAsia" w:hAnsi="Times New Roman" w:cs="Times New Roman"/>
          <w:color w:val="000000" w:themeColor="text1"/>
          <w:sz w:val="24"/>
          <w:szCs w:val="24"/>
        </w:rPr>
        <w:t xml:space="preserve"> and Rating of </w:t>
      </w:r>
      <w:proofErr w:type="spellStart"/>
      <w:r w:rsidRPr="008D7632">
        <w:rPr>
          <w:rStyle w:val="y2iqfc"/>
          <w:rFonts w:ascii="Times New Roman" w:eastAsiaTheme="majorEastAsia" w:hAnsi="Times New Roman" w:cs="Times New Roman"/>
          <w:color w:val="000000" w:themeColor="text1"/>
          <w:sz w:val="24"/>
          <w:szCs w:val="24"/>
        </w:rPr>
        <w:t>Ataxia</w:t>
      </w:r>
      <w:proofErr w:type="spellEnd"/>
      <w:r w:rsidRPr="008D7632">
        <w:rPr>
          <w:rStyle w:val="y2iqfc"/>
          <w:rFonts w:ascii="Times New Roman" w:eastAsiaTheme="majorEastAsia" w:hAnsi="Times New Roman" w:cs="Times New Roman"/>
          <w:color w:val="000000" w:themeColor="text1"/>
          <w:sz w:val="24"/>
          <w:szCs w:val="24"/>
        </w:rPr>
        <w:t>, SARA). Każda z nich jest ilościowym badaniem neurologicznym, koncentrującym się na elementach dotyczących równowagi, koordynacji i chodu, z niewielką liczbą elementów dotyczących innych aspektów neurologicznych. Chociaż różnią się nieznacznie, ich mocne i słabe strony są podobne. Funkcję neurologiczną można również określić za pomocą pomiarów wydajności, prostych, wymiernych testów (np. spacery z pomiarem czasu), które wychwytują pojedyncze elementy fenotypu choroby. Takie miary wyników są z natury bardziej obiektywne niż skale ocen, ale są bardziej ograniczone pod względem mierzonych wymiarów. Wszystkie mają jednak istotne znaczenie dla badań klinicznych w FA [1, 5, 6].</w:t>
      </w:r>
    </w:p>
    <w:p w14:paraId="09FB099F" w14:textId="77777777" w:rsidR="00A211C1" w:rsidRPr="008D7632" w:rsidRDefault="00A211C1" w:rsidP="00A211C1">
      <w:pPr>
        <w:rPr>
          <w:rStyle w:val="y2iqfc"/>
          <w:rFonts w:ascii="Times New Roman" w:hAnsi="Times New Roman" w:cs="Times New Roman"/>
          <w:color w:val="000000" w:themeColor="text1"/>
          <w:sz w:val="24"/>
          <w:szCs w:val="24"/>
        </w:rPr>
      </w:pPr>
    </w:p>
    <w:p w14:paraId="7EACCCE9" w14:textId="77777777" w:rsidR="00A211C1" w:rsidRPr="008D7632" w:rsidRDefault="00A211C1" w:rsidP="00A211C1">
      <w:pPr>
        <w:rPr>
          <w:rStyle w:val="y2iqfc"/>
          <w:rFonts w:ascii="Times New Roman" w:hAnsi="Times New Roman" w:cs="Times New Roman"/>
          <w:b/>
          <w:bCs/>
          <w:color w:val="000000" w:themeColor="text1"/>
          <w:sz w:val="36"/>
          <w:szCs w:val="36"/>
        </w:rPr>
      </w:pPr>
      <w:r w:rsidRPr="008D7632">
        <w:rPr>
          <w:rStyle w:val="y2iqfc"/>
          <w:rFonts w:ascii="Times New Roman" w:hAnsi="Times New Roman" w:cs="Times New Roman"/>
          <w:b/>
          <w:bCs/>
          <w:color w:val="000000" w:themeColor="text1"/>
          <w:sz w:val="36"/>
          <w:szCs w:val="36"/>
        </w:rPr>
        <w:t>DIAGNOSTYKA I LECZENIE</w:t>
      </w:r>
    </w:p>
    <w:p w14:paraId="463DFC2B" w14:textId="77777777" w:rsidR="00A211C1" w:rsidRPr="008D7632" w:rsidRDefault="00A211C1" w:rsidP="00A211C1">
      <w:pPr>
        <w:rPr>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 xml:space="preserve">Szybka identyfikacja pacjentów za pomocą testów genetycznych jest kluczową częścią diagnostyki i planowania opieki. Ponieważ jest to choroba recesywna, większość pacjentów nie ma w rodzinie przypadków FA i do czasu opracowania terapii nie ma więc palącej potrzeby przeprowadzania powszechnych badań przesiewowych. Zamiast tego diagnozę stawia się zwykle po wystąpieniu objawów, zwykle przez neurologów dziecięcych, kardiologów lub ortopedów, a nie lekarzy podstawowej opieki zdrowotnej czy genetyków. Rozpoznanie FA potwierdza dodatni wynik testu genetycznego w kierunku mutacji </w:t>
      </w:r>
      <w:proofErr w:type="spellStart"/>
      <w:r w:rsidRPr="008D7632">
        <w:rPr>
          <w:rStyle w:val="y2iqfc"/>
          <w:rFonts w:ascii="Times New Roman" w:hAnsi="Times New Roman" w:cs="Times New Roman"/>
          <w:color w:val="000000" w:themeColor="text1"/>
          <w:sz w:val="24"/>
          <w:szCs w:val="24"/>
        </w:rPr>
        <w:t>biallelicznych</w:t>
      </w:r>
      <w:proofErr w:type="spellEnd"/>
      <w:r w:rsidRPr="008D7632">
        <w:rPr>
          <w:rStyle w:val="y2iqfc"/>
          <w:rFonts w:ascii="Times New Roman" w:hAnsi="Times New Roman" w:cs="Times New Roman"/>
          <w:color w:val="000000" w:themeColor="text1"/>
          <w:sz w:val="24"/>
          <w:szCs w:val="24"/>
        </w:rPr>
        <w:t xml:space="preserve"> w odpowiednim kontekście klinicznym (ataksja, </w:t>
      </w:r>
      <w:proofErr w:type="spellStart"/>
      <w:r w:rsidRPr="008D7632">
        <w:rPr>
          <w:rStyle w:val="y2iqfc"/>
          <w:rFonts w:ascii="Times New Roman" w:hAnsi="Times New Roman" w:cs="Times New Roman"/>
          <w:color w:val="000000" w:themeColor="text1"/>
          <w:sz w:val="24"/>
          <w:szCs w:val="24"/>
        </w:rPr>
        <w:t>kardiomiopatia</w:t>
      </w:r>
      <w:proofErr w:type="spellEnd"/>
      <w:r w:rsidRPr="008D7632">
        <w:rPr>
          <w:rStyle w:val="y2iqfc"/>
          <w:rFonts w:ascii="Times New Roman" w:hAnsi="Times New Roman" w:cs="Times New Roman"/>
          <w:color w:val="000000" w:themeColor="text1"/>
          <w:sz w:val="24"/>
          <w:szCs w:val="24"/>
        </w:rPr>
        <w:t xml:space="preserve">, skolioza). Ukierunkowane testy bezpośrednio oceniają długość powtórzeń GAA w FXN. Sam ten test będzie diagnostyczny u 96% pacjentów z FA, a 4% pacjentów będzie wymagało sekwencjonowania FXN, identyfikującego jeden </w:t>
      </w:r>
      <w:proofErr w:type="spellStart"/>
      <w:r w:rsidRPr="008D7632">
        <w:rPr>
          <w:rStyle w:val="y2iqfc"/>
          <w:rFonts w:ascii="Times New Roman" w:hAnsi="Times New Roman" w:cs="Times New Roman"/>
          <w:color w:val="000000" w:themeColor="text1"/>
          <w:sz w:val="24"/>
          <w:szCs w:val="24"/>
        </w:rPr>
        <w:t>allel</w:t>
      </w:r>
      <w:proofErr w:type="spellEnd"/>
      <w:r w:rsidRPr="008D7632">
        <w:rPr>
          <w:rStyle w:val="y2iqfc"/>
          <w:rFonts w:ascii="Times New Roman" w:hAnsi="Times New Roman" w:cs="Times New Roman"/>
          <w:color w:val="000000" w:themeColor="text1"/>
          <w:sz w:val="24"/>
          <w:szCs w:val="24"/>
        </w:rPr>
        <w:t xml:space="preserve"> ekspandowany i jeden </w:t>
      </w:r>
      <w:proofErr w:type="spellStart"/>
      <w:r w:rsidRPr="008D7632">
        <w:rPr>
          <w:rStyle w:val="y2iqfc"/>
          <w:rFonts w:ascii="Times New Roman" w:hAnsi="Times New Roman" w:cs="Times New Roman"/>
          <w:color w:val="000000" w:themeColor="text1"/>
          <w:sz w:val="24"/>
          <w:szCs w:val="24"/>
        </w:rPr>
        <w:t>allel</w:t>
      </w:r>
      <w:proofErr w:type="spellEnd"/>
      <w:r w:rsidRPr="008D7632">
        <w:rPr>
          <w:rStyle w:val="y2iqfc"/>
          <w:rFonts w:ascii="Times New Roman" w:hAnsi="Times New Roman" w:cs="Times New Roman"/>
          <w:color w:val="000000" w:themeColor="text1"/>
          <w:sz w:val="24"/>
          <w:szCs w:val="24"/>
        </w:rPr>
        <w:t xml:space="preserve"> prawidłowy na podstawie wielkości powtórzeń GAA. Planując badania genetyczne, należy pamiętać, że sekwencjonowanie całego </w:t>
      </w:r>
      <w:proofErr w:type="spellStart"/>
      <w:r w:rsidRPr="008D7632">
        <w:rPr>
          <w:rStyle w:val="y2iqfc"/>
          <w:rFonts w:ascii="Times New Roman" w:hAnsi="Times New Roman" w:cs="Times New Roman"/>
          <w:color w:val="000000" w:themeColor="text1"/>
          <w:sz w:val="24"/>
          <w:szCs w:val="24"/>
        </w:rPr>
        <w:t>eksonu</w:t>
      </w:r>
      <w:proofErr w:type="spellEnd"/>
      <w:r w:rsidRPr="008D7632">
        <w:rPr>
          <w:rStyle w:val="y2iqfc"/>
          <w:rFonts w:ascii="Times New Roman" w:hAnsi="Times New Roman" w:cs="Times New Roman"/>
          <w:color w:val="000000" w:themeColor="text1"/>
          <w:sz w:val="24"/>
          <w:szCs w:val="24"/>
        </w:rPr>
        <w:t xml:space="preserve"> (WES) lub sekwencjonowanie nowej generacji nie pozwala na identyfikację ekspansji; dlatego większość testów WES jest prawidłowa u pacjentów z FA. W związku z tym powtórzenie testu GAA jest zawsze właściwym punktem wyjścia u każdego pacjenta, u którego FA jest podejrzewane [2]. Istotne jest także, aby nowo zdiagnozowane osoby były kierowane do poradni genetycznej w celu omówienia kwestii dziedziczenia, implikacji dla członków rodziny oraz możliwości badań diagnostycznych.</w:t>
      </w:r>
    </w:p>
    <w:p w14:paraId="52FFE70B" w14:textId="77777777" w:rsidR="00A211C1" w:rsidRPr="008D7632" w:rsidRDefault="00A211C1" w:rsidP="00A211C1">
      <w:pPr>
        <w:rPr>
          <w:rStyle w:val="y2iqfc"/>
          <w:rFonts w:ascii="Times New Roman" w:hAnsi="Times New Roman" w:cs="Times New Roman"/>
          <w:color w:val="000000" w:themeColor="text1"/>
          <w:sz w:val="24"/>
          <w:szCs w:val="24"/>
        </w:rPr>
      </w:pPr>
      <w:r w:rsidRPr="008D7632">
        <w:rPr>
          <w:rFonts w:ascii="Times New Roman" w:eastAsia="Times New Roman" w:hAnsi="Times New Roman" w:cs="Times New Roman"/>
          <w:color w:val="000000" w:themeColor="text1"/>
          <w:sz w:val="24"/>
          <w:szCs w:val="24"/>
          <w:lang w:eastAsia="pl-PL"/>
        </w:rPr>
        <w:t xml:space="preserve">Postępowanie w FA od lat koncentruje się na leczeniu objawowym, realizowanym przez </w:t>
      </w:r>
      <w:proofErr w:type="spellStart"/>
      <w:r w:rsidRPr="008D7632">
        <w:rPr>
          <w:rFonts w:ascii="Times New Roman" w:eastAsia="Times New Roman" w:hAnsi="Times New Roman" w:cs="Times New Roman"/>
          <w:color w:val="000000" w:themeColor="text1"/>
          <w:sz w:val="24"/>
          <w:szCs w:val="24"/>
          <w:lang w:eastAsia="pl-PL"/>
        </w:rPr>
        <w:t>multidyscyplinarne</w:t>
      </w:r>
      <w:proofErr w:type="spellEnd"/>
      <w:r w:rsidRPr="008D7632">
        <w:rPr>
          <w:rFonts w:ascii="Times New Roman" w:eastAsia="Times New Roman" w:hAnsi="Times New Roman" w:cs="Times New Roman"/>
          <w:color w:val="000000" w:themeColor="text1"/>
          <w:sz w:val="24"/>
          <w:szCs w:val="24"/>
          <w:lang w:eastAsia="pl-PL"/>
        </w:rPr>
        <w:t xml:space="preserve"> zespoły fizjoterapeutów, logopedów i lekarzy specjalizacji dziecięcych oraz dorosłych [2].</w:t>
      </w:r>
      <w:r w:rsidRPr="008D7632">
        <w:rPr>
          <w:rStyle w:val="y2iqfc"/>
          <w:rFonts w:ascii="Times New Roman" w:hAnsi="Times New Roman" w:cs="Times New Roman"/>
          <w:color w:val="000000" w:themeColor="text1"/>
          <w:sz w:val="24"/>
          <w:szCs w:val="24"/>
        </w:rPr>
        <w:t xml:space="preserve"> Fizjoterapia może pomóc pacjentom z FA, przeciwdziałając skutkom ataksji, osłabienia i spastyczności, opóźniając, podtrzymując, a nawet wzmacniając osłabione funkcje [1]. Spastyczność i przykurcze mogą wymagać interwencji farmakologicznej takiej jak </w:t>
      </w:r>
      <w:proofErr w:type="spellStart"/>
      <w:r w:rsidRPr="008D7632">
        <w:rPr>
          <w:rStyle w:val="y2iqfc"/>
          <w:rFonts w:ascii="Times New Roman" w:hAnsi="Times New Roman" w:cs="Times New Roman"/>
          <w:color w:val="000000" w:themeColor="text1"/>
          <w:sz w:val="24"/>
          <w:szCs w:val="24"/>
        </w:rPr>
        <w:t>baklofen</w:t>
      </w:r>
      <w:proofErr w:type="spellEnd"/>
      <w:r w:rsidRPr="008D7632">
        <w:rPr>
          <w:rStyle w:val="y2iqfc"/>
          <w:rFonts w:ascii="Times New Roman" w:hAnsi="Times New Roman" w:cs="Times New Roman"/>
          <w:color w:val="000000" w:themeColor="text1"/>
          <w:sz w:val="24"/>
          <w:szCs w:val="24"/>
        </w:rPr>
        <w:t xml:space="preserve">, </w:t>
      </w:r>
      <w:proofErr w:type="spellStart"/>
      <w:r w:rsidRPr="008D7632">
        <w:rPr>
          <w:rStyle w:val="y2iqfc"/>
          <w:rFonts w:ascii="Times New Roman" w:hAnsi="Times New Roman" w:cs="Times New Roman"/>
          <w:color w:val="000000" w:themeColor="text1"/>
          <w:sz w:val="24"/>
          <w:szCs w:val="24"/>
        </w:rPr>
        <w:t>tyzanadyna</w:t>
      </w:r>
      <w:proofErr w:type="spellEnd"/>
      <w:r w:rsidRPr="008D7632">
        <w:rPr>
          <w:rStyle w:val="y2iqfc"/>
          <w:rFonts w:ascii="Times New Roman" w:hAnsi="Times New Roman" w:cs="Times New Roman"/>
          <w:color w:val="000000" w:themeColor="text1"/>
          <w:sz w:val="24"/>
          <w:szCs w:val="24"/>
        </w:rPr>
        <w:t xml:space="preserve">, małe dawki </w:t>
      </w:r>
      <w:proofErr w:type="spellStart"/>
      <w:r w:rsidRPr="008D7632">
        <w:rPr>
          <w:rStyle w:val="y2iqfc"/>
          <w:rFonts w:ascii="Times New Roman" w:hAnsi="Times New Roman" w:cs="Times New Roman"/>
          <w:color w:val="000000" w:themeColor="text1"/>
          <w:sz w:val="24"/>
          <w:szCs w:val="24"/>
        </w:rPr>
        <w:t>gabapentyny</w:t>
      </w:r>
      <w:proofErr w:type="spellEnd"/>
      <w:r w:rsidRPr="008D7632">
        <w:rPr>
          <w:rStyle w:val="y2iqfc"/>
          <w:rFonts w:ascii="Times New Roman" w:hAnsi="Times New Roman" w:cs="Times New Roman"/>
          <w:color w:val="000000" w:themeColor="text1"/>
          <w:sz w:val="24"/>
          <w:szCs w:val="24"/>
        </w:rPr>
        <w:t xml:space="preserve"> i </w:t>
      </w:r>
      <w:proofErr w:type="spellStart"/>
      <w:r w:rsidRPr="008D7632">
        <w:rPr>
          <w:rStyle w:val="y2iqfc"/>
          <w:rFonts w:ascii="Times New Roman" w:hAnsi="Times New Roman" w:cs="Times New Roman"/>
          <w:color w:val="000000" w:themeColor="text1"/>
          <w:sz w:val="24"/>
          <w:szCs w:val="24"/>
        </w:rPr>
        <w:t>benzodiazepin</w:t>
      </w:r>
      <w:proofErr w:type="spellEnd"/>
      <w:r w:rsidRPr="008D7632">
        <w:rPr>
          <w:rStyle w:val="y2iqfc"/>
          <w:rFonts w:ascii="Times New Roman" w:hAnsi="Times New Roman" w:cs="Times New Roman"/>
          <w:color w:val="000000" w:themeColor="text1"/>
          <w:sz w:val="24"/>
          <w:szCs w:val="24"/>
        </w:rPr>
        <w:t xml:space="preserve">, lub bardziej zaawansowanych technik, w tym zastrzyków z </w:t>
      </w:r>
      <w:proofErr w:type="spellStart"/>
      <w:r w:rsidRPr="008D7632">
        <w:rPr>
          <w:rStyle w:val="y2iqfc"/>
          <w:rFonts w:ascii="Times New Roman" w:hAnsi="Times New Roman" w:cs="Times New Roman"/>
          <w:color w:val="000000" w:themeColor="text1"/>
          <w:sz w:val="24"/>
          <w:szCs w:val="24"/>
        </w:rPr>
        <w:t>botuliny</w:t>
      </w:r>
      <w:proofErr w:type="spellEnd"/>
      <w:r w:rsidRPr="008D7632">
        <w:rPr>
          <w:rStyle w:val="y2iqfc"/>
          <w:rFonts w:ascii="Times New Roman" w:hAnsi="Times New Roman" w:cs="Times New Roman"/>
          <w:color w:val="000000" w:themeColor="text1"/>
          <w:sz w:val="24"/>
          <w:szCs w:val="24"/>
        </w:rPr>
        <w:t xml:space="preserve">, </w:t>
      </w:r>
      <w:proofErr w:type="spellStart"/>
      <w:r w:rsidRPr="008D7632">
        <w:rPr>
          <w:rStyle w:val="y2iqfc"/>
          <w:rFonts w:ascii="Times New Roman" w:hAnsi="Times New Roman" w:cs="Times New Roman"/>
          <w:color w:val="000000" w:themeColor="text1"/>
          <w:sz w:val="24"/>
          <w:szCs w:val="24"/>
        </w:rPr>
        <w:t>dooponowych</w:t>
      </w:r>
      <w:proofErr w:type="spellEnd"/>
      <w:r w:rsidRPr="008D7632">
        <w:rPr>
          <w:rStyle w:val="y2iqfc"/>
          <w:rFonts w:ascii="Times New Roman" w:hAnsi="Times New Roman" w:cs="Times New Roman"/>
          <w:color w:val="000000" w:themeColor="text1"/>
          <w:sz w:val="24"/>
          <w:szCs w:val="24"/>
        </w:rPr>
        <w:t xml:space="preserve"> pomp </w:t>
      </w:r>
      <w:proofErr w:type="spellStart"/>
      <w:r w:rsidRPr="008D7632">
        <w:rPr>
          <w:rStyle w:val="y2iqfc"/>
          <w:rFonts w:ascii="Times New Roman" w:hAnsi="Times New Roman" w:cs="Times New Roman"/>
          <w:color w:val="000000" w:themeColor="text1"/>
          <w:sz w:val="24"/>
          <w:szCs w:val="24"/>
        </w:rPr>
        <w:t>baklofenowych</w:t>
      </w:r>
      <w:proofErr w:type="spellEnd"/>
      <w:r w:rsidRPr="008D7632">
        <w:rPr>
          <w:rStyle w:val="y2iqfc"/>
          <w:rFonts w:ascii="Times New Roman" w:hAnsi="Times New Roman" w:cs="Times New Roman"/>
          <w:color w:val="000000" w:themeColor="text1"/>
          <w:sz w:val="24"/>
          <w:szCs w:val="24"/>
        </w:rPr>
        <w:t xml:space="preserve"> [1]. Postępowanie w skoliozie u pacjentów z FA jest podobne jak w populacji ogólnej: fizjoterapia w celu wzmocnienia siły tułowia, usztywnienia stabilizujące kręgosłup podczas wzrostu, a w przypadku niepowodzenia w leczeniu progresji, interwencja chirurgiczna, gdy kąty </w:t>
      </w:r>
      <w:proofErr w:type="spellStart"/>
      <w:r w:rsidRPr="008D7632">
        <w:rPr>
          <w:rStyle w:val="y2iqfc"/>
          <w:rFonts w:ascii="Times New Roman" w:hAnsi="Times New Roman" w:cs="Times New Roman"/>
          <w:color w:val="000000" w:themeColor="text1"/>
          <w:sz w:val="24"/>
          <w:szCs w:val="24"/>
        </w:rPr>
        <w:t>Cobba</w:t>
      </w:r>
      <w:proofErr w:type="spellEnd"/>
      <w:r w:rsidRPr="008D7632">
        <w:rPr>
          <w:rStyle w:val="y2iqfc"/>
          <w:rFonts w:ascii="Times New Roman" w:hAnsi="Times New Roman" w:cs="Times New Roman"/>
          <w:color w:val="000000" w:themeColor="text1"/>
          <w:sz w:val="24"/>
          <w:szCs w:val="24"/>
        </w:rPr>
        <w:t xml:space="preserve"> osiągną dużą wartość (w przybliżeniu większą niż 45 stopni). Bez takiej interwencji mogą wystąpić wtórne powikłania neurologiczne (ból, utrata stabilności), a w </w:t>
      </w:r>
      <w:r w:rsidRPr="008D7632">
        <w:rPr>
          <w:rStyle w:val="y2iqfc"/>
          <w:rFonts w:ascii="Times New Roman" w:hAnsi="Times New Roman" w:cs="Times New Roman"/>
          <w:color w:val="000000" w:themeColor="text1"/>
          <w:sz w:val="24"/>
          <w:szCs w:val="24"/>
        </w:rPr>
        <w:lastRenderedPageBreak/>
        <w:t xml:space="preserve">ostateczności zaburzenia krążeniowo-oddechowe i restrykcyjna choroba płuc [2]. Problemy z </w:t>
      </w:r>
      <w:r w:rsidRPr="008D7632">
        <w:rPr>
          <w:rStyle w:val="y2iqfc"/>
          <w:rFonts w:ascii="Times New Roman" w:hAnsi="Times New Roman" w:cs="Times New Roman"/>
          <w:color w:val="000000" w:themeColor="text1"/>
          <w:sz w:val="24"/>
          <w:szCs w:val="24"/>
          <w:u w:val="single"/>
        </w:rPr>
        <w:t>mową</w:t>
      </w:r>
      <w:r w:rsidRPr="008D7632">
        <w:rPr>
          <w:rStyle w:val="y2iqfc"/>
          <w:rFonts w:ascii="Times New Roman" w:hAnsi="Times New Roman" w:cs="Times New Roman"/>
          <w:color w:val="000000" w:themeColor="text1"/>
          <w:sz w:val="24"/>
          <w:szCs w:val="24"/>
        </w:rPr>
        <w:t xml:space="preserve"> i </w:t>
      </w:r>
      <w:r w:rsidRPr="008D7632">
        <w:rPr>
          <w:rStyle w:val="y2iqfc"/>
          <w:rFonts w:ascii="Times New Roman" w:hAnsi="Times New Roman" w:cs="Times New Roman"/>
          <w:color w:val="000000" w:themeColor="text1"/>
          <w:sz w:val="24"/>
          <w:szCs w:val="24"/>
          <w:u w:val="single"/>
        </w:rPr>
        <w:t>połykaniem</w:t>
      </w:r>
      <w:r w:rsidRPr="008D7632">
        <w:rPr>
          <w:rStyle w:val="y2iqfc"/>
          <w:rFonts w:ascii="Times New Roman" w:hAnsi="Times New Roman" w:cs="Times New Roman"/>
          <w:color w:val="000000" w:themeColor="text1"/>
          <w:sz w:val="24"/>
          <w:szCs w:val="24"/>
        </w:rPr>
        <w:t xml:space="preserve"> są powszechne w FA i wymagają specjalistycznej pomocy w ocenie, monitorowaniu i leczeniu [1]. Strategie behawioralne, terapia logopedyczna, działania fizjoterapeutyczne nad aparatem mowy, trening postawy ciała podczas jedzenia to kolejne z elementów terapii. Modyfikacja </w:t>
      </w:r>
      <w:r w:rsidRPr="008D7632">
        <w:rPr>
          <w:rStyle w:val="y2iqfc"/>
          <w:rFonts w:ascii="Times New Roman" w:hAnsi="Times New Roman" w:cs="Times New Roman"/>
          <w:color w:val="000000" w:themeColor="text1"/>
          <w:sz w:val="24"/>
          <w:szCs w:val="24"/>
          <w:u w:val="single"/>
        </w:rPr>
        <w:t>diety</w:t>
      </w:r>
      <w:r w:rsidRPr="008D7632">
        <w:rPr>
          <w:rStyle w:val="y2iqfc"/>
          <w:rFonts w:ascii="Times New Roman" w:hAnsi="Times New Roman" w:cs="Times New Roman"/>
          <w:color w:val="000000" w:themeColor="text1"/>
          <w:sz w:val="24"/>
          <w:szCs w:val="24"/>
        </w:rPr>
        <w:t xml:space="preserve"> może być również korzystna, a w ciężkich przypadkach do utrzymania masy ciała może być konieczne żywienie przez nosowo-żołądkowy lub przez gastrostomię. </w:t>
      </w:r>
      <w:r w:rsidRPr="008D7632">
        <w:rPr>
          <w:rStyle w:val="y2iqfc"/>
          <w:rFonts w:ascii="Times New Roman" w:hAnsi="Times New Roman" w:cs="Times New Roman"/>
          <w:color w:val="000000" w:themeColor="text1"/>
          <w:sz w:val="24"/>
          <w:szCs w:val="24"/>
          <w:u w:val="single"/>
        </w:rPr>
        <w:t>Serce</w:t>
      </w:r>
      <w:r w:rsidRPr="008D7632">
        <w:rPr>
          <w:rStyle w:val="y2iqfc"/>
          <w:rFonts w:ascii="Times New Roman" w:hAnsi="Times New Roman" w:cs="Times New Roman"/>
          <w:color w:val="000000" w:themeColor="text1"/>
          <w:sz w:val="24"/>
          <w:szCs w:val="24"/>
        </w:rPr>
        <w:t xml:space="preserve"> wymaga szczególnej uwagi w FA, ponieważ jak wspomniano powikłania sercowe są częstą przyczyną śmierci. W momencie rozpoznania zaleca się wykonanie elektrokardiogramu i echokardiografii, a jeśli wyniki są nieprawidłowe lub jeśli występują objawy sercowe, nie należy zwlekać z zasięgnięciem specjalistycznej pomocy kardiologicznej [1]. Nie ma specyficznych leków wskazanych w </w:t>
      </w:r>
      <w:proofErr w:type="spellStart"/>
      <w:r w:rsidRPr="008D7632">
        <w:rPr>
          <w:rStyle w:val="y2iqfc"/>
          <w:rFonts w:ascii="Times New Roman" w:hAnsi="Times New Roman" w:cs="Times New Roman"/>
          <w:color w:val="000000" w:themeColor="text1"/>
          <w:sz w:val="24"/>
          <w:szCs w:val="24"/>
        </w:rPr>
        <w:t>kardiomiopatii</w:t>
      </w:r>
      <w:proofErr w:type="spellEnd"/>
      <w:r w:rsidRPr="008D7632">
        <w:rPr>
          <w:rStyle w:val="y2iqfc"/>
          <w:rFonts w:ascii="Times New Roman" w:hAnsi="Times New Roman" w:cs="Times New Roman"/>
          <w:color w:val="000000" w:themeColor="text1"/>
          <w:sz w:val="24"/>
          <w:szCs w:val="24"/>
        </w:rPr>
        <w:t xml:space="preserve"> przerostowej, jeśli nie występuje objawowa niedrożność drogi odpływu. Jeśli jednak występuje dysfunkcja skurczowa, wskazane mogą być leki takie jak inhibitory enzymu konwertującego angiotensynę, beta-</w:t>
      </w:r>
      <w:proofErr w:type="spellStart"/>
      <w:r w:rsidRPr="008D7632">
        <w:rPr>
          <w:rStyle w:val="y2iqfc"/>
          <w:rFonts w:ascii="Times New Roman" w:hAnsi="Times New Roman" w:cs="Times New Roman"/>
          <w:color w:val="000000" w:themeColor="text1"/>
          <w:sz w:val="24"/>
          <w:szCs w:val="24"/>
        </w:rPr>
        <w:t>adrenolityki</w:t>
      </w:r>
      <w:proofErr w:type="spellEnd"/>
      <w:r w:rsidRPr="008D7632">
        <w:rPr>
          <w:rStyle w:val="y2iqfc"/>
          <w:rFonts w:ascii="Times New Roman" w:hAnsi="Times New Roman" w:cs="Times New Roman"/>
          <w:color w:val="000000" w:themeColor="text1"/>
          <w:sz w:val="24"/>
          <w:szCs w:val="24"/>
        </w:rPr>
        <w:t xml:space="preserve"> i antagoniści aldosteronu. Można również rozważyć nowsze leki, takie jak inhibitory SGLT2 i skojarzoną terapię </w:t>
      </w:r>
      <w:proofErr w:type="spellStart"/>
      <w:r w:rsidRPr="008D7632">
        <w:rPr>
          <w:rStyle w:val="y2iqfc"/>
          <w:rFonts w:ascii="Times New Roman" w:hAnsi="Times New Roman" w:cs="Times New Roman"/>
          <w:color w:val="000000" w:themeColor="text1"/>
          <w:sz w:val="24"/>
          <w:szCs w:val="24"/>
        </w:rPr>
        <w:t>blokerem</w:t>
      </w:r>
      <w:proofErr w:type="spellEnd"/>
      <w:r w:rsidRPr="008D7632">
        <w:rPr>
          <w:rStyle w:val="y2iqfc"/>
          <w:rFonts w:ascii="Times New Roman" w:hAnsi="Times New Roman" w:cs="Times New Roman"/>
          <w:color w:val="000000" w:themeColor="text1"/>
          <w:sz w:val="24"/>
          <w:szCs w:val="24"/>
        </w:rPr>
        <w:t xml:space="preserve"> receptora angiotensyny i inhibitorem </w:t>
      </w:r>
      <w:proofErr w:type="spellStart"/>
      <w:r w:rsidRPr="008D7632">
        <w:rPr>
          <w:rStyle w:val="y2iqfc"/>
          <w:rFonts w:ascii="Times New Roman" w:hAnsi="Times New Roman" w:cs="Times New Roman"/>
          <w:color w:val="000000" w:themeColor="text1"/>
          <w:sz w:val="24"/>
          <w:szCs w:val="24"/>
        </w:rPr>
        <w:t>neprylizyny</w:t>
      </w:r>
      <w:proofErr w:type="spellEnd"/>
      <w:r w:rsidRPr="008D7632">
        <w:rPr>
          <w:rStyle w:val="y2iqfc"/>
          <w:rFonts w:ascii="Times New Roman" w:hAnsi="Times New Roman" w:cs="Times New Roman"/>
          <w:color w:val="000000" w:themeColor="text1"/>
          <w:sz w:val="24"/>
          <w:szCs w:val="24"/>
        </w:rPr>
        <w:t xml:space="preserve"> [2]. Ponadto wszyscy pacjenci z FA powinni zostać poddani kompleksowemu badaniu </w:t>
      </w:r>
      <w:r w:rsidRPr="008D7632">
        <w:rPr>
          <w:rStyle w:val="y2iqfc"/>
          <w:rFonts w:ascii="Times New Roman" w:hAnsi="Times New Roman" w:cs="Times New Roman"/>
          <w:color w:val="000000" w:themeColor="text1"/>
          <w:sz w:val="24"/>
          <w:szCs w:val="24"/>
          <w:u w:val="single"/>
        </w:rPr>
        <w:t>okulistycznemu</w:t>
      </w:r>
      <w:r w:rsidRPr="008D7632">
        <w:rPr>
          <w:rStyle w:val="y2iqfc"/>
          <w:rFonts w:ascii="Times New Roman" w:hAnsi="Times New Roman" w:cs="Times New Roman"/>
          <w:color w:val="000000" w:themeColor="text1"/>
          <w:sz w:val="24"/>
          <w:szCs w:val="24"/>
        </w:rPr>
        <w:t xml:space="preserve"> oraz </w:t>
      </w:r>
      <w:r w:rsidRPr="008D7632">
        <w:rPr>
          <w:rStyle w:val="y2iqfc"/>
          <w:rFonts w:ascii="Times New Roman" w:hAnsi="Times New Roman" w:cs="Times New Roman"/>
          <w:color w:val="000000" w:themeColor="text1"/>
          <w:sz w:val="24"/>
          <w:szCs w:val="24"/>
          <w:u w:val="single"/>
        </w:rPr>
        <w:t>audiologicznemu</w:t>
      </w:r>
      <w:r w:rsidRPr="008D7632">
        <w:rPr>
          <w:rStyle w:val="y2iqfc"/>
          <w:rFonts w:ascii="Times New Roman" w:hAnsi="Times New Roman" w:cs="Times New Roman"/>
          <w:color w:val="000000" w:themeColor="text1"/>
          <w:sz w:val="24"/>
          <w:szCs w:val="24"/>
        </w:rPr>
        <w:t>, a w przypadku braku nieprawidłowości zaleca się systematyczne badania przesiewowe. Dodatkowo zaleca się coroczne doustne badanie tolerancji glukozy, które można uzupełnić o stężenie HBA1c w surowicy [1].</w:t>
      </w:r>
    </w:p>
    <w:p w14:paraId="3E4F80A4" w14:textId="77777777" w:rsidR="00A211C1" w:rsidRPr="008D7632" w:rsidRDefault="00A211C1" w:rsidP="00A211C1">
      <w:pPr>
        <w:rPr>
          <w:rStyle w:val="y2iqfc"/>
          <w:rFonts w:ascii="Times New Roman" w:hAnsi="Times New Roman" w:cs="Times New Roman"/>
          <w:color w:val="000000" w:themeColor="text1"/>
          <w:sz w:val="24"/>
          <w:szCs w:val="24"/>
        </w:rPr>
      </w:pPr>
    </w:p>
    <w:p w14:paraId="0B06DFC9" w14:textId="77777777" w:rsidR="00A211C1" w:rsidRPr="008D7632" w:rsidRDefault="00A211C1" w:rsidP="00A211C1">
      <w:pPr>
        <w:rPr>
          <w:rFonts w:ascii="Times New Roman" w:hAnsi="Times New Roman" w:cs="Times New Roman"/>
          <w:b/>
          <w:color w:val="000000" w:themeColor="text1"/>
          <w:sz w:val="36"/>
          <w:szCs w:val="36"/>
        </w:rPr>
      </w:pPr>
      <w:r w:rsidRPr="008D7632">
        <w:rPr>
          <w:rFonts w:ascii="Times New Roman" w:hAnsi="Times New Roman" w:cs="Times New Roman"/>
          <w:b/>
          <w:color w:val="000000" w:themeColor="text1"/>
          <w:sz w:val="36"/>
          <w:szCs w:val="36"/>
        </w:rPr>
        <w:t xml:space="preserve">PRZEŁOM W LECZENIU </w:t>
      </w:r>
    </w:p>
    <w:p w14:paraId="21C3CB15" w14:textId="77777777" w:rsidR="00A211C1" w:rsidRPr="008D7632" w:rsidRDefault="00A211C1" w:rsidP="00A211C1">
      <w:pPr>
        <w:pStyle w:val="HTML-wstpniesformatowany"/>
        <w:rPr>
          <w:color w:val="000000" w:themeColor="text1"/>
          <w:sz w:val="24"/>
          <w:szCs w:val="24"/>
        </w:rPr>
      </w:pPr>
      <w:r w:rsidRPr="008D7632">
        <w:rPr>
          <w:rStyle w:val="y2iqfc"/>
          <w:rFonts w:ascii="Times New Roman" w:hAnsi="Times New Roman" w:cs="Times New Roman"/>
          <w:color w:val="000000" w:themeColor="text1"/>
          <w:sz w:val="24"/>
          <w:szCs w:val="24"/>
        </w:rPr>
        <w:t xml:space="preserve">W lutym 2023 roku </w:t>
      </w:r>
      <w:proofErr w:type="spellStart"/>
      <w:r w:rsidRPr="008D7632">
        <w:rPr>
          <w:rStyle w:val="y2iqfc"/>
          <w:rFonts w:ascii="Times New Roman" w:hAnsi="Times New Roman" w:cs="Times New Roman"/>
          <w:color w:val="000000" w:themeColor="text1"/>
          <w:sz w:val="24"/>
          <w:szCs w:val="24"/>
        </w:rPr>
        <w:t>omaweloksolon</w:t>
      </w:r>
      <w:proofErr w:type="spellEnd"/>
      <w:r w:rsidRPr="008D7632">
        <w:rPr>
          <w:rStyle w:val="y2iqfc"/>
          <w:rFonts w:ascii="Times New Roman" w:hAnsi="Times New Roman" w:cs="Times New Roman"/>
          <w:color w:val="000000" w:themeColor="text1"/>
          <w:sz w:val="24"/>
          <w:szCs w:val="24"/>
        </w:rPr>
        <w:t xml:space="preserve"> w postaci leku </w:t>
      </w:r>
      <w:proofErr w:type="spellStart"/>
      <w:r w:rsidRPr="008D7632">
        <w:rPr>
          <w:rStyle w:val="y2iqfc"/>
          <w:rFonts w:ascii="Times New Roman" w:hAnsi="Times New Roman" w:cs="Times New Roman"/>
          <w:color w:val="000000" w:themeColor="text1"/>
          <w:sz w:val="24"/>
          <w:szCs w:val="24"/>
        </w:rPr>
        <w:t>Skyclarys</w:t>
      </w:r>
      <w:proofErr w:type="spellEnd"/>
      <w:r w:rsidRPr="008D7632">
        <w:rPr>
          <w:rStyle w:val="y2iqfc"/>
          <w:rFonts w:ascii="Times New Roman" w:hAnsi="Times New Roman" w:cs="Times New Roman"/>
          <w:color w:val="000000" w:themeColor="text1"/>
          <w:sz w:val="24"/>
          <w:szCs w:val="24"/>
        </w:rPr>
        <w:t xml:space="preserve"> został zatwierdzony w Stanach Zjednoczonych przez </w:t>
      </w:r>
      <w:r w:rsidRPr="008D7632">
        <w:rPr>
          <w:rStyle w:val="Uwydatnienie"/>
          <w:rFonts w:ascii="Times New Roman" w:hAnsi="Times New Roman" w:cs="Times New Roman"/>
          <w:color w:val="000000" w:themeColor="text1"/>
          <w:sz w:val="24"/>
          <w:szCs w:val="24"/>
        </w:rPr>
        <w:t xml:space="preserve">Food and </w:t>
      </w:r>
      <w:proofErr w:type="spellStart"/>
      <w:r w:rsidRPr="008D7632">
        <w:rPr>
          <w:rStyle w:val="Uwydatnienie"/>
          <w:rFonts w:ascii="Times New Roman" w:hAnsi="Times New Roman" w:cs="Times New Roman"/>
          <w:color w:val="000000" w:themeColor="text1"/>
          <w:sz w:val="24"/>
          <w:szCs w:val="24"/>
        </w:rPr>
        <w:t>Drug</w:t>
      </w:r>
      <w:proofErr w:type="spellEnd"/>
      <w:r w:rsidRPr="008D7632">
        <w:rPr>
          <w:rStyle w:val="Uwydatnienie"/>
          <w:rFonts w:ascii="Times New Roman" w:hAnsi="Times New Roman" w:cs="Times New Roman"/>
          <w:color w:val="000000" w:themeColor="text1"/>
          <w:sz w:val="24"/>
          <w:szCs w:val="24"/>
        </w:rPr>
        <w:t xml:space="preserve"> Administration</w:t>
      </w:r>
      <w:r w:rsidRPr="008D7632">
        <w:rPr>
          <w:rFonts w:ascii="Times New Roman" w:hAnsi="Times New Roman" w:cs="Times New Roman"/>
          <w:color w:val="000000" w:themeColor="text1"/>
          <w:sz w:val="24"/>
          <w:szCs w:val="24"/>
        </w:rPr>
        <w:t xml:space="preserve"> (</w:t>
      </w:r>
      <w:r w:rsidRPr="008D7632">
        <w:rPr>
          <w:rStyle w:val="y2iqfc"/>
          <w:rFonts w:ascii="Times New Roman" w:hAnsi="Times New Roman" w:cs="Times New Roman"/>
          <w:color w:val="000000" w:themeColor="text1"/>
          <w:sz w:val="24"/>
          <w:szCs w:val="24"/>
        </w:rPr>
        <w:t xml:space="preserve">FDA) i jest wskazany w leczeniu ataksji </w:t>
      </w:r>
      <w:proofErr w:type="spellStart"/>
      <w:r w:rsidRPr="008D7632">
        <w:rPr>
          <w:rStyle w:val="y2iqfc"/>
          <w:rFonts w:ascii="Times New Roman" w:hAnsi="Times New Roman" w:cs="Times New Roman"/>
          <w:color w:val="000000" w:themeColor="text1"/>
          <w:sz w:val="24"/>
          <w:szCs w:val="24"/>
        </w:rPr>
        <w:t>Friedreicha</w:t>
      </w:r>
      <w:proofErr w:type="spellEnd"/>
      <w:r w:rsidRPr="008D7632">
        <w:rPr>
          <w:rStyle w:val="y2iqfc"/>
          <w:rFonts w:ascii="Times New Roman" w:hAnsi="Times New Roman" w:cs="Times New Roman"/>
          <w:color w:val="000000" w:themeColor="text1"/>
          <w:sz w:val="24"/>
          <w:szCs w:val="24"/>
        </w:rPr>
        <w:t xml:space="preserve"> u dorosłych i młodzieży w wieku 16 lat i starszych [11]. </w:t>
      </w:r>
      <w:proofErr w:type="spellStart"/>
      <w:r w:rsidRPr="008D7632">
        <w:rPr>
          <w:rStyle w:val="y2iqfc"/>
          <w:rFonts w:ascii="Times New Roman" w:hAnsi="Times New Roman" w:cs="Times New Roman"/>
          <w:color w:val="000000" w:themeColor="text1"/>
          <w:sz w:val="24"/>
          <w:szCs w:val="24"/>
        </w:rPr>
        <w:t>Omaweloksolon</w:t>
      </w:r>
      <w:proofErr w:type="spellEnd"/>
      <w:r w:rsidRPr="008D7632">
        <w:rPr>
          <w:rStyle w:val="y2iqfc"/>
          <w:rFonts w:ascii="Times New Roman" w:hAnsi="Times New Roman" w:cs="Times New Roman"/>
          <w:color w:val="000000" w:themeColor="text1"/>
          <w:sz w:val="24"/>
          <w:szCs w:val="24"/>
        </w:rPr>
        <w:t xml:space="preserve"> jest aktywnym po podaniu doustnym, małocząsteczkowym, półsyntetycznym lekiem </w:t>
      </w:r>
      <w:proofErr w:type="spellStart"/>
      <w:r w:rsidRPr="008D7632">
        <w:rPr>
          <w:rStyle w:val="y2iqfc"/>
          <w:rFonts w:ascii="Times New Roman" w:hAnsi="Times New Roman" w:cs="Times New Roman"/>
          <w:color w:val="000000" w:themeColor="text1"/>
          <w:sz w:val="24"/>
          <w:szCs w:val="24"/>
        </w:rPr>
        <w:t>triterpenoidowym</w:t>
      </w:r>
      <w:proofErr w:type="spellEnd"/>
      <w:r w:rsidRPr="008D7632">
        <w:rPr>
          <w:rStyle w:val="y2iqfc"/>
          <w:rFonts w:ascii="Times New Roman" w:hAnsi="Times New Roman" w:cs="Times New Roman"/>
          <w:color w:val="000000" w:themeColor="text1"/>
          <w:sz w:val="24"/>
          <w:szCs w:val="24"/>
        </w:rPr>
        <w:t xml:space="preserve"> opracowywanym przez </w:t>
      </w:r>
      <w:proofErr w:type="spellStart"/>
      <w:r w:rsidRPr="008D7632">
        <w:rPr>
          <w:rStyle w:val="y2iqfc"/>
          <w:rFonts w:ascii="Times New Roman" w:hAnsi="Times New Roman" w:cs="Times New Roman"/>
          <w:color w:val="000000" w:themeColor="text1"/>
          <w:sz w:val="24"/>
          <w:szCs w:val="24"/>
        </w:rPr>
        <w:t>Reata</w:t>
      </w:r>
      <w:proofErr w:type="spellEnd"/>
      <w:r w:rsidRPr="008D7632">
        <w:rPr>
          <w:rStyle w:val="y2iqfc"/>
          <w:rFonts w:ascii="Times New Roman" w:hAnsi="Times New Roman" w:cs="Times New Roman"/>
          <w:color w:val="000000" w:themeColor="text1"/>
          <w:sz w:val="24"/>
          <w:szCs w:val="24"/>
        </w:rPr>
        <w:t xml:space="preserve"> </w:t>
      </w:r>
      <w:proofErr w:type="spellStart"/>
      <w:r w:rsidRPr="008D7632">
        <w:rPr>
          <w:rStyle w:val="y2iqfc"/>
          <w:rFonts w:ascii="Times New Roman" w:hAnsi="Times New Roman" w:cs="Times New Roman"/>
          <w:color w:val="000000" w:themeColor="text1"/>
          <w:sz w:val="24"/>
          <w:szCs w:val="24"/>
        </w:rPr>
        <w:t>Pharmaceuticals</w:t>
      </w:r>
      <w:proofErr w:type="spellEnd"/>
      <w:r w:rsidRPr="008D7632">
        <w:rPr>
          <w:rStyle w:val="y2iqfc"/>
          <w:rFonts w:ascii="Times New Roman" w:hAnsi="Times New Roman" w:cs="Times New Roman"/>
          <w:color w:val="000000" w:themeColor="text1"/>
          <w:sz w:val="24"/>
          <w:szCs w:val="24"/>
        </w:rPr>
        <w:t>, Inc..</w:t>
      </w:r>
    </w:p>
    <w:p w14:paraId="6F52ACC8" w14:textId="77777777" w:rsidR="00A211C1" w:rsidRPr="008D7632" w:rsidRDefault="00A211C1" w:rsidP="00A211C1">
      <w:pPr>
        <w:rPr>
          <w:rFonts w:ascii="Times New Roman" w:hAnsi="Times New Roman" w:cs="Times New Roman"/>
          <w:color w:val="000000" w:themeColor="text1"/>
          <w:sz w:val="24"/>
          <w:szCs w:val="24"/>
        </w:rPr>
      </w:pPr>
      <w:r w:rsidRPr="008D7632">
        <w:rPr>
          <w:rFonts w:ascii="Times New Roman" w:hAnsi="Times New Roman" w:cs="Times New Roman"/>
          <w:color w:val="000000" w:themeColor="text1"/>
          <w:sz w:val="24"/>
          <w:szCs w:val="24"/>
        </w:rPr>
        <w:t xml:space="preserve">Dokładny mechanizm działania terapeutycznego </w:t>
      </w:r>
      <w:proofErr w:type="spellStart"/>
      <w:r w:rsidRPr="008D7632">
        <w:rPr>
          <w:rFonts w:ascii="Times New Roman" w:hAnsi="Times New Roman" w:cs="Times New Roman"/>
          <w:color w:val="000000" w:themeColor="text1"/>
          <w:sz w:val="24"/>
          <w:szCs w:val="24"/>
        </w:rPr>
        <w:t>omaweloksolonu</w:t>
      </w:r>
      <w:proofErr w:type="spellEnd"/>
      <w:r w:rsidRPr="008D7632">
        <w:rPr>
          <w:rFonts w:ascii="Times New Roman" w:hAnsi="Times New Roman" w:cs="Times New Roman"/>
          <w:color w:val="000000" w:themeColor="text1"/>
          <w:sz w:val="24"/>
          <w:szCs w:val="24"/>
        </w:rPr>
        <w:t xml:space="preserve"> u pacjentów z FA jest nieznany. Wykazano, że </w:t>
      </w:r>
      <w:proofErr w:type="spellStart"/>
      <w:r w:rsidRPr="008D7632">
        <w:rPr>
          <w:rFonts w:ascii="Times New Roman" w:hAnsi="Times New Roman" w:cs="Times New Roman"/>
          <w:color w:val="000000" w:themeColor="text1"/>
          <w:sz w:val="24"/>
          <w:szCs w:val="24"/>
        </w:rPr>
        <w:t>omaweloksolon</w:t>
      </w:r>
      <w:proofErr w:type="spellEnd"/>
      <w:r w:rsidRPr="008D7632">
        <w:rPr>
          <w:rFonts w:ascii="Times New Roman" w:hAnsi="Times New Roman" w:cs="Times New Roman"/>
          <w:color w:val="000000" w:themeColor="text1"/>
          <w:sz w:val="24"/>
          <w:szCs w:val="24"/>
        </w:rPr>
        <w:t xml:space="preserve"> jest aktywatorem czynnika transkrypcyjnego Nrf2, który indukuje szlaki molekularne odpowiedzialne za przywrócenie funkcji mitochondriów, zmniejszenie stresu oksydacyjnego i hamowanie reakcji prozapalnej [12, 13, 17]. </w:t>
      </w:r>
    </w:p>
    <w:p w14:paraId="51BB71C9" w14:textId="77777777" w:rsidR="00A211C1" w:rsidRPr="008D7632" w:rsidRDefault="00A211C1" w:rsidP="00A211C1">
      <w:pPr>
        <w:rPr>
          <w:rStyle w:val="y2iqfc"/>
          <w:rFonts w:ascii="Times New Roman" w:hAnsi="Times New Roman" w:cs="Times New Roman"/>
          <w:color w:val="000000" w:themeColor="text1"/>
          <w:sz w:val="24"/>
          <w:szCs w:val="24"/>
        </w:rPr>
      </w:pPr>
      <w:r w:rsidRPr="008D7632">
        <w:rPr>
          <w:rFonts w:ascii="Times New Roman" w:hAnsi="Times New Roman" w:cs="Times New Roman"/>
          <w:color w:val="000000" w:themeColor="text1"/>
          <w:sz w:val="24"/>
          <w:szCs w:val="24"/>
        </w:rPr>
        <w:t xml:space="preserve">Skuteczność </w:t>
      </w:r>
      <w:proofErr w:type="spellStart"/>
      <w:r w:rsidRPr="008D7632">
        <w:rPr>
          <w:rFonts w:ascii="Times New Roman" w:hAnsi="Times New Roman" w:cs="Times New Roman"/>
          <w:color w:val="000000" w:themeColor="text1"/>
          <w:sz w:val="24"/>
          <w:szCs w:val="24"/>
        </w:rPr>
        <w:t>omaweloksolonu</w:t>
      </w:r>
      <w:proofErr w:type="spellEnd"/>
      <w:r w:rsidRPr="008D7632">
        <w:rPr>
          <w:rFonts w:ascii="Times New Roman" w:hAnsi="Times New Roman" w:cs="Times New Roman"/>
          <w:color w:val="000000" w:themeColor="text1"/>
          <w:sz w:val="24"/>
          <w:szCs w:val="24"/>
        </w:rPr>
        <w:t xml:space="preserve"> oceniano w 48-tygodniowym, randomizowanym, podwójnie zaślepionym badaniu kontrolowanym placebo. </w:t>
      </w:r>
      <w:r w:rsidRPr="008D7632">
        <w:rPr>
          <w:rStyle w:val="y2iqfc"/>
          <w:rFonts w:ascii="Times New Roman" w:hAnsi="Times New Roman" w:cs="Times New Roman"/>
          <w:color w:val="000000" w:themeColor="text1"/>
          <w:sz w:val="24"/>
          <w:szCs w:val="24"/>
        </w:rPr>
        <w:t xml:space="preserve">Do badania </w:t>
      </w:r>
      <w:proofErr w:type="spellStart"/>
      <w:r w:rsidRPr="008D7632">
        <w:rPr>
          <w:rStyle w:val="y2iqfc"/>
          <w:rFonts w:ascii="Times New Roman" w:hAnsi="Times New Roman" w:cs="Times New Roman"/>
          <w:color w:val="000000" w:themeColor="text1"/>
          <w:sz w:val="24"/>
          <w:szCs w:val="24"/>
        </w:rPr>
        <w:t>MOXIe</w:t>
      </w:r>
      <w:proofErr w:type="spellEnd"/>
      <w:r w:rsidRPr="008D7632">
        <w:rPr>
          <w:rStyle w:val="y2iqfc"/>
          <w:rFonts w:ascii="Times New Roman" w:hAnsi="Times New Roman" w:cs="Times New Roman"/>
          <w:color w:val="000000" w:themeColor="text1"/>
          <w:sz w:val="24"/>
          <w:szCs w:val="24"/>
        </w:rPr>
        <w:t xml:space="preserve"> zakwalifikowano pacjentów w wieku od 16 do 40 lat z genetycznie potwierdzoną FA, ukończonym maksymalnym testem wysiłkowym oraz frakcją wyrzutową lewej komory na poziomie co najmniej 40%. Pacjenci zostali losowo przydzieleni w stosunku 1:1 do grupy otrzymującej placebo lub 150 mg </w:t>
      </w:r>
      <w:proofErr w:type="spellStart"/>
      <w:r w:rsidRPr="008D7632">
        <w:rPr>
          <w:rStyle w:val="y2iqfc"/>
          <w:rFonts w:ascii="Times New Roman" w:hAnsi="Times New Roman" w:cs="Times New Roman"/>
          <w:color w:val="000000" w:themeColor="text1"/>
          <w:sz w:val="24"/>
          <w:szCs w:val="24"/>
        </w:rPr>
        <w:t>omaweloksolonu</w:t>
      </w:r>
      <w:proofErr w:type="spellEnd"/>
      <w:r w:rsidRPr="008D7632">
        <w:rPr>
          <w:rStyle w:val="y2iqfc"/>
          <w:rFonts w:ascii="Times New Roman" w:hAnsi="Times New Roman" w:cs="Times New Roman"/>
          <w:color w:val="000000" w:themeColor="text1"/>
          <w:sz w:val="24"/>
          <w:szCs w:val="24"/>
        </w:rPr>
        <w:t xml:space="preserve"> na dobę.</w:t>
      </w:r>
      <w:r w:rsidRPr="008D7632">
        <w:rPr>
          <w:rFonts w:ascii="Times New Roman" w:hAnsi="Times New Roman" w:cs="Times New Roman"/>
          <w:color w:val="000000" w:themeColor="text1"/>
          <w:sz w:val="24"/>
          <w:szCs w:val="24"/>
        </w:rPr>
        <w:t xml:space="preserve"> W badaniu 53% pacjentów stanowili mężczyźni, 97% osób stanowili przedstawiciele rasy białej, a średni wiek w momencie włączenia do badania wynosił 24 lata. Do badania włączono pacjentów z </w:t>
      </w:r>
      <w:proofErr w:type="spellStart"/>
      <w:r w:rsidRPr="008D7632">
        <w:rPr>
          <w:rFonts w:ascii="Times New Roman" w:hAnsi="Times New Roman" w:cs="Times New Roman"/>
          <w:color w:val="000000" w:themeColor="text1"/>
          <w:sz w:val="24"/>
          <w:szCs w:val="24"/>
        </w:rPr>
        <w:t>pes</w:t>
      </w:r>
      <w:proofErr w:type="spellEnd"/>
      <w:r w:rsidRPr="008D7632">
        <w:rPr>
          <w:rFonts w:ascii="Times New Roman" w:hAnsi="Times New Roman" w:cs="Times New Roman"/>
          <w:color w:val="000000" w:themeColor="text1"/>
          <w:sz w:val="24"/>
          <w:szCs w:val="24"/>
        </w:rPr>
        <w:t xml:space="preserve"> </w:t>
      </w:r>
      <w:proofErr w:type="spellStart"/>
      <w:r w:rsidRPr="008D7632">
        <w:rPr>
          <w:rFonts w:ascii="Times New Roman" w:hAnsi="Times New Roman" w:cs="Times New Roman"/>
          <w:color w:val="000000" w:themeColor="text1"/>
          <w:sz w:val="24"/>
          <w:szCs w:val="24"/>
        </w:rPr>
        <w:t>cavus</w:t>
      </w:r>
      <w:proofErr w:type="spellEnd"/>
      <w:r w:rsidRPr="008D7632">
        <w:rPr>
          <w:rFonts w:ascii="Times New Roman" w:hAnsi="Times New Roman" w:cs="Times New Roman"/>
          <w:color w:val="000000" w:themeColor="text1"/>
          <w:sz w:val="24"/>
          <w:szCs w:val="24"/>
        </w:rPr>
        <w:t xml:space="preserve"> (20%) oraz bez tej cechy. </w:t>
      </w:r>
      <w:r w:rsidRPr="008D7632">
        <w:rPr>
          <w:rStyle w:val="y2iqfc"/>
          <w:rFonts w:ascii="Times New Roman" w:hAnsi="Times New Roman" w:cs="Times New Roman"/>
          <w:color w:val="000000" w:themeColor="text1"/>
          <w:sz w:val="24"/>
          <w:szCs w:val="24"/>
        </w:rPr>
        <w:t xml:space="preserve">Kryteriami wykluczającymi z udziału w badaniu były m.in. niekontrolowana cukrzyca, klinicznie istotna choroba serca, aktywne infekcje lub znaczące nieprawidłowości laboratoryjne. </w:t>
      </w:r>
      <w:r w:rsidRPr="008D7632">
        <w:rPr>
          <w:rFonts w:ascii="Times New Roman" w:hAnsi="Times New Roman" w:cs="Times New Roman"/>
          <w:color w:val="000000" w:themeColor="text1"/>
          <w:sz w:val="24"/>
          <w:szCs w:val="24"/>
        </w:rPr>
        <w:t xml:space="preserve">W badaniu wykorzystano zmodyfikowaną skalę oceny ataksji </w:t>
      </w:r>
      <w:proofErr w:type="spellStart"/>
      <w:r w:rsidRPr="008D7632">
        <w:rPr>
          <w:rFonts w:ascii="Times New Roman" w:hAnsi="Times New Roman" w:cs="Times New Roman"/>
          <w:color w:val="000000" w:themeColor="text1"/>
          <w:sz w:val="24"/>
          <w:szCs w:val="24"/>
        </w:rPr>
        <w:t>Friedreicha</w:t>
      </w:r>
      <w:proofErr w:type="spellEnd"/>
      <w:r w:rsidRPr="008D7632">
        <w:rPr>
          <w:rFonts w:ascii="Times New Roman" w:hAnsi="Times New Roman" w:cs="Times New Roman"/>
          <w:color w:val="000000" w:themeColor="text1"/>
          <w:sz w:val="24"/>
          <w:szCs w:val="24"/>
        </w:rPr>
        <w:t xml:space="preserve"> (</w:t>
      </w:r>
      <w:proofErr w:type="spellStart"/>
      <w:r w:rsidRPr="008D7632">
        <w:rPr>
          <w:rFonts w:ascii="Times New Roman" w:hAnsi="Times New Roman" w:cs="Times New Roman"/>
          <w:color w:val="000000" w:themeColor="text1"/>
          <w:sz w:val="24"/>
          <w:szCs w:val="24"/>
        </w:rPr>
        <w:t>mFARS</w:t>
      </w:r>
      <w:proofErr w:type="spellEnd"/>
      <w:r w:rsidRPr="008D7632">
        <w:rPr>
          <w:rFonts w:ascii="Times New Roman" w:hAnsi="Times New Roman" w:cs="Times New Roman"/>
          <w:color w:val="000000" w:themeColor="text1"/>
          <w:sz w:val="24"/>
          <w:szCs w:val="24"/>
        </w:rPr>
        <w:t xml:space="preserve">), która służyła do oceny funkcji opuszkowej, koordynacji kończyn górnych, koordynacji kończyn dolnych i stabilności pionowej przed, w trakcie i po </w:t>
      </w:r>
      <w:r w:rsidRPr="008D7632">
        <w:rPr>
          <w:rFonts w:ascii="Times New Roman" w:hAnsi="Times New Roman" w:cs="Times New Roman"/>
          <w:color w:val="000000" w:themeColor="text1"/>
          <w:sz w:val="24"/>
          <w:szCs w:val="24"/>
        </w:rPr>
        <w:lastRenderedPageBreak/>
        <w:t xml:space="preserve">zakończeniu badania. Maksymalny do osiągnięcia wynik w skali </w:t>
      </w:r>
      <w:proofErr w:type="spellStart"/>
      <w:r w:rsidRPr="008D7632">
        <w:rPr>
          <w:rFonts w:ascii="Times New Roman" w:hAnsi="Times New Roman" w:cs="Times New Roman"/>
          <w:color w:val="000000" w:themeColor="text1"/>
          <w:sz w:val="24"/>
          <w:szCs w:val="24"/>
        </w:rPr>
        <w:t>mFARS</w:t>
      </w:r>
      <w:proofErr w:type="spellEnd"/>
      <w:r w:rsidRPr="008D7632">
        <w:rPr>
          <w:rFonts w:ascii="Times New Roman" w:hAnsi="Times New Roman" w:cs="Times New Roman"/>
          <w:color w:val="000000" w:themeColor="text1"/>
          <w:sz w:val="24"/>
          <w:szCs w:val="24"/>
        </w:rPr>
        <w:t xml:space="preserve"> wynosi 99, przy czym niższy wynik w tej skali oznacza mniejszą niepełnosprawność fizyczną. Zakwalifikowani pacjenci w skali </w:t>
      </w:r>
      <w:proofErr w:type="spellStart"/>
      <w:r w:rsidRPr="008D7632">
        <w:rPr>
          <w:rFonts w:ascii="Times New Roman" w:hAnsi="Times New Roman" w:cs="Times New Roman"/>
          <w:color w:val="000000" w:themeColor="text1"/>
          <w:sz w:val="24"/>
          <w:szCs w:val="24"/>
        </w:rPr>
        <w:t>mFARS</w:t>
      </w:r>
      <w:proofErr w:type="spellEnd"/>
      <w:r w:rsidRPr="008D7632">
        <w:rPr>
          <w:rFonts w:ascii="Times New Roman" w:hAnsi="Times New Roman" w:cs="Times New Roman"/>
          <w:color w:val="000000" w:themeColor="text1"/>
          <w:sz w:val="24"/>
          <w:szCs w:val="24"/>
        </w:rPr>
        <w:t xml:space="preserve"> mieścili się w przedziale między 20 a 80. </w:t>
      </w:r>
      <w:r w:rsidRPr="008D7632">
        <w:rPr>
          <w:rStyle w:val="y2iqfc"/>
          <w:rFonts w:ascii="Times New Roman" w:hAnsi="Times New Roman" w:cs="Times New Roman"/>
          <w:color w:val="000000" w:themeColor="text1"/>
          <w:sz w:val="24"/>
          <w:szCs w:val="24"/>
        </w:rPr>
        <w:t xml:space="preserve">Te wyniki </w:t>
      </w:r>
      <w:proofErr w:type="spellStart"/>
      <w:r w:rsidRPr="008D7632">
        <w:rPr>
          <w:rStyle w:val="y2iqfc"/>
          <w:rFonts w:ascii="Times New Roman" w:hAnsi="Times New Roman" w:cs="Times New Roman"/>
          <w:color w:val="000000" w:themeColor="text1"/>
          <w:sz w:val="24"/>
          <w:szCs w:val="24"/>
        </w:rPr>
        <w:t>mFARS</w:t>
      </w:r>
      <w:proofErr w:type="spellEnd"/>
      <w:r w:rsidRPr="008D7632">
        <w:rPr>
          <w:rStyle w:val="y2iqfc"/>
          <w:rFonts w:ascii="Times New Roman" w:hAnsi="Times New Roman" w:cs="Times New Roman"/>
          <w:color w:val="000000" w:themeColor="text1"/>
          <w:sz w:val="24"/>
          <w:szCs w:val="24"/>
        </w:rPr>
        <w:t xml:space="preserve"> odpowiadają osobom począwszy od najłagodniejszego stadium choroby, skończywszy na stanie występującym kilka lat po utracie umiejętności chodzenia w najcięższym przypadku. W badaniu </w:t>
      </w:r>
      <w:proofErr w:type="spellStart"/>
      <w:r w:rsidRPr="008D7632">
        <w:rPr>
          <w:rStyle w:val="y2iqfc"/>
          <w:rFonts w:ascii="Times New Roman" w:hAnsi="Times New Roman" w:cs="Times New Roman"/>
          <w:color w:val="000000" w:themeColor="text1"/>
          <w:sz w:val="24"/>
          <w:szCs w:val="24"/>
        </w:rPr>
        <w:t>MOXIe</w:t>
      </w:r>
      <w:proofErr w:type="spellEnd"/>
      <w:r w:rsidRPr="008D7632">
        <w:rPr>
          <w:rStyle w:val="y2iqfc"/>
          <w:rFonts w:ascii="Times New Roman" w:hAnsi="Times New Roman" w:cs="Times New Roman"/>
          <w:color w:val="000000" w:themeColor="text1"/>
          <w:sz w:val="24"/>
          <w:szCs w:val="24"/>
        </w:rPr>
        <w:t xml:space="preserve"> </w:t>
      </w:r>
      <w:proofErr w:type="spellStart"/>
      <w:r w:rsidRPr="008D7632">
        <w:rPr>
          <w:rStyle w:val="y2iqfc"/>
          <w:rFonts w:ascii="Times New Roman" w:hAnsi="Times New Roman" w:cs="Times New Roman"/>
          <w:color w:val="000000" w:themeColor="text1"/>
          <w:sz w:val="24"/>
          <w:szCs w:val="24"/>
        </w:rPr>
        <w:t>omaweloksolon</w:t>
      </w:r>
      <w:proofErr w:type="spellEnd"/>
      <w:r w:rsidRPr="008D7632">
        <w:rPr>
          <w:rStyle w:val="y2iqfc"/>
          <w:rFonts w:ascii="Times New Roman" w:hAnsi="Times New Roman" w:cs="Times New Roman"/>
          <w:color w:val="000000" w:themeColor="text1"/>
          <w:sz w:val="24"/>
          <w:szCs w:val="24"/>
        </w:rPr>
        <w:t xml:space="preserve"> znacząco poprawiał funkcje neurologiczne w porównaniu z placebo i był ogólnie bezpieczny i dobrze tolerowany. W porównaniu do placebo </w:t>
      </w:r>
      <w:proofErr w:type="spellStart"/>
      <w:r w:rsidRPr="008D7632">
        <w:rPr>
          <w:rStyle w:val="y2iqfc"/>
          <w:rFonts w:ascii="Times New Roman" w:hAnsi="Times New Roman" w:cs="Times New Roman"/>
          <w:color w:val="000000" w:themeColor="text1"/>
          <w:sz w:val="24"/>
          <w:szCs w:val="24"/>
        </w:rPr>
        <w:t>Omaweloksolon</w:t>
      </w:r>
      <w:proofErr w:type="spellEnd"/>
      <w:r w:rsidRPr="008D7632">
        <w:rPr>
          <w:rStyle w:val="y2iqfc"/>
          <w:rFonts w:ascii="Times New Roman" w:hAnsi="Times New Roman" w:cs="Times New Roman"/>
          <w:color w:val="000000" w:themeColor="text1"/>
          <w:sz w:val="24"/>
          <w:szCs w:val="24"/>
        </w:rPr>
        <w:t xml:space="preserve"> poprawiał funkcjonowanie pacjentów w każdym z ocenianych w </w:t>
      </w:r>
      <w:proofErr w:type="spellStart"/>
      <w:r w:rsidRPr="008D7632">
        <w:rPr>
          <w:rStyle w:val="y2iqfc"/>
          <w:rFonts w:ascii="Times New Roman" w:hAnsi="Times New Roman" w:cs="Times New Roman"/>
          <w:color w:val="000000" w:themeColor="text1"/>
          <w:sz w:val="24"/>
          <w:szCs w:val="24"/>
        </w:rPr>
        <w:t>mFARS</w:t>
      </w:r>
      <w:proofErr w:type="spellEnd"/>
      <w:r w:rsidRPr="008D7632">
        <w:rPr>
          <w:rStyle w:val="y2iqfc"/>
          <w:rFonts w:ascii="Times New Roman" w:hAnsi="Times New Roman" w:cs="Times New Roman"/>
          <w:color w:val="000000" w:themeColor="text1"/>
          <w:sz w:val="24"/>
          <w:szCs w:val="24"/>
        </w:rPr>
        <w:t xml:space="preserve"> składników, najkorzystniejszy wpływ miał na stabilność pionową. Największa poprawa obserwowana była u pacjentów w wieku poniżej 18 lat [12, 13].</w:t>
      </w:r>
    </w:p>
    <w:p w14:paraId="1F09130C" w14:textId="77777777" w:rsidR="00A211C1" w:rsidRPr="008D7632" w:rsidRDefault="00A211C1" w:rsidP="00A211C1">
      <w:pPr>
        <w:rPr>
          <w:rStyle w:val="y2iqfc"/>
          <w:rFonts w:ascii="Times New Roman" w:hAnsi="Times New Roman" w:cs="Times New Roman"/>
          <w:color w:val="000000" w:themeColor="text1"/>
          <w:sz w:val="24"/>
          <w:szCs w:val="24"/>
        </w:rPr>
      </w:pPr>
      <w:bookmarkStart w:id="1" w:name="_Hlk144798759"/>
      <w:r w:rsidRPr="008D7632">
        <w:rPr>
          <w:rStyle w:val="y2iqfc"/>
          <w:rFonts w:ascii="Times New Roman" w:hAnsi="Times New Roman" w:cs="Times New Roman"/>
          <w:color w:val="000000" w:themeColor="text1"/>
          <w:sz w:val="24"/>
          <w:szCs w:val="24"/>
        </w:rPr>
        <w:t xml:space="preserve">Podczas stosowania </w:t>
      </w:r>
      <w:proofErr w:type="spellStart"/>
      <w:r w:rsidRPr="008D7632">
        <w:rPr>
          <w:rStyle w:val="y2iqfc"/>
          <w:rFonts w:ascii="Times New Roman" w:hAnsi="Times New Roman" w:cs="Times New Roman"/>
          <w:color w:val="000000" w:themeColor="text1"/>
          <w:sz w:val="24"/>
          <w:szCs w:val="24"/>
        </w:rPr>
        <w:t>omaweloksolonu</w:t>
      </w:r>
      <w:proofErr w:type="spellEnd"/>
      <w:r w:rsidRPr="008D7632">
        <w:rPr>
          <w:rStyle w:val="y2iqfc"/>
          <w:rFonts w:ascii="Times New Roman" w:hAnsi="Times New Roman" w:cs="Times New Roman"/>
          <w:color w:val="000000" w:themeColor="text1"/>
          <w:sz w:val="24"/>
          <w:szCs w:val="24"/>
        </w:rPr>
        <w:t xml:space="preserve"> obserwowano przejściowe, odwracalne zwiększenie aktywności </w:t>
      </w:r>
      <w:proofErr w:type="spellStart"/>
      <w:r w:rsidRPr="008D7632">
        <w:rPr>
          <w:rStyle w:val="y2iqfc"/>
          <w:rFonts w:ascii="Times New Roman" w:hAnsi="Times New Roman" w:cs="Times New Roman"/>
          <w:color w:val="000000" w:themeColor="text1"/>
          <w:sz w:val="24"/>
          <w:szCs w:val="24"/>
        </w:rPr>
        <w:t>aminotransferaz</w:t>
      </w:r>
      <w:proofErr w:type="spellEnd"/>
      <w:r w:rsidRPr="008D7632">
        <w:rPr>
          <w:rStyle w:val="y2iqfc"/>
          <w:rFonts w:ascii="Times New Roman" w:hAnsi="Times New Roman" w:cs="Times New Roman"/>
          <w:color w:val="000000" w:themeColor="text1"/>
          <w:sz w:val="24"/>
          <w:szCs w:val="24"/>
        </w:rPr>
        <w:t xml:space="preserve"> bez zwiększenia stężenia bilirubiny całkowitej lub innych cech uszkodzenia wątroby. Ponadto w pierwszych 12 miesiącach leczenia najczęściej zgłaszane zdarzenia niepożądane występujące częściej u pacjentów otrzymujących </w:t>
      </w:r>
      <w:proofErr w:type="spellStart"/>
      <w:r w:rsidRPr="008D7632">
        <w:rPr>
          <w:rStyle w:val="y2iqfc"/>
          <w:rFonts w:ascii="Times New Roman" w:hAnsi="Times New Roman" w:cs="Times New Roman"/>
          <w:color w:val="000000" w:themeColor="text1"/>
          <w:sz w:val="24"/>
          <w:szCs w:val="24"/>
        </w:rPr>
        <w:t>omaweloksolon</w:t>
      </w:r>
      <w:proofErr w:type="spellEnd"/>
      <w:r w:rsidRPr="008D7632">
        <w:rPr>
          <w:rStyle w:val="y2iqfc"/>
          <w:rFonts w:ascii="Times New Roman" w:hAnsi="Times New Roman" w:cs="Times New Roman"/>
          <w:color w:val="000000" w:themeColor="text1"/>
          <w:sz w:val="24"/>
          <w:szCs w:val="24"/>
        </w:rPr>
        <w:t xml:space="preserve"> niż u pacjentów otrzymujących placebo obejmowały ból głowy, nudności, zmęczenie, biegunkę i ból brzucha. Między 12. a 48. tygodniem badania pacjenci zgłaszali zdarzenia niepożądane z podobną częstością w grupach otrzymujących </w:t>
      </w:r>
      <w:proofErr w:type="spellStart"/>
      <w:r w:rsidRPr="008D7632">
        <w:rPr>
          <w:rStyle w:val="y2iqfc"/>
          <w:rFonts w:ascii="Times New Roman" w:hAnsi="Times New Roman" w:cs="Times New Roman"/>
          <w:color w:val="000000" w:themeColor="text1"/>
          <w:sz w:val="24"/>
          <w:szCs w:val="24"/>
        </w:rPr>
        <w:t>omaweloksolon</w:t>
      </w:r>
      <w:proofErr w:type="spellEnd"/>
      <w:r w:rsidRPr="008D7632">
        <w:rPr>
          <w:rStyle w:val="y2iqfc"/>
          <w:rFonts w:ascii="Times New Roman" w:hAnsi="Times New Roman" w:cs="Times New Roman"/>
          <w:color w:val="000000" w:themeColor="text1"/>
          <w:sz w:val="24"/>
          <w:szCs w:val="24"/>
        </w:rPr>
        <w:t xml:space="preserve"> i placebo [12].</w:t>
      </w:r>
    </w:p>
    <w:bookmarkEnd w:id="1"/>
    <w:p w14:paraId="3A2C83D5" w14:textId="77777777" w:rsidR="00A211C1" w:rsidRPr="008D7632" w:rsidRDefault="00A211C1" w:rsidP="00A211C1">
      <w:pPr>
        <w:rPr>
          <w:rStyle w:val="y2iqfc"/>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 xml:space="preserve">Zalecana dawka </w:t>
      </w:r>
      <w:proofErr w:type="spellStart"/>
      <w:r w:rsidRPr="008D7632">
        <w:rPr>
          <w:rStyle w:val="y2iqfc"/>
          <w:rFonts w:ascii="Times New Roman" w:hAnsi="Times New Roman" w:cs="Times New Roman"/>
          <w:color w:val="000000" w:themeColor="text1"/>
          <w:sz w:val="24"/>
          <w:szCs w:val="24"/>
        </w:rPr>
        <w:t>omaweloksolonu</w:t>
      </w:r>
      <w:proofErr w:type="spellEnd"/>
      <w:r w:rsidRPr="008D7632">
        <w:rPr>
          <w:rStyle w:val="y2iqfc"/>
          <w:rFonts w:ascii="Times New Roman" w:hAnsi="Times New Roman" w:cs="Times New Roman"/>
          <w:color w:val="000000" w:themeColor="text1"/>
          <w:sz w:val="24"/>
          <w:szCs w:val="24"/>
        </w:rPr>
        <w:t xml:space="preserve"> wynosi 150 mg raz dziennie. Kapsułki należy połykać w całości i przyjmować na czczo przynajmniej 1 godzinę przed posiłkiem. Zaleca się ocenę parametrów lipidowych oraz stężenia aminotransferazy </w:t>
      </w:r>
      <w:proofErr w:type="spellStart"/>
      <w:r w:rsidRPr="008D7632">
        <w:rPr>
          <w:rStyle w:val="y2iqfc"/>
          <w:rFonts w:ascii="Times New Roman" w:hAnsi="Times New Roman" w:cs="Times New Roman"/>
          <w:color w:val="000000" w:themeColor="text1"/>
          <w:sz w:val="24"/>
          <w:szCs w:val="24"/>
        </w:rPr>
        <w:t>asparaginianowej</w:t>
      </w:r>
      <w:proofErr w:type="spellEnd"/>
      <w:r w:rsidRPr="008D7632">
        <w:rPr>
          <w:rStyle w:val="y2iqfc"/>
          <w:rFonts w:ascii="Times New Roman" w:hAnsi="Times New Roman" w:cs="Times New Roman"/>
          <w:color w:val="000000" w:themeColor="text1"/>
          <w:sz w:val="24"/>
          <w:szCs w:val="24"/>
        </w:rPr>
        <w:t xml:space="preserve"> (AST), aminotransferazy alaninowej (ALT), bilirubiny całkowitej i peptydu </w:t>
      </w:r>
      <w:proofErr w:type="spellStart"/>
      <w:r w:rsidRPr="008D7632">
        <w:rPr>
          <w:rStyle w:val="y2iqfc"/>
          <w:rFonts w:ascii="Times New Roman" w:hAnsi="Times New Roman" w:cs="Times New Roman"/>
          <w:color w:val="000000" w:themeColor="text1"/>
          <w:sz w:val="24"/>
          <w:szCs w:val="24"/>
        </w:rPr>
        <w:t>natriuretycznego</w:t>
      </w:r>
      <w:proofErr w:type="spellEnd"/>
      <w:r w:rsidRPr="008D7632">
        <w:rPr>
          <w:rStyle w:val="y2iqfc"/>
          <w:rFonts w:ascii="Times New Roman" w:hAnsi="Times New Roman" w:cs="Times New Roman"/>
          <w:color w:val="000000" w:themeColor="text1"/>
          <w:sz w:val="24"/>
          <w:szCs w:val="24"/>
        </w:rPr>
        <w:t xml:space="preserve"> typu B (BNP) przed rozpoczęciem leczenia oraz w trakcie leczenia </w:t>
      </w:r>
      <w:proofErr w:type="spellStart"/>
      <w:r w:rsidRPr="008D7632">
        <w:rPr>
          <w:rStyle w:val="y2iqfc"/>
          <w:rFonts w:ascii="Times New Roman" w:hAnsi="Times New Roman" w:cs="Times New Roman"/>
          <w:color w:val="000000" w:themeColor="text1"/>
          <w:sz w:val="24"/>
          <w:szCs w:val="24"/>
        </w:rPr>
        <w:t>omaweloksolonem</w:t>
      </w:r>
      <w:proofErr w:type="spellEnd"/>
      <w:r w:rsidRPr="008D7632">
        <w:rPr>
          <w:rStyle w:val="y2iqfc"/>
          <w:rFonts w:ascii="Times New Roman" w:hAnsi="Times New Roman" w:cs="Times New Roman"/>
          <w:color w:val="000000" w:themeColor="text1"/>
          <w:sz w:val="24"/>
          <w:szCs w:val="24"/>
        </w:rPr>
        <w:t xml:space="preserve"> [15, 16]. </w:t>
      </w:r>
    </w:p>
    <w:p w14:paraId="58CA5F5D" w14:textId="77777777" w:rsidR="00A211C1" w:rsidRPr="008D7632" w:rsidRDefault="00A211C1" w:rsidP="00A211C1">
      <w:pPr>
        <w:rPr>
          <w:rStyle w:val="y2iqfc"/>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 xml:space="preserve">Zatwierdzenie przez FDA </w:t>
      </w:r>
      <w:proofErr w:type="spellStart"/>
      <w:r w:rsidRPr="008D7632">
        <w:rPr>
          <w:rStyle w:val="y2iqfc"/>
          <w:rFonts w:ascii="Times New Roman" w:hAnsi="Times New Roman" w:cs="Times New Roman"/>
          <w:color w:val="000000" w:themeColor="text1"/>
          <w:sz w:val="24"/>
          <w:szCs w:val="24"/>
        </w:rPr>
        <w:t>omaweloksolonu</w:t>
      </w:r>
      <w:proofErr w:type="spellEnd"/>
      <w:r w:rsidRPr="008D7632">
        <w:rPr>
          <w:rStyle w:val="y2iqfc"/>
          <w:rFonts w:ascii="Times New Roman" w:hAnsi="Times New Roman" w:cs="Times New Roman"/>
          <w:color w:val="000000" w:themeColor="text1"/>
          <w:sz w:val="24"/>
          <w:szCs w:val="24"/>
        </w:rPr>
        <w:t xml:space="preserve"> stanowi niewątpliwie przełomowe wydarzenie, jednakże obecnie lek nie jest zaaprobowany poza Stanami Zjednoczonymi [14].</w:t>
      </w:r>
    </w:p>
    <w:p w14:paraId="66B95C95" w14:textId="77777777" w:rsidR="00A211C1" w:rsidRPr="008D7632" w:rsidRDefault="00A211C1" w:rsidP="00A211C1">
      <w:pPr>
        <w:rPr>
          <w:color w:val="000000" w:themeColor="text1"/>
          <w:sz w:val="24"/>
          <w:szCs w:val="24"/>
        </w:rPr>
      </w:pPr>
    </w:p>
    <w:p w14:paraId="7021AC3F" w14:textId="77777777" w:rsidR="00A211C1" w:rsidRPr="008D7632" w:rsidRDefault="00A211C1" w:rsidP="00A211C1">
      <w:pPr>
        <w:rPr>
          <w:rStyle w:val="y2iqfc"/>
          <w:rFonts w:ascii="Times New Roman" w:hAnsi="Times New Roman" w:cs="Times New Roman"/>
          <w:b/>
          <w:bCs/>
          <w:color w:val="000000" w:themeColor="text1"/>
          <w:sz w:val="36"/>
          <w:szCs w:val="36"/>
        </w:rPr>
      </w:pPr>
      <w:r w:rsidRPr="008D7632">
        <w:rPr>
          <w:rStyle w:val="y2iqfc"/>
          <w:rFonts w:ascii="Times New Roman" w:hAnsi="Times New Roman" w:cs="Times New Roman"/>
          <w:b/>
          <w:bCs/>
          <w:color w:val="000000" w:themeColor="text1"/>
          <w:sz w:val="36"/>
          <w:szCs w:val="36"/>
        </w:rPr>
        <w:t>PERSPEKTYWY</w:t>
      </w:r>
    </w:p>
    <w:p w14:paraId="56D9F136" w14:textId="77777777" w:rsidR="00A211C1" w:rsidRPr="008D7632" w:rsidRDefault="00A211C1" w:rsidP="00A211C1">
      <w:pPr>
        <w:rPr>
          <w:rFonts w:ascii="Times New Roman" w:hAnsi="Times New Roman" w:cs="Times New Roman"/>
          <w:color w:val="000000" w:themeColor="text1"/>
          <w:sz w:val="24"/>
          <w:szCs w:val="24"/>
        </w:rPr>
      </w:pPr>
      <w:r w:rsidRPr="008D7632">
        <w:rPr>
          <w:rStyle w:val="y2iqfc"/>
          <w:rFonts w:ascii="Times New Roman" w:hAnsi="Times New Roman" w:cs="Times New Roman"/>
          <w:color w:val="000000" w:themeColor="text1"/>
          <w:sz w:val="24"/>
          <w:szCs w:val="24"/>
        </w:rPr>
        <w:t xml:space="preserve">Wiele leków znajduje się obecnie na różnych etapach rozwoju i testowania, przy czym dwie główne kategorie to leki wpływające na funkcję mitochondriów i leki zwiększające ekspresję </w:t>
      </w:r>
      <w:proofErr w:type="spellStart"/>
      <w:r w:rsidRPr="008D7632">
        <w:rPr>
          <w:rStyle w:val="y2iqfc"/>
          <w:rFonts w:ascii="Times New Roman" w:hAnsi="Times New Roman" w:cs="Times New Roman"/>
          <w:color w:val="000000" w:themeColor="text1"/>
          <w:sz w:val="24"/>
          <w:szCs w:val="24"/>
        </w:rPr>
        <w:t>frataksyny</w:t>
      </w:r>
      <w:proofErr w:type="spellEnd"/>
      <w:r w:rsidRPr="008D7632">
        <w:rPr>
          <w:rStyle w:val="y2iqfc"/>
          <w:rFonts w:ascii="Times New Roman" w:hAnsi="Times New Roman" w:cs="Times New Roman"/>
          <w:color w:val="000000" w:themeColor="text1"/>
          <w:sz w:val="24"/>
          <w:szCs w:val="24"/>
        </w:rPr>
        <w:t xml:space="preserve"> [5]. </w:t>
      </w:r>
      <w:r w:rsidRPr="008D7632">
        <w:rPr>
          <w:rStyle w:val="y2iqfc"/>
          <w:rFonts w:ascii="Times New Roman" w:eastAsiaTheme="majorEastAsia" w:hAnsi="Times New Roman" w:cs="Times New Roman"/>
          <w:color w:val="000000" w:themeColor="text1"/>
          <w:sz w:val="24"/>
          <w:szCs w:val="24"/>
        </w:rPr>
        <w:t xml:space="preserve">Uważa się, że metody mitochondrialne nie zapewniają wyleczenia, ponieważ pierwotny deficyt </w:t>
      </w:r>
      <w:proofErr w:type="spellStart"/>
      <w:r w:rsidRPr="008D7632">
        <w:rPr>
          <w:rStyle w:val="y2iqfc"/>
          <w:rFonts w:ascii="Times New Roman" w:eastAsiaTheme="majorEastAsia" w:hAnsi="Times New Roman" w:cs="Times New Roman"/>
          <w:color w:val="000000" w:themeColor="text1"/>
          <w:sz w:val="24"/>
          <w:szCs w:val="24"/>
        </w:rPr>
        <w:t>frataksyny</w:t>
      </w:r>
      <w:proofErr w:type="spellEnd"/>
      <w:r w:rsidRPr="008D7632">
        <w:rPr>
          <w:rStyle w:val="y2iqfc"/>
          <w:rFonts w:ascii="Times New Roman" w:eastAsiaTheme="majorEastAsia" w:hAnsi="Times New Roman" w:cs="Times New Roman"/>
          <w:color w:val="000000" w:themeColor="text1"/>
          <w:sz w:val="24"/>
          <w:szCs w:val="24"/>
        </w:rPr>
        <w:t xml:space="preserve"> będzie się utrzymywał. Mogą jednak powodować poprawę jakości życia i spowolnienie postępu choroby. Terapie mające na celu przywrócenie </w:t>
      </w:r>
      <w:proofErr w:type="spellStart"/>
      <w:r w:rsidRPr="008D7632">
        <w:rPr>
          <w:rStyle w:val="y2iqfc"/>
          <w:rFonts w:ascii="Times New Roman" w:eastAsiaTheme="majorEastAsia" w:hAnsi="Times New Roman" w:cs="Times New Roman"/>
          <w:color w:val="000000" w:themeColor="text1"/>
          <w:sz w:val="24"/>
          <w:szCs w:val="24"/>
        </w:rPr>
        <w:t>frataksyny</w:t>
      </w:r>
      <w:proofErr w:type="spellEnd"/>
      <w:r w:rsidRPr="008D7632">
        <w:rPr>
          <w:rStyle w:val="y2iqfc"/>
          <w:rFonts w:ascii="Times New Roman" w:eastAsiaTheme="majorEastAsia" w:hAnsi="Times New Roman" w:cs="Times New Roman"/>
          <w:color w:val="000000" w:themeColor="text1"/>
          <w:sz w:val="24"/>
          <w:szCs w:val="24"/>
        </w:rPr>
        <w:t xml:space="preserve"> z większym prawdopodobieństwem będą w stanie modyfikować przebieg choroby [5, 9]. </w:t>
      </w:r>
      <w:r w:rsidRPr="008D7632">
        <w:rPr>
          <w:rStyle w:val="y2iqfc"/>
          <w:rFonts w:ascii="Times New Roman" w:hAnsi="Times New Roman" w:cs="Times New Roman"/>
          <w:color w:val="000000" w:themeColor="text1"/>
          <w:sz w:val="24"/>
          <w:szCs w:val="24"/>
        </w:rPr>
        <w:t>Terapia genowa, alternatywa dla klasycznych terapii, jest w dalszym ciągu udoskonalana, aby stać się realną opcją terapeutyczną [5].</w:t>
      </w:r>
    </w:p>
    <w:p w14:paraId="02077611" w14:textId="77777777" w:rsidR="00A211C1" w:rsidRPr="008D7632" w:rsidRDefault="00A211C1" w:rsidP="00A211C1">
      <w:pPr>
        <w:pStyle w:val="HTML-wstpniesformatowany"/>
        <w:rPr>
          <w:rStyle w:val="y2iqfc"/>
          <w:rFonts w:ascii="Times New Roman" w:hAnsi="Times New Roman" w:cs="Times New Roman"/>
          <w:color w:val="000000" w:themeColor="text1"/>
          <w:sz w:val="24"/>
          <w:szCs w:val="24"/>
        </w:rPr>
      </w:pPr>
    </w:p>
    <w:p w14:paraId="73492EA8" w14:textId="77777777" w:rsidR="00A211C1" w:rsidRPr="008D7632" w:rsidRDefault="00A211C1" w:rsidP="00A211C1">
      <w:pPr>
        <w:pStyle w:val="HTML-wstpniesformatowany"/>
        <w:rPr>
          <w:rStyle w:val="y2iqfc"/>
          <w:rFonts w:ascii="Times New Roman" w:hAnsi="Times New Roman" w:cs="Times New Roman"/>
          <w:color w:val="000000" w:themeColor="text1"/>
          <w:sz w:val="24"/>
          <w:szCs w:val="24"/>
        </w:rPr>
      </w:pPr>
    </w:p>
    <w:p w14:paraId="598FE3FC" w14:textId="77777777" w:rsidR="00A211C1" w:rsidRPr="008D7632" w:rsidRDefault="00A211C1" w:rsidP="00A211C1">
      <w:pPr>
        <w:pStyle w:val="HTML-wstpniesformatowany"/>
        <w:rPr>
          <w:rStyle w:val="y2iqfc"/>
          <w:rFonts w:ascii="Times New Roman" w:hAnsi="Times New Roman" w:cs="Times New Roman"/>
          <w:b/>
          <w:bCs/>
          <w:color w:val="000000" w:themeColor="text1"/>
          <w:sz w:val="32"/>
          <w:szCs w:val="32"/>
        </w:rPr>
      </w:pPr>
      <w:r w:rsidRPr="008D7632">
        <w:rPr>
          <w:rStyle w:val="y2iqfc"/>
          <w:rFonts w:ascii="Times New Roman" w:hAnsi="Times New Roman" w:cs="Times New Roman"/>
          <w:b/>
          <w:bCs/>
          <w:color w:val="000000" w:themeColor="text1"/>
          <w:sz w:val="32"/>
          <w:szCs w:val="32"/>
        </w:rPr>
        <w:t>PODSUMOWANIE</w:t>
      </w:r>
    </w:p>
    <w:p w14:paraId="002A1C2F" w14:textId="77777777" w:rsidR="00A211C1" w:rsidRPr="008D7632" w:rsidRDefault="00A211C1" w:rsidP="00A211C1">
      <w:pPr>
        <w:pStyle w:val="HTML-wstpniesformatowany"/>
        <w:rPr>
          <w:rStyle w:val="y2iqfc"/>
          <w:rFonts w:ascii="Times New Roman" w:hAnsi="Times New Roman" w:cs="Times New Roman"/>
          <w:color w:val="000000" w:themeColor="text1"/>
          <w:sz w:val="24"/>
          <w:szCs w:val="24"/>
        </w:rPr>
      </w:pPr>
    </w:p>
    <w:p w14:paraId="6A87DE2F" w14:textId="77777777" w:rsidR="00A211C1" w:rsidRPr="008D7632" w:rsidRDefault="00A211C1" w:rsidP="00A211C1">
      <w:pPr>
        <w:pStyle w:val="PreformattedText"/>
        <w:spacing w:after="283"/>
        <w:rPr>
          <w:rStyle w:val="y2iqfc"/>
          <w:rFonts w:ascii="Times New Roman" w:hAnsi="Times New Roman" w:cs="Times New Roman"/>
          <w:color w:val="000000" w:themeColor="text1"/>
          <w:sz w:val="24"/>
          <w:szCs w:val="24"/>
        </w:rPr>
      </w:pPr>
      <w:r w:rsidRPr="008D7632">
        <w:rPr>
          <w:rFonts w:ascii="Times New Roman" w:hAnsi="Times New Roman" w:cs="Times New Roman"/>
          <w:color w:val="000000" w:themeColor="text1"/>
          <w:sz w:val="24"/>
          <w:szCs w:val="24"/>
        </w:rPr>
        <w:t xml:space="preserve">Rozpoznanie FA stanowi wyzwanie, szczególnie u młodych pacjentów. Powszechnie dostępne możliwości terapeutyczne w sposób niewystarczający zabezpieczają chorych przed rozwinięciem pełnego obrazu klinicznego choroby. Mamy nadzieję na wczesne rozpowszechnienie dostępności </w:t>
      </w:r>
      <w:proofErr w:type="spellStart"/>
      <w:r w:rsidRPr="008D7632">
        <w:rPr>
          <w:rFonts w:ascii="Times New Roman" w:hAnsi="Times New Roman" w:cs="Times New Roman"/>
          <w:color w:val="000000" w:themeColor="text1"/>
          <w:sz w:val="24"/>
          <w:szCs w:val="24"/>
        </w:rPr>
        <w:t>omaweloksolonu</w:t>
      </w:r>
      <w:proofErr w:type="spellEnd"/>
      <w:r w:rsidRPr="008D7632">
        <w:rPr>
          <w:rFonts w:ascii="Times New Roman" w:hAnsi="Times New Roman" w:cs="Times New Roman"/>
          <w:color w:val="000000" w:themeColor="text1"/>
          <w:sz w:val="24"/>
          <w:szCs w:val="24"/>
        </w:rPr>
        <w:t>, również dla pacjentów</w:t>
      </w:r>
      <w:r w:rsidRPr="008D7632">
        <w:rPr>
          <w:rFonts w:ascii="serif" w:hAnsi="serif"/>
          <w:color w:val="000000" w:themeColor="text1"/>
          <w:sz w:val="24"/>
          <w:szCs w:val="24"/>
        </w:rPr>
        <w:t xml:space="preserve"> spoza Stanów </w:t>
      </w:r>
      <w:r w:rsidRPr="008D7632">
        <w:rPr>
          <w:rFonts w:ascii="serif" w:hAnsi="serif"/>
          <w:color w:val="000000" w:themeColor="text1"/>
          <w:sz w:val="24"/>
          <w:szCs w:val="24"/>
        </w:rPr>
        <w:lastRenderedPageBreak/>
        <w:t>Zjednoczonych.</w:t>
      </w:r>
      <w:r w:rsidRPr="008D7632">
        <w:rPr>
          <w:rStyle w:val="y2iqfc"/>
          <w:rFonts w:ascii="Times New Roman" w:hAnsi="Times New Roman" w:cs="Times New Roman"/>
          <w:color w:val="000000" w:themeColor="text1"/>
          <w:sz w:val="24"/>
          <w:szCs w:val="24"/>
        </w:rPr>
        <w:t xml:space="preserve"> Z niecierpliwością wyczekujemy kolejnych doniesień nt. sukcesów w badaniach klinicznych nad leczeniem FA – również tych obejmujących terapię genową. </w:t>
      </w:r>
    </w:p>
    <w:p w14:paraId="7963AA3B" w14:textId="77777777" w:rsidR="00A211C1" w:rsidRPr="008D7632" w:rsidRDefault="00A211C1" w:rsidP="00A211C1">
      <w:pPr>
        <w:rPr>
          <w:rStyle w:val="y2iqfc"/>
          <w:rFonts w:ascii="Times New Roman" w:hAnsi="Times New Roman" w:cs="Times New Roman"/>
          <w:color w:val="000000" w:themeColor="text1"/>
          <w:sz w:val="24"/>
          <w:szCs w:val="24"/>
        </w:rPr>
      </w:pPr>
    </w:p>
    <w:p w14:paraId="7F869D01" w14:textId="77777777" w:rsidR="00A211C1" w:rsidRPr="008D7632" w:rsidRDefault="00A211C1" w:rsidP="00A211C1">
      <w:pPr>
        <w:rPr>
          <w:rFonts w:ascii="Times New Roman" w:hAnsi="Times New Roman" w:cs="Times New Roman"/>
          <w:color w:val="000000" w:themeColor="text1"/>
        </w:rPr>
      </w:pPr>
    </w:p>
    <w:p w14:paraId="6A422E11" w14:textId="77777777" w:rsidR="00A211C1" w:rsidRPr="008D7632" w:rsidRDefault="00A211C1" w:rsidP="00A211C1">
      <w:pPr>
        <w:rPr>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PIŚMIENNICTWO:</w:t>
      </w:r>
    </w:p>
    <w:p w14:paraId="07EE2203" w14:textId="77777777" w:rsidR="00A211C1" w:rsidRPr="008D7632" w:rsidRDefault="00A211C1" w:rsidP="00A211C1">
      <w:pPr>
        <w:rPr>
          <w:rFonts w:ascii="Times New Roman" w:eastAsia="Times New Roman" w:hAnsi="Times New Roman" w:cs="Times New Roman"/>
          <w:color w:val="000000" w:themeColor="text1"/>
          <w:kern w:val="36"/>
          <w:sz w:val="24"/>
          <w:szCs w:val="24"/>
          <w:lang w:val="en-GB" w:eastAsia="pl-PL"/>
        </w:rPr>
      </w:pPr>
      <w:r w:rsidRPr="008D7632">
        <w:rPr>
          <w:rFonts w:ascii="Times New Roman" w:hAnsi="Times New Roman" w:cs="Times New Roman"/>
          <w:color w:val="000000" w:themeColor="text1"/>
          <w:sz w:val="24"/>
          <w:szCs w:val="24"/>
          <w:lang w:val="en-GB"/>
        </w:rPr>
        <w:t>[1]</w:t>
      </w:r>
      <w:r w:rsidRPr="008D7632">
        <w:rPr>
          <w:rFonts w:ascii="Times New Roman" w:hAnsi="Times New Roman" w:cs="Times New Roman"/>
          <w:color w:val="000000" w:themeColor="text1"/>
          <w:sz w:val="24"/>
          <w:szCs w:val="24"/>
          <w:lang w:val="en-GB"/>
        </w:rPr>
        <w:tab/>
      </w:r>
      <w:r w:rsidRPr="008D7632">
        <w:rPr>
          <w:rStyle w:val="authors-list-item"/>
          <w:rFonts w:ascii="Times New Roman" w:hAnsi="Times New Roman" w:cs="Times New Roman"/>
          <w:color w:val="000000" w:themeColor="text1"/>
          <w:sz w:val="24"/>
          <w:szCs w:val="24"/>
        </w:rPr>
        <w:t>Cook A.</w:t>
      </w:r>
      <w:r w:rsidRPr="008D7632">
        <w:rPr>
          <w:rStyle w:val="comma"/>
          <w:rFonts w:ascii="Times New Roman" w:hAnsi="Times New Roman" w:cs="Times New Roman"/>
          <w:color w:val="000000" w:themeColor="text1"/>
          <w:sz w:val="24"/>
          <w:szCs w:val="24"/>
        </w:rPr>
        <w:t>, </w:t>
      </w:r>
      <w:proofErr w:type="spellStart"/>
      <w:r w:rsidRPr="008D7632">
        <w:rPr>
          <w:rStyle w:val="authors-list-item"/>
          <w:rFonts w:ascii="Times New Roman" w:hAnsi="Times New Roman" w:cs="Times New Roman"/>
          <w:color w:val="000000" w:themeColor="text1"/>
          <w:sz w:val="24"/>
          <w:szCs w:val="24"/>
        </w:rPr>
        <w:t>Giunti</w:t>
      </w:r>
      <w:proofErr w:type="spellEnd"/>
      <w:r w:rsidRPr="008D7632">
        <w:rPr>
          <w:rStyle w:val="authors-list-item"/>
          <w:rFonts w:ascii="Times New Roman" w:hAnsi="Times New Roman" w:cs="Times New Roman"/>
          <w:color w:val="000000" w:themeColor="text1"/>
          <w:sz w:val="24"/>
          <w:szCs w:val="24"/>
        </w:rPr>
        <w:t xml:space="preserve"> P.: </w:t>
      </w:r>
      <w:r w:rsidRPr="008D7632">
        <w:rPr>
          <w:rFonts w:ascii="Times New Roman" w:eastAsia="Times New Roman" w:hAnsi="Times New Roman" w:cs="Times New Roman"/>
          <w:color w:val="000000" w:themeColor="text1"/>
          <w:kern w:val="36"/>
          <w:sz w:val="24"/>
          <w:szCs w:val="24"/>
          <w:lang w:val="en-GB" w:eastAsia="pl-PL"/>
        </w:rPr>
        <w:t xml:space="preserve">Friedreich's ataxia: clinical features, pathogenesis and management, </w:t>
      </w:r>
      <w:r w:rsidRPr="008D7632">
        <w:rPr>
          <w:rFonts w:ascii="Times New Roman" w:hAnsi="Times New Roman" w:cs="Times New Roman"/>
          <w:color w:val="000000" w:themeColor="text1"/>
          <w:sz w:val="24"/>
          <w:szCs w:val="24"/>
        </w:rPr>
        <w:t xml:space="preserve">Br </w:t>
      </w:r>
      <w:proofErr w:type="spellStart"/>
      <w:r w:rsidRPr="008D7632">
        <w:rPr>
          <w:rFonts w:ascii="Times New Roman" w:hAnsi="Times New Roman" w:cs="Times New Roman"/>
          <w:color w:val="000000" w:themeColor="text1"/>
          <w:sz w:val="24"/>
          <w:szCs w:val="24"/>
        </w:rPr>
        <w:t>Med</w:t>
      </w:r>
      <w:proofErr w:type="spellEnd"/>
      <w:r w:rsidRPr="008D7632">
        <w:rPr>
          <w:rFonts w:ascii="Times New Roman" w:hAnsi="Times New Roman" w:cs="Times New Roman"/>
          <w:color w:val="000000" w:themeColor="text1"/>
          <w:sz w:val="24"/>
          <w:szCs w:val="24"/>
        </w:rPr>
        <w:t xml:space="preserve"> Bull. 2017; Dec; 124(1): 19–30. </w:t>
      </w:r>
    </w:p>
    <w:p w14:paraId="559B8CC7" w14:textId="77777777" w:rsidR="00A211C1" w:rsidRPr="008D7632" w:rsidRDefault="00A211C1" w:rsidP="00A211C1">
      <w:pPr>
        <w:spacing w:before="100" w:beforeAutospacing="1" w:after="100" w:afterAutospacing="1" w:line="240" w:lineRule="auto"/>
        <w:outlineLvl w:val="0"/>
        <w:rPr>
          <w:rFonts w:ascii="Times New Roman" w:eastAsia="Times New Roman" w:hAnsi="Times New Roman" w:cs="Times New Roman"/>
          <w:color w:val="000000" w:themeColor="text1"/>
          <w:kern w:val="0"/>
          <w:sz w:val="24"/>
          <w:szCs w:val="24"/>
          <w:lang w:eastAsia="pl-PL"/>
          <w14:ligatures w14:val="none"/>
        </w:rPr>
      </w:pPr>
      <w:r w:rsidRPr="008D7632">
        <w:rPr>
          <w:rFonts w:ascii="Times New Roman" w:hAnsi="Times New Roman" w:cs="Times New Roman"/>
          <w:color w:val="000000" w:themeColor="text1"/>
          <w:sz w:val="24"/>
          <w:szCs w:val="24"/>
          <w:lang w:val="en-GB"/>
        </w:rPr>
        <w:t>[2]</w:t>
      </w:r>
      <w:r w:rsidRPr="008D7632">
        <w:rPr>
          <w:rFonts w:ascii="Times New Roman" w:hAnsi="Times New Roman" w:cs="Times New Roman"/>
          <w:color w:val="000000" w:themeColor="text1"/>
          <w:sz w:val="24"/>
          <w:szCs w:val="24"/>
          <w:lang w:val="en-GB"/>
        </w:rPr>
        <w:tab/>
      </w:r>
      <w:r w:rsidRPr="008D7632">
        <w:rPr>
          <w:rStyle w:val="authors-list-item"/>
          <w:rFonts w:ascii="Times New Roman" w:hAnsi="Times New Roman" w:cs="Times New Roman"/>
          <w:color w:val="000000" w:themeColor="text1"/>
          <w:sz w:val="24"/>
          <w:szCs w:val="24"/>
        </w:rPr>
        <w:t>Lynch D. R.</w:t>
      </w:r>
      <w:r w:rsidRPr="008D7632">
        <w:rPr>
          <w:rStyle w:val="comma"/>
          <w:rFonts w:ascii="Times New Roman" w:hAnsi="Times New Roman" w:cs="Times New Roman"/>
          <w:color w:val="000000" w:themeColor="text1"/>
          <w:sz w:val="24"/>
          <w:szCs w:val="24"/>
        </w:rPr>
        <w:t>, </w:t>
      </w:r>
      <w:proofErr w:type="spellStart"/>
      <w:r w:rsidRPr="008D7632">
        <w:rPr>
          <w:rStyle w:val="authors-list-item"/>
          <w:rFonts w:ascii="Times New Roman" w:hAnsi="Times New Roman" w:cs="Times New Roman"/>
          <w:color w:val="000000" w:themeColor="text1"/>
          <w:sz w:val="24"/>
          <w:szCs w:val="24"/>
        </w:rPr>
        <w:t>Schadt</w:t>
      </w:r>
      <w:proofErr w:type="spellEnd"/>
      <w:r w:rsidRPr="008D7632">
        <w:rPr>
          <w:rStyle w:val="authors-list-item"/>
          <w:rFonts w:ascii="Times New Roman" w:hAnsi="Times New Roman" w:cs="Times New Roman"/>
          <w:color w:val="000000" w:themeColor="text1"/>
          <w:sz w:val="24"/>
          <w:szCs w:val="24"/>
        </w:rPr>
        <w:t xml:space="preserve"> K.</w:t>
      </w:r>
      <w:r w:rsidRPr="008D7632">
        <w:rPr>
          <w:rStyle w:val="comma"/>
          <w:rFonts w:ascii="Times New Roman" w:hAnsi="Times New Roman" w:cs="Times New Roman"/>
          <w:color w:val="000000" w:themeColor="text1"/>
          <w:sz w:val="24"/>
          <w:szCs w:val="24"/>
        </w:rPr>
        <w:t>, </w:t>
      </w:r>
      <w:proofErr w:type="spellStart"/>
      <w:r w:rsidRPr="008D7632">
        <w:rPr>
          <w:rStyle w:val="authors-list-item"/>
          <w:rFonts w:ascii="Times New Roman" w:hAnsi="Times New Roman" w:cs="Times New Roman"/>
          <w:color w:val="000000" w:themeColor="text1"/>
          <w:sz w:val="24"/>
          <w:szCs w:val="24"/>
        </w:rPr>
        <w:t>Kichula</w:t>
      </w:r>
      <w:proofErr w:type="spellEnd"/>
      <w:r w:rsidRPr="008D7632">
        <w:rPr>
          <w:rStyle w:val="authors-list-item"/>
          <w:rFonts w:ascii="Times New Roman" w:hAnsi="Times New Roman" w:cs="Times New Roman"/>
          <w:color w:val="000000" w:themeColor="text1"/>
          <w:sz w:val="24"/>
          <w:szCs w:val="24"/>
        </w:rPr>
        <w:t xml:space="preserve"> E., et al.: </w:t>
      </w:r>
      <w:r w:rsidRPr="008D7632">
        <w:rPr>
          <w:rFonts w:ascii="Times New Roman" w:eastAsia="Times New Roman" w:hAnsi="Times New Roman" w:cs="Times New Roman"/>
          <w:color w:val="000000" w:themeColor="text1"/>
          <w:kern w:val="36"/>
          <w:sz w:val="24"/>
          <w:szCs w:val="24"/>
          <w:lang w:val="en-GB" w:eastAsia="pl-PL"/>
        </w:rPr>
        <w:t>Friedreich Ataxia: Multidisciplinary Clinical Care. J</w:t>
      </w:r>
      <w:r w:rsidRPr="008D7632">
        <w:rPr>
          <w:rFonts w:ascii="Times New Roman" w:eastAsia="Times New Roman" w:hAnsi="Times New Roman" w:cs="Times New Roman"/>
          <w:color w:val="000000" w:themeColor="text1"/>
          <w:kern w:val="0"/>
          <w:sz w:val="24"/>
          <w:szCs w:val="24"/>
          <w:lang w:eastAsia="pl-PL"/>
          <w14:ligatures w14:val="none"/>
        </w:rPr>
        <w:t xml:space="preserve"> </w:t>
      </w:r>
      <w:proofErr w:type="spellStart"/>
      <w:r w:rsidRPr="008D7632">
        <w:rPr>
          <w:rFonts w:ascii="Times New Roman" w:eastAsia="Times New Roman" w:hAnsi="Times New Roman" w:cs="Times New Roman"/>
          <w:color w:val="000000" w:themeColor="text1"/>
          <w:kern w:val="0"/>
          <w:sz w:val="24"/>
          <w:szCs w:val="24"/>
          <w:lang w:eastAsia="pl-PL"/>
          <w14:ligatures w14:val="none"/>
        </w:rPr>
        <w:t>Multidiscip</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w:t>
      </w:r>
      <w:proofErr w:type="spellStart"/>
      <w:r w:rsidRPr="008D7632">
        <w:rPr>
          <w:rFonts w:ascii="Times New Roman" w:eastAsia="Times New Roman" w:hAnsi="Times New Roman" w:cs="Times New Roman"/>
          <w:color w:val="000000" w:themeColor="text1"/>
          <w:kern w:val="0"/>
          <w:sz w:val="24"/>
          <w:szCs w:val="24"/>
          <w:lang w:eastAsia="pl-PL"/>
          <w14:ligatures w14:val="none"/>
        </w:rPr>
        <w:t>Healthc</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2021; </w:t>
      </w:r>
      <w:proofErr w:type="spellStart"/>
      <w:r w:rsidRPr="008D7632">
        <w:rPr>
          <w:rFonts w:ascii="Times New Roman" w:eastAsia="Times New Roman" w:hAnsi="Times New Roman" w:cs="Times New Roman"/>
          <w:color w:val="000000" w:themeColor="text1"/>
          <w:kern w:val="0"/>
          <w:sz w:val="24"/>
          <w:szCs w:val="24"/>
          <w:lang w:eastAsia="pl-PL"/>
          <w14:ligatures w14:val="none"/>
        </w:rPr>
        <w:t>Jun</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28;14:1645-1658. </w:t>
      </w:r>
    </w:p>
    <w:p w14:paraId="4B749744" w14:textId="77777777" w:rsidR="00A211C1" w:rsidRPr="008D7632" w:rsidRDefault="00A211C1" w:rsidP="00A211C1">
      <w:pPr>
        <w:rPr>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[3]</w:t>
      </w:r>
      <w:r w:rsidRPr="008D7632">
        <w:rPr>
          <w:rFonts w:ascii="Times New Roman" w:hAnsi="Times New Roman" w:cs="Times New Roman"/>
          <w:color w:val="000000" w:themeColor="text1"/>
          <w:sz w:val="24"/>
          <w:szCs w:val="24"/>
          <w:lang w:val="en-GB"/>
        </w:rPr>
        <w:tab/>
      </w:r>
      <w:r w:rsidRPr="008D7632">
        <w:rPr>
          <w:rStyle w:val="mixed-citation"/>
          <w:rFonts w:ascii="Times New Roman" w:hAnsi="Times New Roman" w:cs="Times New Roman"/>
          <w:color w:val="000000" w:themeColor="text1"/>
          <w:sz w:val="24"/>
          <w:szCs w:val="24"/>
          <w:lang w:val="en-GB"/>
        </w:rPr>
        <w:t xml:space="preserve">Campuzano V., </w:t>
      </w:r>
      <w:proofErr w:type="spellStart"/>
      <w:r w:rsidRPr="008D7632">
        <w:rPr>
          <w:rStyle w:val="mixed-citation"/>
          <w:rFonts w:ascii="Times New Roman" w:hAnsi="Times New Roman" w:cs="Times New Roman"/>
          <w:color w:val="000000" w:themeColor="text1"/>
          <w:sz w:val="24"/>
          <w:szCs w:val="24"/>
          <w:lang w:val="en-GB"/>
        </w:rPr>
        <w:t>Montermini</w:t>
      </w:r>
      <w:proofErr w:type="spellEnd"/>
      <w:r w:rsidRPr="008D7632">
        <w:rPr>
          <w:rStyle w:val="mixed-citation"/>
          <w:rFonts w:ascii="Times New Roman" w:hAnsi="Times New Roman" w:cs="Times New Roman"/>
          <w:color w:val="000000" w:themeColor="text1"/>
          <w:sz w:val="24"/>
          <w:szCs w:val="24"/>
          <w:lang w:val="en-GB"/>
        </w:rPr>
        <w:t xml:space="preserve"> L., </w:t>
      </w:r>
      <w:proofErr w:type="spellStart"/>
      <w:r w:rsidRPr="008D7632">
        <w:rPr>
          <w:rStyle w:val="mixed-citation"/>
          <w:rFonts w:ascii="Times New Roman" w:hAnsi="Times New Roman" w:cs="Times New Roman"/>
          <w:color w:val="000000" w:themeColor="text1"/>
          <w:sz w:val="24"/>
          <w:szCs w:val="24"/>
          <w:lang w:val="en-GB"/>
        </w:rPr>
        <w:t>Moltò</w:t>
      </w:r>
      <w:proofErr w:type="spellEnd"/>
      <w:r w:rsidRPr="008D7632">
        <w:rPr>
          <w:rStyle w:val="mixed-citation"/>
          <w:rFonts w:ascii="Times New Roman" w:hAnsi="Times New Roman" w:cs="Times New Roman"/>
          <w:color w:val="000000" w:themeColor="text1"/>
          <w:sz w:val="24"/>
          <w:szCs w:val="24"/>
          <w:lang w:val="en-GB"/>
        </w:rPr>
        <w:t xml:space="preserve"> M.D., et al.: </w:t>
      </w:r>
      <w:r w:rsidRPr="008D7632">
        <w:rPr>
          <w:rStyle w:val="ref-title"/>
          <w:rFonts w:ascii="Times New Roman" w:hAnsi="Times New Roman" w:cs="Times New Roman"/>
          <w:color w:val="000000" w:themeColor="text1"/>
          <w:sz w:val="24"/>
          <w:szCs w:val="24"/>
          <w:lang w:val="en-GB"/>
        </w:rPr>
        <w:t>Friedreich’s ataxia: autosomal recessive disease caused by an intronic GAA triplet repeat expansion</w:t>
      </w:r>
      <w:r w:rsidRPr="008D7632">
        <w:rPr>
          <w:rStyle w:val="mixed-citation"/>
          <w:rFonts w:ascii="Times New Roman" w:hAnsi="Times New Roman" w:cs="Times New Roman"/>
          <w:color w:val="000000" w:themeColor="text1"/>
          <w:sz w:val="24"/>
          <w:szCs w:val="24"/>
          <w:lang w:val="en-GB"/>
        </w:rPr>
        <w:t xml:space="preserve">. </w:t>
      </w:r>
      <w:r w:rsidRPr="008D7632">
        <w:rPr>
          <w:rStyle w:val="ref-journal"/>
          <w:rFonts w:ascii="Times New Roman" w:hAnsi="Times New Roman" w:cs="Times New Roman"/>
          <w:color w:val="000000" w:themeColor="text1"/>
          <w:sz w:val="24"/>
          <w:szCs w:val="24"/>
          <w:lang w:val="en-GB"/>
        </w:rPr>
        <w:t>Science</w:t>
      </w:r>
      <w:r w:rsidRPr="008D7632">
        <w:rPr>
          <w:rStyle w:val="mixed-citation"/>
          <w:rFonts w:ascii="Times New Roman" w:hAnsi="Times New Roman" w:cs="Times New Roman"/>
          <w:color w:val="000000" w:themeColor="text1"/>
          <w:sz w:val="24"/>
          <w:szCs w:val="24"/>
          <w:lang w:val="en-GB"/>
        </w:rPr>
        <w:t xml:space="preserve"> 1996; </w:t>
      </w:r>
      <w:r w:rsidRPr="008D7632">
        <w:rPr>
          <w:rStyle w:val="ref-vol"/>
          <w:rFonts w:ascii="Times New Roman" w:hAnsi="Times New Roman" w:cs="Times New Roman"/>
          <w:color w:val="000000" w:themeColor="text1"/>
          <w:sz w:val="24"/>
          <w:szCs w:val="24"/>
          <w:lang w:val="en-GB"/>
        </w:rPr>
        <w:t>271</w:t>
      </w:r>
      <w:r w:rsidRPr="008D7632">
        <w:rPr>
          <w:rStyle w:val="mixed-citation"/>
          <w:rFonts w:ascii="Times New Roman" w:hAnsi="Times New Roman" w:cs="Times New Roman"/>
          <w:color w:val="000000" w:themeColor="text1"/>
          <w:sz w:val="24"/>
          <w:szCs w:val="24"/>
          <w:lang w:val="en-GB"/>
        </w:rPr>
        <w:t>:1423–7.</w:t>
      </w:r>
    </w:p>
    <w:p w14:paraId="52DBF7E6" w14:textId="77777777" w:rsidR="00A211C1" w:rsidRPr="008D7632" w:rsidRDefault="00A211C1" w:rsidP="00A211C1">
      <w:pPr>
        <w:rPr>
          <w:rFonts w:ascii="Times New Roman" w:eastAsia="Times New Roman" w:hAnsi="Times New Roman" w:cs="Times New Roman"/>
          <w:color w:val="000000" w:themeColor="text1"/>
          <w:kern w:val="36"/>
          <w:sz w:val="24"/>
          <w:szCs w:val="24"/>
          <w:lang w:val="en-GB" w:eastAsia="pl-PL"/>
        </w:rPr>
      </w:pPr>
      <w:r w:rsidRPr="008D7632">
        <w:rPr>
          <w:rFonts w:ascii="Times New Roman" w:eastAsia="Times New Roman" w:hAnsi="Times New Roman" w:cs="Times New Roman"/>
          <w:color w:val="000000" w:themeColor="text1"/>
          <w:kern w:val="36"/>
          <w:sz w:val="24"/>
          <w:szCs w:val="24"/>
          <w:lang w:val="en-GB" w:eastAsia="pl-PL"/>
        </w:rPr>
        <w:t>[4]</w:t>
      </w:r>
      <w:r w:rsidRPr="008D7632">
        <w:rPr>
          <w:rFonts w:ascii="Times New Roman" w:eastAsia="Times New Roman" w:hAnsi="Times New Roman" w:cs="Times New Roman"/>
          <w:color w:val="000000" w:themeColor="text1"/>
          <w:kern w:val="36"/>
          <w:sz w:val="24"/>
          <w:szCs w:val="24"/>
          <w:lang w:val="en-GB" w:eastAsia="pl-PL"/>
        </w:rPr>
        <w:tab/>
      </w:r>
      <w:proofErr w:type="spellStart"/>
      <w:r w:rsidRPr="008D7632">
        <w:rPr>
          <w:rFonts w:ascii="Times New Roman" w:hAnsi="Times New Roman" w:cs="Times New Roman"/>
          <w:color w:val="000000" w:themeColor="text1"/>
          <w:sz w:val="24"/>
          <w:szCs w:val="24"/>
        </w:rPr>
        <w:t>Ocana-Santero</w:t>
      </w:r>
      <w:proofErr w:type="spellEnd"/>
      <w:r w:rsidRPr="008D7632">
        <w:rPr>
          <w:rFonts w:ascii="Times New Roman" w:hAnsi="Times New Roman" w:cs="Times New Roman"/>
          <w:color w:val="000000" w:themeColor="text1"/>
          <w:sz w:val="24"/>
          <w:szCs w:val="24"/>
        </w:rPr>
        <w:t xml:space="preserve"> G., </w:t>
      </w:r>
      <w:proofErr w:type="spellStart"/>
      <w:r w:rsidRPr="008D7632">
        <w:rPr>
          <w:rFonts w:ascii="Times New Roman" w:hAnsi="Times New Roman" w:cs="Times New Roman"/>
          <w:color w:val="000000" w:themeColor="text1"/>
          <w:sz w:val="24"/>
          <w:szCs w:val="24"/>
        </w:rPr>
        <w:t>Díaz</w:t>
      </w:r>
      <w:proofErr w:type="spellEnd"/>
      <w:r w:rsidRPr="008D7632">
        <w:rPr>
          <w:rFonts w:ascii="Times New Roman" w:hAnsi="Times New Roman" w:cs="Times New Roman"/>
          <w:color w:val="000000" w:themeColor="text1"/>
          <w:sz w:val="24"/>
          <w:szCs w:val="24"/>
        </w:rPr>
        <w:t xml:space="preserve">-Nido J., </w:t>
      </w:r>
      <w:proofErr w:type="spellStart"/>
      <w:r w:rsidRPr="008D7632">
        <w:rPr>
          <w:rFonts w:ascii="Times New Roman" w:hAnsi="Times New Roman" w:cs="Times New Roman"/>
          <w:color w:val="000000" w:themeColor="text1"/>
          <w:sz w:val="24"/>
          <w:szCs w:val="24"/>
        </w:rPr>
        <w:t>Herranz-Martín</w:t>
      </w:r>
      <w:proofErr w:type="spellEnd"/>
      <w:r w:rsidRPr="008D7632">
        <w:rPr>
          <w:rFonts w:ascii="Times New Roman" w:hAnsi="Times New Roman" w:cs="Times New Roman"/>
          <w:color w:val="000000" w:themeColor="text1"/>
          <w:sz w:val="24"/>
          <w:szCs w:val="24"/>
        </w:rPr>
        <w:t xml:space="preserve"> S.: </w:t>
      </w:r>
      <w:r w:rsidRPr="008D7632">
        <w:rPr>
          <w:rFonts w:ascii="Times New Roman" w:eastAsia="Times New Roman" w:hAnsi="Times New Roman" w:cs="Times New Roman"/>
          <w:color w:val="000000" w:themeColor="text1"/>
          <w:kern w:val="36"/>
          <w:sz w:val="24"/>
          <w:szCs w:val="24"/>
          <w:lang w:val="en-GB" w:eastAsia="pl-PL"/>
        </w:rPr>
        <w:t xml:space="preserve">Future Prospects of Gene Therapy for Friedreich's Ataxia. 2021; </w:t>
      </w:r>
      <w:proofErr w:type="spellStart"/>
      <w:r w:rsidRPr="008D7632">
        <w:rPr>
          <w:rFonts w:ascii="Times New Roman" w:hAnsi="Times New Roman" w:cs="Times New Roman"/>
          <w:color w:val="000000" w:themeColor="text1"/>
          <w:sz w:val="24"/>
          <w:szCs w:val="24"/>
        </w:rPr>
        <w:t>Int</w:t>
      </w:r>
      <w:proofErr w:type="spellEnd"/>
      <w:r w:rsidRPr="008D7632">
        <w:rPr>
          <w:rFonts w:ascii="Times New Roman" w:hAnsi="Times New Roman" w:cs="Times New Roman"/>
          <w:color w:val="000000" w:themeColor="text1"/>
          <w:sz w:val="24"/>
          <w:szCs w:val="24"/>
        </w:rPr>
        <w:t xml:space="preserve"> J Mol </w:t>
      </w:r>
      <w:proofErr w:type="spellStart"/>
      <w:r w:rsidRPr="008D7632">
        <w:rPr>
          <w:rFonts w:ascii="Times New Roman" w:hAnsi="Times New Roman" w:cs="Times New Roman"/>
          <w:color w:val="000000" w:themeColor="text1"/>
          <w:sz w:val="24"/>
          <w:szCs w:val="24"/>
        </w:rPr>
        <w:t>Sci</w:t>
      </w:r>
      <w:proofErr w:type="spellEnd"/>
      <w:r w:rsidRPr="008D7632">
        <w:rPr>
          <w:rFonts w:ascii="Times New Roman" w:hAnsi="Times New Roman" w:cs="Times New Roman"/>
          <w:color w:val="000000" w:themeColor="text1"/>
          <w:sz w:val="24"/>
          <w:szCs w:val="24"/>
        </w:rPr>
        <w:t xml:space="preserve">. 2021 </w:t>
      </w:r>
      <w:proofErr w:type="spellStart"/>
      <w:r w:rsidRPr="008D7632">
        <w:rPr>
          <w:rFonts w:ascii="Times New Roman" w:hAnsi="Times New Roman" w:cs="Times New Roman"/>
          <w:color w:val="000000" w:themeColor="text1"/>
          <w:sz w:val="24"/>
          <w:szCs w:val="24"/>
        </w:rPr>
        <w:t>Feb</w:t>
      </w:r>
      <w:proofErr w:type="spellEnd"/>
      <w:r w:rsidRPr="008D7632">
        <w:rPr>
          <w:rFonts w:ascii="Times New Roman" w:hAnsi="Times New Roman" w:cs="Times New Roman"/>
          <w:color w:val="000000" w:themeColor="text1"/>
          <w:sz w:val="24"/>
          <w:szCs w:val="24"/>
        </w:rPr>
        <w:t>; 22(4): 1815.</w:t>
      </w:r>
    </w:p>
    <w:p w14:paraId="5BC2177B" w14:textId="77777777" w:rsidR="00A211C1" w:rsidRPr="008D7632" w:rsidRDefault="00A211C1" w:rsidP="00A211C1">
      <w:pPr>
        <w:rPr>
          <w:rFonts w:ascii="Times New Roman" w:eastAsia="Times New Roman" w:hAnsi="Times New Roman" w:cs="Times New Roman"/>
          <w:color w:val="000000" w:themeColor="text1"/>
          <w:kern w:val="0"/>
          <w:sz w:val="24"/>
          <w:szCs w:val="24"/>
          <w:lang w:eastAsia="pl-PL"/>
          <w14:ligatures w14:val="none"/>
        </w:rPr>
      </w:pPr>
      <w:r w:rsidRPr="008D7632">
        <w:rPr>
          <w:rFonts w:ascii="Times New Roman" w:hAnsi="Times New Roman" w:cs="Times New Roman"/>
          <w:color w:val="000000" w:themeColor="text1"/>
          <w:sz w:val="24"/>
          <w:szCs w:val="24"/>
          <w:lang w:val="en-GB"/>
        </w:rPr>
        <w:t>[5]</w:t>
      </w:r>
      <w:r w:rsidRPr="008D7632">
        <w:rPr>
          <w:rFonts w:ascii="Times New Roman" w:hAnsi="Times New Roman" w:cs="Times New Roman"/>
          <w:color w:val="000000" w:themeColor="text1"/>
          <w:sz w:val="24"/>
          <w:szCs w:val="24"/>
          <w:lang w:val="en-GB"/>
        </w:rPr>
        <w:tab/>
      </w:r>
      <w:proofErr w:type="spellStart"/>
      <w:r w:rsidRPr="008D7632">
        <w:rPr>
          <w:rStyle w:val="authors-list-item"/>
          <w:rFonts w:ascii="Times New Roman" w:hAnsi="Times New Roman" w:cs="Times New Roman"/>
          <w:color w:val="000000" w:themeColor="text1"/>
          <w:sz w:val="24"/>
          <w:szCs w:val="24"/>
        </w:rPr>
        <w:t>Strawser</w:t>
      </w:r>
      <w:proofErr w:type="spellEnd"/>
      <w:r w:rsidRPr="008D7632">
        <w:rPr>
          <w:rStyle w:val="author-sup-separator"/>
          <w:rFonts w:ascii="Times New Roman" w:hAnsi="Times New Roman" w:cs="Times New Roman"/>
          <w:color w:val="000000" w:themeColor="text1"/>
          <w:sz w:val="24"/>
          <w:szCs w:val="24"/>
          <w:vertAlign w:val="superscript"/>
        </w:rPr>
        <w:t xml:space="preserve"> </w:t>
      </w:r>
      <w:r w:rsidRPr="008D7632">
        <w:rPr>
          <w:rStyle w:val="comma"/>
          <w:rFonts w:ascii="Times New Roman" w:hAnsi="Times New Roman" w:cs="Times New Roman"/>
          <w:color w:val="000000" w:themeColor="text1"/>
          <w:sz w:val="24"/>
          <w:szCs w:val="24"/>
        </w:rPr>
        <w:t>C., </w:t>
      </w:r>
      <w:proofErr w:type="spellStart"/>
      <w:r w:rsidRPr="008D7632">
        <w:rPr>
          <w:rStyle w:val="authors-list-item"/>
          <w:rFonts w:ascii="Times New Roman" w:hAnsi="Times New Roman" w:cs="Times New Roman"/>
          <w:color w:val="000000" w:themeColor="text1"/>
          <w:sz w:val="24"/>
          <w:szCs w:val="24"/>
        </w:rPr>
        <w:t>Schadt</w:t>
      </w:r>
      <w:proofErr w:type="spellEnd"/>
      <w:r w:rsidRPr="008D7632">
        <w:rPr>
          <w:rStyle w:val="authors-list-item"/>
          <w:rFonts w:ascii="Times New Roman" w:hAnsi="Times New Roman" w:cs="Times New Roman"/>
          <w:color w:val="000000" w:themeColor="text1"/>
          <w:sz w:val="24"/>
          <w:szCs w:val="24"/>
        </w:rPr>
        <w:t xml:space="preserve"> K.</w:t>
      </w:r>
      <w:r w:rsidRPr="008D7632">
        <w:rPr>
          <w:rStyle w:val="comma"/>
          <w:rFonts w:ascii="Times New Roman" w:hAnsi="Times New Roman" w:cs="Times New Roman"/>
          <w:color w:val="000000" w:themeColor="text1"/>
          <w:sz w:val="24"/>
          <w:szCs w:val="24"/>
        </w:rPr>
        <w:t>, </w:t>
      </w:r>
      <w:r w:rsidRPr="008D7632">
        <w:rPr>
          <w:rStyle w:val="authors-list-item"/>
          <w:rFonts w:ascii="Times New Roman" w:hAnsi="Times New Roman" w:cs="Times New Roman"/>
          <w:color w:val="000000" w:themeColor="text1"/>
          <w:sz w:val="24"/>
          <w:szCs w:val="24"/>
        </w:rPr>
        <w:t xml:space="preserve">Hauser L., et al.: </w:t>
      </w:r>
      <w:r w:rsidRPr="008D7632">
        <w:rPr>
          <w:rFonts w:ascii="Times New Roman" w:hAnsi="Times New Roman" w:cs="Times New Roman"/>
          <w:color w:val="000000" w:themeColor="text1"/>
          <w:kern w:val="0"/>
          <w:sz w:val="24"/>
          <w:szCs w:val="24"/>
          <w:lang w:val="en-GB"/>
        </w:rPr>
        <w:t xml:space="preserve">Pharmacological therapeutics in Friedreich ataxia: the present state, </w:t>
      </w:r>
      <w:proofErr w:type="spellStart"/>
      <w:r w:rsidRPr="008D7632">
        <w:rPr>
          <w:rFonts w:ascii="Times New Roman" w:eastAsia="Times New Roman" w:hAnsi="Times New Roman" w:cs="Times New Roman"/>
          <w:color w:val="000000" w:themeColor="text1"/>
          <w:kern w:val="0"/>
          <w:sz w:val="24"/>
          <w:szCs w:val="24"/>
          <w:lang w:eastAsia="pl-PL"/>
          <w14:ligatures w14:val="none"/>
        </w:rPr>
        <w:t>Expert</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w:t>
      </w:r>
      <w:proofErr w:type="spellStart"/>
      <w:r w:rsidRPr="008D7632">
        <w:rPr>
          <w:rFonts w:ascii="Times New Roman" w:eastAsia="Times New Roman" w:hAnsi="Times New Roman" w:cs="Times New Roman"/>
          <w:color w:val="000000" w:themeColor="text1"/>
          <w:kern w:val="0"/>
          <w:sz w:val="24"/>
          <w:szCs w:val="24"/>
          <w:lang w:eastAsia="pl-PL"/>
          <w14:ligatures w14:val="none"/>
        </w:rPr>
        <w:t>Rev</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w:t>
      </w:r>
      <w:proofErr w:type="spellStart"/>
      <w:r w:rsidRPr="008D7632">
        <w:rPr>
          <w:rFonts w:ascii="Times New Roman" w:eastAsia="Times New Roman" w:hAnsi="Times New Roman" w:cs="Times New Roman"/>
          <w:color w:val="000000" w:themeColor="text1"/>
          <w:kern w:val="0"/>
          <w:sz w:val="24"/>
          <w:szCs w:val="24"/>
          <w:lang w:eastAsia="pl-PL"/>
          <w14:ligatures w14:val="none"/>
        </w:rPr>
        <w:t>Neurother</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2017; Sep;17(9):895-907. </w:t>
      </w:r>
    </w:p>
    <w:p w14:paraId="400BBD39" w14:textId="77777777" w:rsidR="00A211C1" w:rsidRPr="008D7632" w:rsidRDefault="00A211C1" w:rsidP="00A211C1">
      <w:pPr>
        <w:rPr>
          <w:rStyle w:val="mixed-citation"/>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[6]</w:t>
      </w:r>
      <w:r w:rsidRPr="008D7632">
        <w:rPr>
          <w:rFonts w:ascii="Times New Roman" w:hAnsi="Times New Roman" w:cs="Times New Roman"/>
          <w:color w:val="000000" w:themeColor="text1"/>
          <w:sz w:val="24"/>
          <w:szCs w:val="24"/>
          <w:lang w:val="en-GB"/>
        </w:rPr>
        <w:tab/>
      </w:r>
      <w:r w:rsidRPr="008D7632">
        <w:rPr>
          <w:rStyle w:val="authors-list-item"/>
          <w:rFonts w:ascii="Times New Roman" w:hAnsi="Times New Roman" w:cs="Times New Roman"/>
          <w:color w:val="000000" w:themeColor="text1"/>
          <w:sz w:val="24"/>
          <w:szCs w:val="24"/>
        </w:rPr>
        <w:t>Parkinson M. H.</w:t>
      </w:r>
      <w:r w:rsidRPr="008D7632">
        <w:rPr>
          <w:rStyle w:val="comma"/>
          <w:rFonts w:ascii="Times New Roman" w:hAnsi="Times New Roman" w:cs="Times New Roman"/>
          <w:color w:val="000000" w:themeColor="text1"/>
          <w:sz w:val="24"/>
          <w:szCs w:val="24"/>
        </w:rPr>
        <w:t>, </w:t>
      </w:r>
      <w:proofErr w:type="spellStart"/>
      <w:r w:rsidRPr="008D7632">
        <w:rPr>
          <w:rStyle w:val="authors-list-item"/>
          <w:rFonts w:ascii="Times New Roman" w:hAnsi="Times New Roman" w:cs="Times New Roman"/>
          <w:color w:val="000000" w:themeColor="text1"/>
          <w:sz w:val="24"/>
          <w:szCs w:val="24"/>
        </w:rPr>
        <w:t>Boesch</w:t>
      </w:r>
      <w:proofErr w:type="spellEnd"/>
      <w:r w:rsidRPr="008D7632">
        <w:rPr>
          <w:rStyle w:val="authors-list-item"/>
          <w:rFonts w:ascii="Times New Roman" w:hAnsi="Times New Roman" w:cs="Times New Roman"/>
          <w:color w:val="000000" w:themeColor="text1"/>
          <w:sz w:val="24"/>
          <w:szCs w:val="24"/>
        </w:rPr>
        <w:t xml:space="preserve"> S.</w:t>
      </w:r>
      <w:r w:rsidRPr="008D7632">
        <w:rPr>
          <w:rStyle w:val="comma"/>
          <w:rFonts w:ascii="Times New Roman" w:hAnsi="Times New Roman" w:cs="Times New Roman"/>
          <w:color w:val="000000" w:themeColor="text1"/>
          <w:sz w:val="24"/>
          <w:szCs w:val="24"/>
        </w:rPr>
        <w:t>, </w:t>
      </w:r>
      <w:proofErr w:type="spellStart"/>
      <w:r w:rsidRPr="008D7632">
        <w:rPr>
          <w:rStyle w:val="authors-list-item"/>
          <w:rFonts w:ascii="Times New Roman" w:hAnsi="Times New Roman" w:cs="Times New Roman"/>
          <w:color w:val="000000" w:themeColor="text1"/>
          <w:sz w:val="24"/>
          <w:szCs w:val="24"/>
        </w:rPr>
        <w:t>Nachbauer</w:t>
      </w:r>
      <w:proofErr w:type="spellEnd"/>
      <w:r w:rsidRPr="008D7632">
        <w:rPr>
          <w:rStyle w:val="authors-list-item"/>
          <w:rFonts w:ascii="Times New Roman" w:hAnsi="Times New Roman" w:cs="Times New Roman"/>
          <w:color w:val="000000" w:themeColor="text1"/>
          <w:sz w:val="24"/>
          <w:szCs w:val="24"/>
        </w:rPr>
        <w:t xml:space="preserve"> W., et al.:</w:t>
      </w:r>
      <w:r w:rsidRPr="008D7632">
        <w:rPr>
          <w:rStyle w:val="mixed-citation"/>
          <w:rFonts w:ascii="Times New Roman" w:hAnsi="Times New Roman" w:cs="Times New Roman"/>
          <w:color w:val="000000" w:themeColor="text1"/>
          <w:sz w:val="24"/>
          <w:szCs w:val="24"/>
          <w:lang w:val="en-GB"/>
        </w:rPr>
        <w:t xml:space="preserve"> </w:t>
      </w:r>
      <w:r w:rsidRPr="008D7632">
        <w:rPr>
          <w:rStyle w:val="ref-title"/>
          <w:rFonts w:ascii="Times New Roman" w:hAnsi="Times New Roman" w:cs="Times New Roman"/>
          <w:color w:val="000000" w:themeColor="text1"/>
          <w:sz w:val="24"/>
          <w:szCs w:val="24"/>
          <w:lang w:val="en-GB"/>
        </w:rPr>
        <w:t>Clinical features of Friedreich’s ataxia: classical and atypical phenotypes</w:t>
      </w:r>
      <w:r w:rsidRPr="008D7632">
        <w:rPr>
          <w:rStyle w:val="mixed-citation"/>
          <w:rFonts w:ascii="Times New Roman" w:hAnsi="Times New Roman" w:cs="Times New Roman"/>
          <w:color w:val="000000" w:themeColor="text1"/>
          <w:sz w:val="24"/>
          <w:szCs w:val="24"/>
          <w:lang w:val="en-GB"/>
        </w:rPr>
        <w:t xml:space="preserve">. </w:t>
      </w:r>
      <w:r w:rsidRPr="008D7632">
        <w:rPr>
          <w:rStyle w:val="ref-journal"/>
          <w:rFonts w:ascii="Times New Roman" w:hAnsi="Times New Roman" w:cs="Times New Roman"/>
          <w:color w:val="000000" w:themeColor="text1"/>
          <w:sz w:val="24"/>
          <w:szCs w:val="24"/>
          <w:lang w:val="en-GB"/>
        </w:rPr>
        <w:t xml:space="preserve">J </w:t>
      </w:r>
      <w:proofErr w:type="spellStart"/>
      <w:r w:rsidRPr="008D7632">
        <w:rPr>
          <w:rStyle w:val="ref-journal"/>
          <w:rFonts w:ascii="Times New Roman" w:hAnsi="Times New Roman" w:cs="Times New Roman"/>
          <w:color w:val="000000" w:themeColor="text1"/>
          <w:sz w:val="24"/>
          <w:szCs w:val="24"/>
          <w:lang w:val="en-GB"/>
        </w:rPr>
        <w:t>Neurochem</w:t>
      </w:r>
      <w:proofErr w:type="spellEnd"/>
      <w:r w:rsidRPr="008D7632">
        <w:rPr>
          <w:rStyle w:val="mixed-citation"/>
          <w:rFonts w:ascii="Times New Roman" w:hAnsi="Times New Roman" w:cs="Times New Roman"/>
          <w:color w:val="000000" w:themeColor="text1"/>
          <w:sz w:val="24"/>
          <w:szCs w:val="24"/>
          <w:lang w:val="en-GB"/>
        </w:rPr>
        <w:t xml:space="preserve"> 2013;</w:t>
      </w:r>
      <w:r w:rsidRPr="008D7632">
        <w:rPr>
          <w:rStyle w:val="ref-vol"/>
          <w:rFonts w:ascii="Times New Roman" w:hAnsi="Times New Roman" w:cs="Times New Roman"/>
          <w:color w:val="000000" w:themeColor="text1"/>
          <w:sz w:val="24"/>
          <w:szCs w:val="24"/>
          <w:lang w:val="en-GB"/>
        </w:rPr>
        <w:t>126</w:t>
      </w:r>
      <w:r w:rsidRPr="008D7632">
        <w:rPr>
          <w:rStyle w:val="mixed-citation"/>
          <w:rFonts w:ascii="Times New Roman" w:hAnsi="Times New Roman" w:cs="Times New Roman"/>
          <w:color w:val="000000" w:themeColor="text1"/>
          <w:sz w:val="24"/>
          <w:szCs w:val="24"/>
          <w:lang w:val="en-GB"/>
        </w:rPr>
        <w:t xml:space="preserve">:103–17. </w:t>
      </w:r>
    </w:p>
    <w:p w14:paraId="1D6710FF" w14:textId="77777777" w:rsidR="00A211C1" w:rsidRPr="008D7632" w:rsidRDefault="00A211C1" w:rsidP="00A211C1">
      <w:pPr>
        <w:rPr>
          <w:rStyle w:val="nowrap"/>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[7]</w:t>
      </w:r>
      <w:r w:rsidRPr="008D7632">
        <w:rPr>
          <w:rFonts w:ascii="Times New Roman" w:hAnsi="Times New Roman" w:cs="Times New Roman"/>
          <w:color w:val="000000" w:themeColor="text1"/>
          <w:sz w:val="24"/>
          <w:szCs w:val="24"/>
          <w:lang w:val="en-GB"/>
        </w:rPr>
        <w:tab/>
      </w:r>
      <w:r w:rsidRPr="008D7632">
        <w:rPr>
          <w:rStyle w:val="mixed-citation"/>
          <w:rFonts w:ascii="Times New Roman" w:hAnsi="Times New Roman" w:cs="Times New Roman"/>
          <w:color w:val="000000" w:themeColor="text1"/>
          <w:sz w:val="24"/>
          <w:szCs w:val="24"/>
          <w:lang w:val="en-GB"/>
        </w:rPr>
        <w:t xml:space="preserve">Dürr A., </w:t>
      </w:r>
      <w:proofErr w:type="spellStart"/>
      <w:r w:rsidRPr="008D7632">
        <w:rPr>
          <w:rStyle w:val="mixed-citation"/>
          <w:rFonts w:ascii="Times New Roman" w:hAnsi="Times New Roman" w:cs="Times New Roman"/>
          <w:color w:val="000000" w:themeColor="text1"/>
          <w:sz w:val="24"/>
          <w:szCs w:val="24"/>
          <w:lang w:val="en-GB"/>
        </w:rPr>
        <w:t>Cossee</w:t>
      </w:r>
      <w:proofErr w:type="spellEnd"/>
      <w:r w:rsidRPr="008D7632">
        <w:rPr>
          <w:rStyle w:val="mixed-citation"/>
          <w:rFonts w:ascii="Times New Roman" w:hAnsi="Times New Roman" w:cs="Times New Roman"/>
          <w:color w:val="000000" w:themeColor="text1"/>
          <w:sz w:val="24"/>
          <w:szCs w:val="24"/>
          <w:lang w:val="en-GB"/>
        </w:rPr>
        <w:t xml:space="preserve"> M., </w:t>
      </w:r>
      <w:proofErr w:type="spellStart"/>
      <w:r w:rsidRPr="008D7632">
        <w:rPr>
          <w:rStyle w:val="mixed-citation"/>
          <w:rFonts w:ascii="Times New Roman" w:hAnsi="Times New Roman" w:cs="Times New Roman"/>
          <w:color w:val="000000" w:themeColor="text1"/>
          <w:sz w:val="24"/>
          <w:szCs w:val="24"/>
          <w:lang w:val="en-GB"/>
        </w:rPr>
        <w:t>Agid</w:t>
      </w:r>
      <w:proofErr w:type="spellEnd"/>
      <w:r w:rsidRPr="008D7632">
        <w:rPr>
          <w:rStyle w:val="mixed-citation"/>
          <w:rFonts w:ascii="Times New Roman" w:hAnsi="Times New Roman" w:cs="Times New Roman"/>
          <w:color w:val="000000" w:themeColor="text1"/>
          <w:sz w:val="24"/>
          <w:szCs w:val="24"/>
          <w:lang w:val="en-GB"/>
        </w:rPr>
        <w:t xml:space="preserve"> Y., et al.: </w:t>
      </w:r>
      <w:r w:rsidRPr="008D7632">
        <w:rPr>
          <w:rStyle w:val="ref-title"/>
          <w:rFonts w:ascii="Times New Roman" w:hAnsi="Times New Roman" w:cs="Times New Roman"/>
          <w:color w:val="000000" w:themeColor="text1"/>
          <w:sz w:val="24"/>
          <w:szCs w:val="24"/>
          <w:lang w:val="en-GB"/>
        </w:rPr>
        <w:t>Clinical and genetic abnormalities in patients with Friedreich’s ataxia.</w:t>
      </w:r>
      <w:r w:rsidRPr="008D7632">
        <w:rPr>
          <w:rStyle w:val="mixed-citation"/>
          <w:rFonts w:ascii="Times New Roman" w:hAnsi="Times New Roman" w:cs="Times New Roman"/>
          <w:color w:val="000000" w:themeColor="text1"/>
          <w:sz w:val="24"/>
          <w:szCs w:val="24"/>
          <w:lang w:val="en-GB"/>
        </w:rPr>
        <w:t xml:space="preserve"> </w:t>
      </w:r>
      <w:r w:rsidRPr="008D7632">
        <w:rPr>
          <w:rStyle w:val="ref-journal"/>
          <w:rFonts w:ascii="Times New Roman" w:hAnsi="Times New Roman" w:cs="Times New Roman"/>
          <w:color w:val="000000" w:themeColor="text1"/>
          <w:sz w:val="24"/>
          <w:szCs w:val="24"/>
          <w:lang w:val="en-GB"/>
        </w:rPr>
        <w:t>N Engl J Med</w:t>
      </w:r>
      <w:r w:rsidRPr="008D7632">
        <w:rPr>
          <w:rStyle w:val="mixed-citation"/>
          <w:rFonts w:ascii="Times New Roman" w:hAnsi="Times New Roman" w:cs="Times New Roman"/>
          <w:color w:val="000000" w:themeColor="text1"/>
          <w:sz w:val="24"/>
          <w:szCs w:val="24"/>
          <w:lang w:val="en-GB"/>
        </w:rPr>
        <w:t xml:space="preserve"> 1996; </w:t>
      </w:r>
      <w:r w:rsidRPr="008D7632">
        <w:rPr>
          <w:rStyle w:val="ref-vol"/>
          <w:rFonts w:ascii="Times New Roman" w:hAnsi="Times New Roman" w:cs="Times New Roman"/>
          <w:color w:val="000000" w:themeColor="text1"/>
          <w:sz w:val="24"/>
          <w:szCs w:val="24"/>
          <w:lang w:val="en-GB"/>
        </w:rPr>
        <w:t>335</w:t>
      </w:r>
      <w:r w:rsidRPr="008D7632">
        <w:rPr>
          <w:rStyle w:val="mixed-citation"/>
          <w:rFonts w:ascii="Times New Roman" w:hAnsi="Times New Roman" w:cs="Times New Roman"/>
          <w:color w:val="000000" w:themeColor="text1"/>
          <w:sz w:val="24"/>
          <w:szCs w:val="24"/>
          <w:lang w:val="en-GB"/>
        </w:rPr>
        <w:t xml:space="preserve">:1169–75. </w:t>
      </w:r>
    </w:p>
    <w:p w14:paraId="1603BF96" w14:textId="77777777" w:rsidR="00A211C1" w:rsidRPr="008D7632" w:rsidRDefault="00A211C1" w:rsidP="00A211C1">
      <w:pPr>
        <w:rPr>
          <w:rStyle w:val="nowrap"/>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[8]</w:t>
      </w:r>
      <w:r w:rsidRPr="008D7632">
        <w:rPr>
          <w:rFonts w:ascii="Times New Roman" w:hAnsi="Times New Roman" w:cs="Times New Roman"/>
          <w:color w:val="000000" w:themeColor="text1"/>
          <w:sz w:val="24"/>
          <w:szCs w:val="24"/>
          <w:lang w:val="en-GB"/>
        </w:rPr>
        <w:tab/>
      </w:r>
      <w:r w:rsidRPr="008D7632">
        <w:rPr>
          <w:rStyle w:val="mixed-citation"/>
          <w:rFonts w:ascii="Times New Roman" w:hAnsi="Times New Roman" w:cs="Times New Roman"/>
          <w:color w:val="000000" w:themeColor="text1"/>
          <w:sz w:val="24"/>
          <w:szCs w:val="24"/>
          <w:lang w:val="en-GB"/>
        </w:rPr>
        <w:t xml:space="preserve">Fahey M.C., Cremer P.D., Aw S.T., et al.: </w:t>
      </w:r>
      <w:r w:rsidRPr="008D7632">
        <w:rPr>
          <w:rStyle w:val="ref-title"/>
          <w:rFonts w:ascii="Times New Roman" w:hAnsi="Times New Roman" w:cs="Times New Roman"/>
          <w:color w:val="000000" w:themeColor="text1"/>
          <w:sz w:val="24"/>
          <w:szCs w:val="24"/>
          <w:lang w:val="en-GB"/>
        </w:rPr>
        <w:t>Vestibular, saccadic and fixation abnormalities in genetically confirmed Friedreich ataxia.</w:t>
      </w:r>
      <w:r w:rsidRPr="008D7632">
        <w:rPr>
          <w:rStyle w:val="mixed-citation"/>
          <w:rFonts w:ascii="Times New Roman" w:hAnsi="Times New Roman" w:cs="Times New Roman"/>
          <w:color w:val="000000" w:themeColor="text1"/>
          <w:sz w:val="24"/>
          <w:szCs w:val="24"/>
          <w:lang w:val="en-GB"/>
        </w:rPr>
        <w:t xml:space="preserve"> </w:t>
      </w:r>
      <w:r w:rsidRPr="008D7632">
        <w:rPr>
          <w:rStyle w:val="ref-journal"/>
          <w:rFonts w:ascii="Times New Roman" w:hAnsi="Times New Roman" w:cs="Times New Roman"/>
          <w:color w:val="000000" w:themeColor="text1"/>
          <w:sz w:val="24"/>
          <w:szCs w:val="24"/>
          <w:lang w:val="en-GB"/>
        </w:rPr>
        <w:t>Brain</w:t>
      </w:r>
      <w:r w:rsidRPr="008D7632">
        <w:rPr>
          <w:rStyle w:val="mixed-citation"/>
          <w:rFonts w:ascii="Times New Roman" w:hAnsi="Times New Roman" w:cs="Times New Roman"/>
          <w:color w:val="000000" w:themeColor="text1"/>
          <w:sz w:val="24"/>
          <w:szCs w:val="24"/>
          <w:lang w:val="en-GB"/>
        </w:rPr>
        <w:t xml:space="preserve"> 2008; </w:t>
      </w:r>
      <w:r w:rsidRPr="008D7632">
        <w:rPr>
          <w:rStyle w:val="ref-vol"/>
          <w:rFonts w:ascii="Times New Roman" w:hAnsi="Times New Roman" w:cs="Times New Roman"/>
          <w:color w:val="000000" w:themeColor="text1"/>
          <w:sz w:val="24"/>
          <w:szCs w:val="24"/>
          <w:lang w:val="en-GB"/>
        </w:rPr>
        <w:t>131</w:t>
      </w:r>
      <w:r w:rsidRPr="008D7632">
        <w:rPr>
          <w:rStyle w:val="mixed-citation"/>
          <w:rFonts w:ascii="Times New Roman" w:hAnsi="Times New Roman" w:cs="Times New Roman"/>
          <w:color w:val="000000" w:themeColor="text1"/>
          <w:sz w:val="24"/>
          <w:szCs w:val="24"/>
          <w:lang w:val="en-GB"/>
        </w:rPr>
        <w:t xml:space="preserve">:1035–45. </w:t>
      </w:r>
    </w:p>
    <w:p w14:paraId="28D992C5" w14:textId="77777777" w:rsidR="00A211C1" w:rsidRPr="008D7632" w:rsidRDefault="00A211C1" w:rsidP="00A211C1">
      <w:pPr>
        <w:rPr>
          <w:rStyle w:val="nowrap"/>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[9]</w:t>
      </w:r>
      <w:r w:rsidRPr="008D7632">
        <w:rPr>
          <w:rFonts w:ascii="Times New Roman" w:hAnsi="Times New Roman" w:cs="Times New Roman"/>
          <w:color w:val="000000" w:themeColor="text1"/>
          <w:sz w:val="24"/>
          <w:szCs w:val="24"/>
          <w:lang w:val="en-GB"/>
        </w:rPr>
        <w:tab/>
      </w:r>
      <w:proofErr w:type="spellStart"/>
      <w:r w:rsidRPr="008D7632">
        <w:rPr>
          <w:rStyle w:val="mixed-citation"/>
          <w:rFonts w:ascii="Times New Roman" w:hAnsi="Times New Roman" w:cs="Times New Roman"/>
          <w:color w:val="000000" w:themeColor="text1"/>
          <w:sz w:val="24"/>
          <w:szCs w:val="24"/>
          <w:lang w:val="en-GB"/>
        </w:rPr>
        <w:t>Tsirikos</w:t>
      </w:r>
      <w:proofErr w:type="spellEnd"/>
      <w:r w:rsidRPr="008D7632">
        <w:rPr>
          <w:rStyle w:val="mixed-citation"/>
          <w:rFonts w:ascii="Times New Roman" w:hAnsi="Times New Roman" w:cs="Times New Roman"/>
          <w:color w:val="000000" w:themeColor="text1"/>
          <w:sz w:val="24"/>
          <w:szCs w:val="24"/>
          <w:lang w:val="en-GB"/>
        </w:rPr>
        <w:t xml:space="preserve"> A.I., Smith G.: </w:t>
      </w:r>
      <w:r w:rsidRPr="008D7632">
        <w:rPr>
          <w:rStyle w:val="ref-title"/>
          <w:rFonts w:ascii="Times New Roman" w:hAnsi="Times New Roman" w:cs="Times New Roman"/>
          <w:color w:val="000000" w:themeColor="text1"/>
          <w:sz w:val="24"/>
          <w:szCs w:val="24"/>
          <w:lang w:val="en-GB"/>
        </w:rPr>
        <w:t>Scoliosis in patients with Friedreich’s ataxia</w:t>
      </w:r>
      <w:r w:rsidRPr="008D7632">
        <w:rPr>
          <w:rStyle w:val="mixed-citation"/>
          <w:rFonts w:ascii="Times New Roman" w:hAnsi="Times New Roman" w:cs="Times New Roman"/>
          <w:color w:val="000000" w:themeColor="text1"/>
          <w:sz w:val="24"/>
          <w:szCs w:val="24"/>
          <w:lang w:val="en-GB"/>
        </w:rPr>
        <w:t xml:space="preserve">. </w:t>
      </w:r>
      <w:r w:rsidRPr="008D7632">
        <w:rPr>
          <w:rStyle w:val="ref-journal"/>
          <w:rFonts w:ascii="Times New Roman" w:hAnsi="Times New Roman" w:cs="Times New Roman"/>
          <w:color w:val="000000" w:themeColor="text1"/>
          <w:sz w:val="24"/>
          <w:szCs w:val="24"/>
          <w:lang w:val="en-GB"/>
        </w:rPr>
        <w:t xml:space="preserve">J Bone Joint </w:t>
      </w:r>
      <w:proofErr w:type="spellStart"/>
      <w:r w:rsidRPr="008D7632">
        <w:rPr>
          <w:rStyle w:val="ref-journal"/>
          <w:rFonts w:ascii="Times New Roman" w:hAnsi="Times New Roman" w:cs="Times New Roman"/>
          <w:color w:val="000000" w:themeColor="text1"/>
          <w:sz w:val="24"/>
          <w:szCs w:val="24"/>
          <w:lang w:val="en-GB"/>
        </w:rPr>
        <w:t>Surg</w:t>
      </w:r>
      <w:proofErr w:type="spellEnd"/>
      <w:r w:rsidRPr="008D7632">
        <w:rPr>
          <w:rStyle w:val="ref-journal"/>
          <w:rFonts w:ascii="Times New Roman" w:hAnsi="Times New Roman" w:cs="Times New Roman"/>
          <w:color w:val="000000" w:themeColor="text1"/>
          <w:sz w:val="24"/>
          <w:szCs w:val="24"/>
          <w:lang w:val="en-GB"/>
        </w:rPr>
        <w:t xml:space="preserve"> Br</w:t>
      </w:r>
      <w:r w:rsidRPr="008D7632">
        <w:rPr>
          <w:rStyle w:val="mixed-citation"/>
          <w:rFonts w:ascii="Times New Roman" w:hAnsi="Times New Roman" w:cs="Times New Roman"/>
          <w:color w:val="000000" w:themeColor="text1"/>
          <w:sz w:val="24"/>
          <w:szCs w:val="24"/>
          <w:lang w:val="en-GB"/>
        </w:rPr>
        <w:t xml:space="preserve"> 2012;</w:t>
      </w:r>
      <w:r w:rsidRPr="008D7632">
        <w:rPr>
          <w:rStyle w:val="ref-vol"/>
          <w:rFonts w:ascii="Times New Roman" w:hAnsi="Times New Roman" w:cs="Times New Roman"/>
          <w:color w:val="000000" w:themeColor="text1"/>
          <w:sz w:val="24"/>
          <w:szCs w:val="24"/>
          <w:lang w:val="en-GB"/>
        </w:rPr>
        <w:t>94</w:t>
      </w:r>
      <w:r w:rsidRPr="008D7632">
        <w:rPr>
          <w:rStyle w:val="mixed-citation"/>
          <w:rFonts w:ascii="Times New Roman" w:hAnsi="Times New Roman" w:cs="Times New Roman"/>
          <w:color w:val="000000" w:themeColor="text1"/>
          <w:sz w:val="24"/>
          <w:szCs w:val="24"/>
          <w:lang w:val="en-GB"/>
        </w:rPr>
        <w:t xml:space="preserve">:684–9. </w:t>
      </w:r>
    </w:p>
    <w:p w14:paraId="3DE048AA" w14:textId="77777777" w:rsidR="00A211C1" w:rsidRPr="008D7632" w:rsidRDefault="00A211C1" w:rsidP="00A211C1">
      <w:pPr>
        <w:rPr>
          <w:rStyle w:val="nowrap"/>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[10]</w:t>
      </w:r>
      <w:r w:rsidRPr="008D7632">
        <w:rPr>
          <w:rFonts w:ascii="Times New Roman" w:hAnsi="Times New Roman" w:cs="Times New Roman"/>
          <w:color w:val="000000" w:themeColor="text1"/>
          <w:sz w:val="24"/>
          <w:szCs w:val="24"/>
          <w:lang w:val="en-GB"/>
        </w:rPr>
        <w:tab/>
      </w:r>
      <w:r w:rsidRPr="008D7632">
        <w:rPr>
          <w:rStyle w:val="mixed-citation"/>
          <w:rFonts w:ascii="Times New Roman" w:hAnsi="Times New Roman" w:cs="Times New Roman"/>
          <w:color w:val="000000" w:themeColor="text1"/>
          <w:sz w:val="24"/>
          <w:szCs w:val="24"/>
          <w:lang w:val="en-GB"/>
        </w:rPr>
        <w:t xml:space="preserve">Nieto A., Correia R., de Nobrega E., et al.: </w:t>
      </w:r>
      <w:r w:rsidRPr="008D7632">
        <w:rPr>
          <w:rStyle w:val="ref-title"/>
          <w:rFonts w:ascii="Times New Roman" w:hAnsi="Times New Roman" w:cs="Times New Roman"/>
          <w:color w:val="000000" w:themeColor="text1"/>
          <w:sz w:val="24"/>
          <w:szCs w:val="24"/>
          <w:lang w:val="en-GB"/>
        </w:rPr>
        <w:t>Cognition in Friedreich ataxia</w:t>
      </w:r>
      <w:r w:rsidRPr="008D7632">
        <w:rPr>
          <w:rStyle w:val="mixed-citation"/>
          <w:rFonts w:ascii="Times New Roman" w:hAnsi="Times New Roman" w:cs="Times New Roman"/>
          <w:color w:val="000000" w:themeColor="text1"/>
          <w:sz w:val="24"/>
          <w:szCs w:val="24"/>
          <w:lang w:val="en-GB"/>
        </w:rPr>
        <w:t xml:space="preserve">. </w:t>
      </w:r>
      <w:r w:rsidRPr="008D7632">
        <w:rPr>
          <w:rStyle w:val="ref-journal"/>
          <w:rFonts w:ascii="Times New Roman" w:hAnsi="Times New Roman" w:cs="Times New Roman"/>
          <w:color w:val="000000" w:themeColor="text1"/>
          <w:sz w:val="24"/>
          <w:szCs w:val="24"/>
          <w:lang w:val="en-GB"/>
        </w:rPr>
        <w:t>Cerebellum</w:t>
      </w:r>
      <w:r w:rsidRPr="008D7632">
        <w:rPr>
          <w:rStyle w:val="mixed-citation"/>
          <w:rFonts w:ascii="Times New Roman" w:hAnsi="Times New Roman" w:cs="Times New Roman"/>
          <w:color w:val="000000" w:themeColor="text1"/>
          <w:sz w:val="24"/>
          <w:szCs w:val="24"/>
          <w:lang w:val="en-GB"/>
        </w:rPr>
        <w:t xml:space="preserve"> 2012; </w:t>
      </w:r>
      <w:r w:rsidRPr="008D7632">
        <w:rPr>
          <w:rStyle w:val="ref-vol"/>
          <w:rFonts w:ascii="Times New Roman" w:hAnsi="Times New Roman" w:cs="Times New Roman"/>
          <w:color w:val="000000" w:themeColor="text1"/>
          <w:sz w:val="24"/>
          <w:szCs w:val="24"/>
          <w:lang w:val="en-GB"/>
        </w:rPr>
        <w:t>11</w:t>
      </w:r>
      <w:r w:rsidRPr="008D7632">
        <w:rPr>
          <w:rStyle w:val="mixed-citation"/>
          <w:rFonts w:ascii="Times New Roman" w:hAnsi="Times New Roman" w:cs="Times New Roman"/>
          <w:color w:val="000000" w:themeColor="text1"/>
          <w:sz w:val="24"/>
          <w:szCs w:val="24"/>
          <w:lang w:val="en-GB"/>
        </w:rPr>
        <w:t xml:space="preserve">:834–44. </w:t>
      </w:r>
    </w:p>
    <w:p w14:paraId="605064F8" w14:textId="77777777" w:rsidR="00A211C1" w:rsidRPr="008D7632" w:rsidRDefault="00A211C1" w:rsidP="00A211C1">
      <w:pPr>
        <w:rPr>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[12]</w:t>
      </w:r>
      <w:r w:rsidRPr="008D7632">
        <w:rPr>
          <w:rFonts w:ascii="Times New Roman" w:hAnsi="Times New Roman" w:cs="Times New Roman"/>
          <w:color w:val="000000" w:themeColor="text1"/>
          <w:sz w:val="24"/>
          <w:szCs w:val="24"/>
          <w:lang w:val="en-GB"/>
        </w:rPr>
        <w:tab/>
      </w:r>
      <w:hyperlink r:id="rId4" w:history="1">
        <w:r w:rsidRPr="008D7632">
          <w:rPr>
            <w:rStyle w:val="Hipercze"/>
            <w:rFonts w:ascii="Times New Roman" w:hAnsi="Times New Roman" w:cs="Times New Roman"/>
            <w:color w:val="000000" w:themeColor="text1"/>
            <w:sz w:val="24"/>
            <w:szCs w:val="24"/>
            <w:lang w:val="en-GB"/>
          </w:rPr>
          <w:t>https://www.reatapharma.com/investors/news/news-details/2023/Reata-Pharmaceuticals-Announces-FDA-Approval-of-SKYCLARYS-Omaveloxolone-the-First-and-Only-Drug-Indicated-for-Patients-with-Friedreichs-Ataxia/</w:t>
        </w:r>
      </w:hyperlink>
      <w:r w:rsidRPr="008D7632">
        <w:rPr>
          <w:rFonts w:ascii="Times New Roman" w:hAnsi="Times New Roman" w:cs="Times New Roman"/>
          <w:color w:val="000000" w:themeColor="text1"/>
          <w:sz w:val="24"/>
          <w:szCs w:val="24"/>
          <w:lang w:val="en-GB"/>
        </w:rPr>
        <w:t xml:space="preserve">; data </w:t>
      </w:r>
      <w:proofErr w:type="spellStart"/>
      <w:r w:rsidRPr="008D7632">
        <w:rPr>
          <w:rFonts w:ascii="Times New Roman" w:hAnsi="Times New Roman" w:cs="Times New Roman"/>
          <w:color w:val="000000" w:themeColor="text1"/>
          <w:sz w:val="24"/>
          <w:szCs w:val="24"/>
          <w:lang w:val="en-GB"/>
        </w:rPr>
        <w:t>wejścia</w:t>
      </w:r>
      <w:proofErr w:type="spellEnd"/>
      <w:r w:rsidRPr="008D7632">
        <w:rPr>
          <w:rFonts w:ascii="Times New Roman" w:hAnsi="Times New Roman" w:cs="Times New Roman"/>
          <w:color w:val="000000" w:themeColor="text1"/>
          <w:sz w:val="24"/>
          <w:szCs w:val="24"/>
          <w:lang w:val="en-GB"/>
        </w:rPr>
        <w:t xml:space="preserve"> </w:t>
      </w:r>
      <w:proofErr w:type="spellStart"/>
      <w:r w:rsidRPr="008D7632">
        <w:rPr>
          <w:rFonts w:ascii="Times New Roman" w:hAnsi="Times New Roman" w:cs="Times New Roman"/>
          <w:color w:val="000000" w:themeColor="text1"/>
          <w:sz w:val="24"/>
          <w:szCs w:val="24"/>
          <w:lang w:val="en-GB"/>
        </w:rPr>
        <w:t>na</w:t>
      </w:r>
      <w:proofErr w:type="spellEnd"/>
      <w:r w:rsidRPr="008D7632">
        <w:rPr>
          <w:rFonts w:ascii="Times New Roman" w:hAnsi="Times New Roman" w:cs="Times New Roman"/>
          <w:color w:val="000000" w:themeColor="text1"/>
          <w:sz w:val="24"/>
          <w:szCs w:val="24"/>
          <w:lang w:val="en-GB"/>
        </w:rPr>
        <w:t xml:space="preserve"> </w:t>
      </w:r>
      <w:proofErr w:type="spellStart"/>
      <w:r w:rsidRPr="008D7632">
        <w:rPr>
          <w:rFonts w:ascii="Times New Roman" w:hAnsi="Times New Roman" w:cs="Times New Roman"/>
          <w:color w:val="000000" w:themeColor="text1"/>
          <w:sz w:val="24"/>
          <w:szCs w:val="24"/>
          <w:lang w:val="en-GB"/>
        </w:rPr>
        <w:t>stronę</w:t>
      </w:r>
      <w:proofErr w:type="spellEnd"/>
      <w:r w:rsidRPr="008D7632">
        <w:rPr>
          <w:rFonts w:ascii="Times New Roman" w:hAnsi="Times New Roman" w:cs="Times New Roman"/>
          <w:color w:val="000000" w:themeColor="text1"/>
          <w:sz w:val="24"/>
          <w:szCs w:val="24"/>
          <w:lang w:val="en-GB"/>
        </w:rPr>
        <w:t xml:space="preserve"> </w:t>
      </w:r>
      <w:proofErr w:type="spellStart"/>
      <w:r w:rsidRPr="008D7632">
        <w:rPr>
          <w:rFonts w:ascii="Times New Roman" w:hAnsi="Times New Roman" w:cs="Times New Roman"/>
          <w:color w:val="000000" w:themeColor="text1"/>
          <w:sz w:val="24"/>
          <w:szCs w:val="24"/>
          <w:lang w:val="en-GB"/>
        </w:rPr>
        <w:t>internetową</w:t>
      </w:r>
      <w:proofErr w:type="spellEnd"/>
      <w:r w:rsidRPr="008D7632">
        <w:rPr>
          <w:rFonts w:ascii="Times New Roman" w:hAnsi="Times New Roman" w:cs="Times New Roman"/>
          <w:color w:val="000000" w:themeColor="text1"/>
          <w:sz w:val="24"/>
          <w:szCs w:val="24"/>
          <w:lang w:val="en-GB"/>
        </w:rPr>
        <w:t>: 22.09.2023.</w:t>
      </w:r>
    </w:p>
    <w:p w14:paraId="073E5550" w14:textId="77777777" w:rsidR="00A211C1" w:rsidRPr="008D7632" w:rsidRDefault="00A211C1" w:rsidP="00A211C1">
      <w:pPr>
        <w:rPr>
          <w:rFonts w:ascii="Times New Roman" w:eastAsia="Times New Roman" w:hAnsi="Times New Roman" w:cs="Times New Roman"/>
          <w:color w:val="000000" w:themeColor="text1"/>
          <w:kern w:val="36"/>
          <w:sz w:val="24"/>
          <w:szCs w:val="24"/>
          <w:lang w:val="en-GB" w:eastAsia="pl-PL"/>
        </w:rPr>
      </w:pPr>
      <w:r w:rsidRPr="008D7632">
        <w:rPr>
          <w:rFonts w:ascii="Times New Roman" w:hAnsi="Times New Roman" w:cs="Times New Roman"/>
          <w:color w:val="000000" w:themeColor="text1"/>
          <w:sz w:val="24"/>
          <w:szCs w:val="24"/>
          <w:lang w:val="en-GB"/>
        </w:rPr>
        <w:t>[13]</w:t>
      </w:r>
      <w:r w:rsidRPr="008D7632">
        <w:rPr>
          <w:rFonts w:ascii="Times New Roman" w:hAnsi="Times New Roman" w:cs="Times New Roman"/>
          <w:color w:val="000000" w:themeColor="text1"/>
          <w:sz w:val="24"/>
          <w:szCs w:val="24"/>
          <w:lang w:val="en-GB"/>
        </w:rPr>
        <w:tab/>
      </w:r>
      <w:hyperlink r:id="rId5" w:history="1">
        <w:r w:rsidRPr="008D7632">
          <w:rPr>
            <w:rStyle w:val="cit"/>
            <w:rFonts w:ascii="Times New Roman" w:hAnsi="Times New Roman" w:cs="Times New Roman"/>
            <w:color w:val="000000" w:themeColor="text1"/>
            <w:sz w:val="24"/>
            <w:szCs w:val="24"/>
          </w:rPr>
          <w:t>Lynch</w:t>
        </w:r>
      </w:hyperlink>
      <w:r w:rsidRPr="008D7632">
        <w:rPr>
          <w:rStyle w:val="authors-list-item"/>
          <w:rFonts w:ascii="Times New Roman" w:hAnsi="Times New Roman" w:cs="Times New Roman"/>
          <w:color w:val="000000" w:themeColor="text1"/>
          <w:sz w:val="24"/>
          <w:szCs w:val="24"/>
        </w:rPr>
        <w:t xml:space="preserve"> D.R.</w:t>
      </w:r>
      <w:r w:rsidRPr="008D7632">
        <w:rPr>
          <w:rStyle w:val="comma"/>
          <w:rFonts w:ascii="Times New Roman" w:hAnsi="Times New Roman" w:cs="Times New Roman"/>
          <w:color w:val="000000" w:themeColor="text1"/>
          <w:sz w:val="24"/>
          <w:szCs w:val="24"/>
        </w:rPr>
        <w:t>, </w:t>
      </w:r>
      <w:hyperlink r:id="rId6" w:history="1">
        <w:r w:rsidRPr="008D7632">
          <w:rPr>
            <w:rStyle w:val="cit"/>
            <w:rFonts w:ascii="Times New Roman" w:hAnsi="Times New Roman" w:cs="Times New Roman"/>
            <w:color w:val="000000" w:themeColor="text1"/>
            <w:sz w:val="24"/>
            <w:szCs w:val="24"/>
          </w:rPr>
          <w:t>Chin</w:t>
        </w:r>
      </w:hyperlink>
      <w:r w:rsidRPr="008D7632">
        <w:rPr>
          <w:rStyle w:val="authors-list-item"/>
          <w:rFonts w:ascii="Times New Roman" w:hAnsi="Times New Roman" w:cs="Times New Roman"/>
          <w:color w:val="000000" w:themeColor="text1"/>
          <w:sz w:val="24"/>
          <w:szCs w:val="24"/>
        </w:rPr>
        <w:t xml:space="preserve"> M.P.</w:t>
      </w:r>
      <w:r w:rsidRPr="008D7632">
        <w:rPr>
          <w:rStyle w:val="comma"/>
          <w:rFonts w:ascii="Times New Roman" w:hAnsi="Times New Roman" w:cs="Times New Roman"/>
          <w:color w:val="000000" w:themeColor="text1"/>
          <w:sz w:val="24"/>
          <w:szCs w:val="24"/>
        </w:rPr>
        <w:t>, </w:t>
      </w:r>
      <w:proofErr w:type="spellStart"/>
      <w:r w:rsidRPr="008D7632">
        <w:rPr>
          <w:rStyle w:val="authors-list-item"/>
          <w:rFonts w:ascii="Times New Roman" w:hAnsi="Times New Roman" w:cs="Times New Roman"/>
          <w:color w:val="000000" w:themeColor="text1"/>
          <w:sz w:val="24"/>
          <w:szCs w:val="24"/>
        </w:rPr>
        <w:fldChar w:fldCharType="begin"/>
      </w:r>
      <w:r w:rsidRPr="008D7632">
        <w:rPr>
          <w:rStyle w:val="authors-list-item"/>
          <w:rFonts w:ascii="Times New Roman" w:hAnsi="Times New Roman" w:cs="Times New Roman"/>
          <w:color w:val="000000" w:themeColor="text1"/>
          <w:sz w:val="24"/>
          <w:szCs w:val="24"/>
        </w:rPr>
        <w:instrText xml:space="preserve"> HYPERLINK "https://pubmed.ncbi.nlm.nih.gov/?term=Delatycki+MB&amp;cauthor_id=33068037" </w:instrText>
      </w:r>
      <w:r w:rsidRPr="008D7632">
        <w:rPr>
          <w:rStyle w:val="authors-list-item"/>
          <w:rFonts w:ascii="Times New Roman" w:hAnsi="Times New Roman" w:cs="Times New Roman"/>
          <w:color w:val="000000" w:themeColor="text1"/>
          <w:sz w:val="24"/>
          <w:szCs w:val="24"/>
        </w:rPr>
        <w:fldChar w:fldCharType="separate"/>
      </w:r>
      <w:r w:rsidRPr="008D7632">
        <w:rPr>
          <w:rStyle w:val="cit"/>
          <w:rFonts w:ascii="Times New Roman" w:hAnsi="Times New Roman" w:cs="Times New Roman"/>
          <w:color w:val="000000" w:themeColor="text1"/>
          <w:sz w:val="24"/>
          <w:szCs w:val="24"/>
        </w:rPr>
        <w:t>Delatycki</w:t>
      </w:r>
      <w:proofErr w:type="spellEnd"/>
      <w:r w:rsidRPr="008D7632">
        <w:rPr>
          <w:rStyle w:val="authors-list-item"/>
          <w:rFonts w:ascii="Times New Roman" w:hAnsi="Times New Roman" w:cs="Times New Roman"/>
          <w:color w:val="000000" w:themeColor="text1"/>
          <w:sz w:val="24"/>
          <w:szCs w:val="24"/>
        </w:rPr>
        <w:fldChar w:fldCharType="end"/>
      </w:r>
      <w:r w:rsidRPr="008D7632">
        <w:rPr>
          <w:rStyle w:val="authors-list-item"/>
          <w:rFonts w:ascii="Times New Roman" w:hAnsi="Times New Roman" w:cs="Times New Roman"/>
          <w:color w:val="000000" w:themeColor="text1"/>
          <w:sz w:val="24"/>
          <w:szCs w:val="24"/>
        </w:rPr>
        <w:t xml:space="preserve"> M.B., et al.: </w:t>
      </w:r>
      <w:r w:rsidRPr="008D7632">
        <w:rPr>
          <w:rFonts w:ascii="Times New Roman" w:eastAsia="Times New Roman" w:hAnsi="Times New Roman" w:cs="Times New Roman"/>
          <w:color w:val="000000" w:themeColor="text1"/>
          <w:kern w:val="36"/>
          <w:sz w:val="24"/>
          <w:szCs w:val="24"/>
          <w:lang w:val="en-GB" w:eastAsia="pl-PL"/>
        </w:rPr>
        <w:t xml:space="preserve">Safety and Efficacy of </w:t>
      </w:r>
      <w:proofErr w:type="spellStart"/>
      <w:r w:rsidRPr="008D7632">
        <w:rPr>
          <w:rFonts w:ascii="Times New Roman" w:eastAsia="Times New Roman" w:hAnsi="Times New Roman" w:cs="Times New Roman"/>
          <w:color w:val="000000" w:themeColor="text1"/>
          <w:kern w:val="36"/>
          <w:sz w:val="24"/>
          <w:szCs w:val="24"/>
          <w:lang w:val="en-GB" w:eastAsia="pl-PL"/>
        </w:rPr>
        <w:t>Omaveloxolone</w:t>
      </w:r>
      <w:proofErr w:type="spellEnd"/>
      <w:r w:rsidRPr="008D7632">
        <w:rPr>
          <w:rFonts w:ascii="Times New Roman" w:eastAsia="Times New Roman" w:hAnsi="Times New Roman" w:cs="Times New Roman"/>
          <w:color w:val="000000" w:themeColor="text1"/>
          <w:kern w:val="36"/>
          <w:sz w:val="24"/>
          <w:szCs w:val="24"/>
          <w:lang w:val="en-GB" w:eastAsia="pl-PL"/>
        </w:rPr>
        <w:t xml:space="preserve"> in Friedreich Ataxia (</w:t>
      </w:r>
      <w:proofErr w:type="spellStart"/>
      <w:r w:rsidRPr="008D7632">
        <w:rPr>
          <w:rFonts w:ascii="Times New Roman" w:eastAsia="Times New Roman" w:hAnsi="Times New Roman" w:cs="Times New Roman"/>
          <w:color w:val="000000" w:themeColor="text1"/>
          <w:kern w:val="36"/>
          <w:sz w:val="24"/>
          <w:szCs w:val="24"/>
          <w:lang w:val="en-GB" w:eastAsia="pl-PL"/>
        </w:rPr>
        <w:t>MOXIe</w:t>
      </w:r>
      <w:proofErr w:type="spellEnd"/>
      <w:r w:rsidRPr="008D7632">
        <w:rPr>
          <w:rFonts w:ascii="Times New Roman" w:eastAsia="Times New Roman" w:hAnsi="Times New Roman" w:cs="Times New Roman"/>
          <w:color w:val="000000" w:themeColor="text1"/>
          <w:kern w:val="36"/>
          <w:sz w:val="24"/>
          <w:szCs w:val="24"/>
          <w:lang w:val="en-GB" w:eastAsia="pl-PL"/>
        </w:rPr>
        <w:t xml:space="preserve"> Study). </w:t>
      </w:r>
      <w:r w:rsidRPr="008D7632">
        <w:rPr>
          <w:rFonts w:ascii="Times New Roman" w:eastAsia="Times New Roman" w:hAnsi="Times New Roman" w:cs="Times New Roman"/>
          <w:color w:val="000000" w:themeColor="text1"/>
          <w:kern w:val="0"/>
          <w:sz w:val="24"/>
          <w:szCs w:val="24"/>
          <w:lang w:eastAsia="pl-PL"/>
          <w14:ligatures w14:val="none"/>
        </w:rPr>
        <w:t xml:space="preserve">Ann </w:t>
      </w:r>
      <w:proofErr w:type="spellStart"/>
      <w:r w:rsidRPr="008D7632">
        <w:rPr>
          <w:rFonts w:ascii="Times New Roman" w:eastAsia="Times New Roman" w:hAnsi="Times New Roman" w:cs="Times New Roman"/>
          <w:color w:val="000000" w:themeColor="text1"/>
          <w:kern w:val="0"/>
          <w:sz w:val="24"/>
          <w:szCs w:val="24"/>
          <w:lang w:eastAsia="pl-PL"/>
          <w14:ligatures w14:val="none"/>
        </w:rPr>
        <w:t>Neurol</w:t>
      </w:r>
      <w:proofErr w:type="spellEnd"/>
      <w:r w:rsidRPr="008D7632">
        <w:rPr>
          <w:rFonts w:ascii="Times New Roman" w:eastAsia="Times New Roman" w:hAnsi="Times New Roman" w:cs="Times New Roman"/>
          <w:color w:val="000000" w:themeColor="text1"/>
          <w:kern w:val="0"/>
          <w:sz w:val="24"/>
          <w:szCs w:val="24"/>
          <w:lang w:eastAsia="pl-PL"/>
          <w14:ligatures w14:val="none"/>
        </w:rPr>
        <w:t>. 2021; Feb;89(2):212-225.</w:t>
      </w:r>
    </w:p>
    <w:p w14:paraId="7D5BA205" w14:textId="77777777" w:rsidR="00A211C1" w:rsidRPr="008D7632" w:rsidRDefault="00A211C1" w:rsidP="00A211C1">
      <w:pPr>
        <w:rPr>
          <w:rFonts w:ascii="Times New Roman" w:hAnsi="Times New Roman" w:cs="Times New Roman"/>
          <w:bCs/>
          <w:color w:val="000000" w:themeColor="text1"/>
          <w:sz w:val="24"/>
          <w:szCs w:val="24"/>
          <w:lang w:val="en-GB"/>
        </w:rPr>
      </w:pPr>
      <w:r w:rsidRPr="008D7632">
        <w:rPr>
          <w:rFonts w:ascii="Times New Roman" w:hAnsi="Times New Roman" w:cs="Times New Roman"/>
          <w:bCs/>
          <w:color w:val="000000" w:themeColor="text1"/>
          <w:sz w:val="24"/>
          <w:szCs w:val="24"/>
          <w:lang w:val="en-GB"/>
        </w:rPr>
        <w:t>[14]</w:t>
      </w:r>
      <w:r w:rsidRPr="008D7632">
        <w:rPr>
          <w:rFonts w:ascii="Times New Roman" w:hAnsi="Times New Roman" w:cs="Times New Roman"/>
          <w:bCs/>
          <w:color w:val="000000" w:themeColor="text1"/>
          <w:sz w:val="24"/>
          <w:szCs w:val="24"/>
          <w:lang w:val="en-GB"/>
        </w:rPr>
        <w:tab/>
      </w:r>
      <w:hyperlink r:id="rId7" w:history="1">
        <w:r w:rsidRPr="008D7632">
          <w:rPr>
            <w:rStyle w:val="cit"/>
            <w:rFonts w:ascii="Times New Roman" w:hAnsi="Times New Roman" w:cs="Times New Roman"/>
            <w:color w:val="000000" w:themeColor="text1"/>
            <w:sz w:val="24"/>
            <w:szCs w:val="24"/>
          </w:rPr>
          <w:t>Lynch</w:t>
        </w:r>
      </w:hyperlink>
      <w:r w:rsidRPr="008D7632">
        <w:rPr>
          <w:rStyle w:val="authors-list-item"/>
          <w:rFonts w:ascii="Times New Roman" w:hAnsi="Times New Roman" w:cs="Times New Roman"/>
          <w:color w:val="000000" w:themeColor="text1"/>
          <w:sz w:val="24"/>
          <w:szCs w:val="24"/>
        </w:rPr>
        <w:t xml:space="preserve"> D.R.</w:t>
      </w:r>
      <w:r w:rsidRPr="008D7632">
        <w:rPr>
          <w:rStyle w:val="comma"/>
          <w:rFonts w:ascii="Times New Roman" w:hAnsi="Times New Roman" w:cs="Times New Roman"/>
          <w:color w:val="000000" w:themeColor="text1"/>
          <w:sz w:val="24"/>
          <w:szCs w:val="24"/>
        </w:rPr>
        <w:t>, </w:t>
      </w:r>
      <w:hyperlink r:id="rId8" w:history="1">
        <w:r w:rsidRPr="008D7632">
          <w:rPr>
            <w:rStyle w:val="cit"/>
            <w:rFonts w:ascii="Times New Roman" w:hAnsi="Times New Roman" w:cs="Times New Roman"/>
            <w:color w:val="000000" w:themeColor="text1"/>
            <w:sz w:val="24"/>
            <w:szCs w:val="24"/>
          </w:rPr>
          <w:t>Chin</w:t>
        </w:r>
      </w:hyperlink>
      <w:r w:rsidRPr="008D7632">
        <w:rPr>
          <w:rStyle w:val="authors-list-item"/>
          <w:rFonts w:ascii="Times New Roman" w:hAnsi="Times New Roman" w:cs="Times New Roman"/>
          <w:color w:val="000000" w:themeColor="text1"/>
          <w:sz w:val="24"/>
          <w:szCs w:val="24"/>
        </w:rPr>
        <w:t xml:space="preserve"> M.P.</w:t>
      </w:r>
      <w:r w:rsidRPr="008D7632">
        <w:rPr>
          <w:rStyle w:val="comma"/>
          <w:rFonts w:ascii="Times New Roman" w:hAnsi="Times New Roman" w:cs="Times New Roman"/>
          <w:color w:val="000000" w:themeColor="text1"/>
          <w:sz w:val="24"/>
          <w:szCs w:val="24"/>
        </w:rPr>
        <w:t xml:space="preserve">, </w:t>
      </w:r>
      <w:proofErr w:type="spellStart"/>
      <w:r w:rsidRPr="008D7632">
        <w:rPr>
          <w:rStyle w:val="comma"/>
          <w:rFonts w:ascii="Times New Roman" w:hAnsi="Times New Roman" w:cs="Times New Roman"/>
          <w:color w:val="000000" w:themeColor="text1"/>
          <w:sz w:val="24"/>
          <w:szCs w:val="24"/>
        </w:rPr>
        <w:t>Boesch</w:t>
      </w:r>
      <w:proofErr w:type="spellEnd"/>
      <w:r w:rsidRPr="008D7632">
        <w:rPr>
          <w:rStyle w:val="comma"/>
          <w:rFonts w:ascii="Times New Roman" w:hAnsi="Times New Roman" w:cs="Times New Roman"/>
          <w:color w:val="000000" w:themeColor="text1"/>
          <w:sz w:val="24"/>
          <w:szCs w:val="24"/>
        </w:rPr>
        <w:t xml:space="preserve"> S.</w:t>
      </w:r>
      <w:r w:rsidRPr="008D7632">
        <w:rPr>
          <w:rFonts w:ascii="Times New Roman" w:hAnsi="Times New Roman" w:cs="Times New Roman"/>
          <w:bCs/>
          <w:color w:val="000000" w:themeColor="text1"/>
          <w:sz w:val="24"/>
          <w:szCs w:val="24"/>
          <w:lang w:val="en-GB"/>
        </w:rPr>
        <w:t xml:space="preserve"> et al.:</w:t>
      </w:r>
      <w:r w:rsidRPr="008D7632">
        <w:rPr>
          <w:rStyle w:val="author-sup-separator"/>
          <w:rFonts w:ascii="Times New Roman" w:hAnsi="Times New Roman" w:cs="Times New Roman"/>
          <w:color w:val="000000" w:themeColor="text1"/>
          <w:sz w:val="24"/>
          <w:szCs w:val="24"/>
          <w:vertAlign w:val="superscript"/>
        </w:rPr>
        <w:t> </w:t>
      </w:r>
      <w:r w:rsidRPr="008D7632">
        <w:rPr>
          <w:rFonts w:ascii="Times New Roman" w:hAnsi="Times New Roman" w:cs="Times New Roman"/>
          <w:color w:val="000000" w:themeColor="text1"/>
          <w:sz w:val="24"/>
          <w:szCs w:val="24"/>
          <w:lang w:val="en-GB"/>
        </w:rPr>
        <w:t xml:space="preserve">Efficacy of </w:t>
      </w:r>
      <w:proofErr w:type="spellStart"/>
      <w:r w:rsidRPr="008D7632">
        <w:rPr>
          <w:rFonts w:ascii="Times New Roman" w:hAnsi="Times New Roman" w:cs="Times New Roman"/>
          <w:color w:val="000000" w:themeColor="text1"/>
          <w:sz w:val="24"/>
          <w:szCs w:val="24"/>
          <w:lang w:val="en-GB"/>
        </w:rPr>
        <w:t>Omaveloxolone</w:t>
      </w:r>
      <w:proofErr w:type="spellEnd"/>
      <w:r w:rsidRPr="008D7632">
        <w:rPr>
          <w:rFonts w:ascii="Times New Roman" w:hAnsi="Times New Roman" w:cs="Times New Roman"/>
          <w:color w:val="000000" w:themeColor="text1"/>
          <w:sz w:val="24"/>
          <w:szCs w:val="24"/>
          <w:lang w:val="en-GB"/>
        </w:rPr>
        <w:t xml:space="preserve"> in Friedreich's Ataxia: Delayed-Start Analysis of the </w:t>
      </w:r>
      <w:proofErr w:type="spellStart"/>
      <w:r w:rsidRPr="008D7632">
        <w:rPr>
          <w:rFonts w:ascii="Times New Roman" w:hAnsi="Times New Roman" w:cs="Times New Roman"/>
          <w:color w:val="000000" w:themeColor="text1"/>
          <w:sz w:val="24"/>
          <w:szCs w:val="24"/>
          <w:lang w:val="en-GB"/>
        </w:rPr>
        <w:t>MOXIe</w:t>
      </w:r>
      <w:proofErr w:type="spellEnd"/>
      <w:r w:rsidRPr="008D7632">
        <w:rPr>
          <w:rFonts w:ascii="Times New Roman" w:hAnsi="Times New Roman" w:cs="Times New Roman"/>
          <w:color w:val="000000" w:themeColor="text1"/>
          <w:sz w:val="24"/>
          <w:szCs w:val="24"/>
          <w:lang w:val="en-GB"/>
        </w:rPr>
        <w:t xml:space="preserve"> Extension. </w:t>
      </w:r>
      <w:proofErr w:type="spellStart"/>
      <w:r w:rsidRPr="008D7632">
        <w:rPr>
          <w:rFonts w:ascii="Times New Roman" w:hAnsi="Times New Roman" w:cs="Times New Roman"/>
          <w:color w:val="000000" w:themeColor="text1"/>
          <w:sz w:val="24"/>
          <w:szCs w:val="24"/>
        </w:rPr>
        <w:t>Mov</w:t>
      </w:r>
      <w:proofErr w:type="spellEnd"/>
      <w:r w:rsidRPr="008D7632">
        <w:rPr>
          <w:rFonts w:ascii="Times New Roman" w:hAnsi="Times New Roman" w:cs="Times New Roman"/>
          <w:color w:val="000000" w:themeColor="text1"/>
          <w:sz w:val="24"/>
          <w:szCs w:val="24"/>
        </w:rPr>
        <w:t xml:space="preserve"> </w:t>
      </w:r>
      <w:proofErr w:type="spellStart"/>
      <w:r w:rsidRPr="008D7632">
        <w:rPr>
          <w:rFonts w:ascii="Times New Roman" w:hAnsi="Times New Roman" w:cs="Times New Roman"/>
          <w:color w:val="000000" w:themeColor="text1"/>
          <w:sz w:val="24"/>
          <w:szCs w:val="24"/>
        </w:rPr>
        <w:t>Disord</w:t>
      </w:r>
      <w:proofErr w:type="spellEnd"/>
      <w:r w:rsidRPr="008D7632">
        <w:rPr>
          <w:rFonts w:ascii="Times New Roman" w:hAnsi="Times New Roman" w:cs="Times New Roman"/>
          <w:color w:val="000000" w:themeColor="text1"/>
          <w:sz w:val="24"/>
          <w:szCs w:val="24"/>
        </w:rPr>
        <w:t>.</w:t>
      </w:r>
      <w:r w:rsidRPr="008D7632">
        <w:rPr>
          <w:rStyle w:val="period"/>
          <w:rFonts w:ascii="Times New Roman" w:hAnsi="Times New Roman" w:cs="Times New Roman"/>
          <w:color w:val="000000" w:themeColor="text1"/>
          <w:sz w:val="24"/>
          <w:szCs w:val="24"/>
        </w:rPr>
        <w:t xml:space="preserve"> </w:t>
      </w:r>
      <w:r w:rsidRPr="008D7632">
        <w:rPr>
          <w:rStyle w:val="cit"/>
          <w:rFonts w:ascii="Times New Roman" w:hAnsi="Times New Roman" w:cs="Times New Roman"/>
          <w:color w:val="000000" w:themeColor="text1"/>
          <w:sz w:val="24"/>
          <w:szCs w:val="24"/>
        </w:rPr>
        <w:t>2023; Feb;38(2):313-320.</w:t>
      </w:r>
    </w:p>
    <w:p w14:paraId="3F63905A" w14:textId="77777777" w:rsidR="00A211C1" w:rsidRPr="008D7632" w:rsidRDefault="00A211C1" w:rsidP="00A211C1">
      <w:pPr>
        <w:rPr>
          <w:rFonts w:ascii="Times New Roman" w:hAnsi="Times New Roman" w:cs="Times New Roman"/>
          <w:color w:val="000000" w:themeColor="text1"/>
          <w:sz w:val="24"/>
          <w:szCs w:val="24"/>
          <w:lang w:val="en-GB"/>
        </w:rPr>
      </w:pPr>
      <w:r w:rsidRPr="008D7632">
        <w:rPr>
          <w:rFonts w:ascii="Times New Roman" w:hAnsi="Times New Roman" w:cs="Times New Roman"/>
          <w:color w:val="000000" w:themeColor="text1"/>
          <w:sz w:val="24"/>
          <w:szCs w:val="24"/>
          <w:lang w:val="en-GB"/>
        </w:rPr>
        <w:t>[15]</w:t>
      </w:r>
      <w:r w:rsidRPr="008D7632">
        <w:rPr>
          <w:rFonts w:ascii="Times New Roman" w:hAnsi="Times New Roman" w:cs="Times New Roman"/>
          <w:color w:val="000000" w:themeColor="text1"/>
          <w:sz w:val="24"/>
          <w:szCs w:val="24"/>
          <w:lang w:val="en-GB"/>
        </w:rPr>
        <w:tab/>
      </w:r>
      <w:proofErr w:type="spellStart"/>
      <w:r w:rsidRPr="008D7632">
        <w:rPr>
          <w:rFonts w:ascii="Times New Roman" w:hAnsi="Times New Roman" w:cs="Times New Roman"/>
          <w:color w:val="000000" w:themeColor="text1"/>
          <w:sz w:val="24"/>
          <w:szCs w:val="24"/>
        </w:rPr>
        <w:t>Naidu</w:t>
      </w:r>
      <w:proofErr w:type="spellEnd"/>
      <w:r w:rsidRPr="008D7632">
        <w:rPr>
          <w:rFonts w:ascii="Times New Roman" w:hAnsi="Times New Roman" w:cs="Times New Roman"/>
          <w:color w:val="000000" w:themeColor="text1"/>
          <w:sz w:val="24"/>
          <w:szCs w:val="24"/>
        </w:rPr>
        <w:t xml:space="preserve"> S. D., </w:t>
      </w:r>
      <w:proofErr w:type="spellStart"/>
      <w:r w:rsidRPr="008D7632">
        <w:rPr>
          <w:rFonts w:ascii="Times New Roman" w:hAnsi="Times New Roman" w:cs="Times New Roman"/>
          <w:color w:val="000000" w:themeColor="text1"/>
          <w:sz w:val="24"/>
          <w:szCs w:val="24"/>
        </w:rPr>
        <w:t>Dinkova-Kostova</w:t>
      </w:r>
      <w:proofErr w:type="spellEnd"/>
      <w:r w:rsidRPr="008D7632">
        <w:rPr>
          <w:rFonts w:ascii="Times New Roman" w:hAnsi="Times New Roman" w:cs="Times New Roman"/>
          <w:color w:val="000000" w:themeColor="text1"/>
          <w:sz w:val="24"/>
          <w:szCs w:val="24"/>
        </w:rPr>
        <w:t xml:space="preserve"> A. T.: </w:t>
      </w:r>
      <w:proofErr w:type="spellStart"/>
      <w:r w:rsidRPr="008D7632">
        <w:rPr>
          <w:rFonts w:ascii="Times New Roman" w:eastAsia="Times New Roman" w:hAnsi="Times New Roman" w:cs="Times New Roman"/>
          <w:color w:val="000000" w:themeColor="text1"/>
          <w:kern w:val="36"/>
          <w:sz w:val="24"/>
          <w:szCs w:val="24"/>
          <w:lang w:val="en-GB" w:eastAsia="pl-PL"/>
        </w:rPr>
        <w:t>Omaveloxolone</w:t>
      </w:r>
      <w:proofErr w:type="spellEnd"/>
      <w:r w:rsidRPr="008D7632">
        <w:rPr>
          <w:rFonts w:ascii="Times New Roman" w:eastAsia="Times New Roman" w:hAnsi="Times New Roman" w:cs="Times New Roman"/>
          <w:color w:val="000000" w:themeColor="text1"/>
          <w:kern w:val="36"/>
          <w:sz w:val="24"/>
          <w:szCs w:val="24"/>
          <w:lang w:val="en-GB" w:eastAsia="pl-PL"/>
        </w:rPr>
        <w:t xml:space="preserve"> (</w:t>
      </w:r>
      <w:proofErr w:type="spellStart"/>
      <w:r w:rsidRPr="008D7632">
        <w:rPr>
          <w:rFonts w:ascii="Times New Roman" w:eastAsia="Times New Roman" w:hAnsi="Times New Roman" w:cs="Times New Roman"/>
          <w:color w:val="000000" w:themeColor="text1"/>
          <w:kern w:val="36"/>
          <w:sz w:val="24"/>
          <w:szCs w:val="24"/>
          <w:lang w:val="en-GB" w:eastAsia="pl-PL"/>
        </w:rPr>
        <w:t>Skyclarys</w:t>
      </w:r>
      <w:r w:rsidRPr="008D7632">
        <w:rPr>
          <w:rFonts w:ascii="Times New Roman" w:eastAsia="Times New Roman" w:hAnsi="Times New Roman" w:cs="Times New Roman"/>
          <w:color w:val="000000" w:themeColor="text1"/>
          <w:kern w:val="36"/>
          <w:sz w:val="24"/>
          <w:szCs w:val="24"/>
          <w:vertAlign w:val="superscript"/>
          <w:lang w:val="en-GB" w:eastAsia="pl-PL"/>
        </w:rPr>
        <w:t>TM</w:t>
      </w:r>
      <w:proofErr w:type="spellEnd"/>
      <w:r w:rsidRPr="008D7632">
        <w:rPr>
          <w:rFonts w:ascii="Times New Roman" w:eastAsia="Times New Roman" w:hAnsi="Times New Roman" w:cs="Times New Roman"/>
          <w:color w:val="000000" w:themeColor="text1"/>
          <w:kern w:val="36"/>
          <w:sz w:val="24"/>
          <w:szCs w:val="24"/>
          <w:lang w:val="en-GB" w:eastAsia="pl-PL"/>
        </w:rPr>
        <w:t xml:space="preserve">) for patients with Friedreich’s ataxia. </w:t>
      </w:r>
      <w:proofErr w:type="spellStart"/>
      <w:r w:rsidRPr="008D7632">
        <w:rPr>
          <w:rStyle w:val="article-headerjournal"/>
          <w:rFonts w:ascii="Times New Roman" w:hAnsi="Times New Roman" w:cs="Times New Roman"/>
          <w:color w:val="000000" w:themeColor="text1"/>
          <w:sz w:val="24"/>
          <w:szCs w:val="24"/>
        </w:rPr>
        <w:t>Drug</w:t>
      </w:r>
      <w:proofErr w:type="spellEnd"/>
      <w:r w:rsidRPr="008D7632">
        <w:rPr>
          <w:rStyle w:val="article-headerjournal"/>
          <w:rFonts w:ascii="Times New Roman" w:hAnsi="Times New Roman" w:cs="Times New Roman"/>
          <w:color w:val="000000" w:themeColor="text1"/>
          <w:sz w:val="24"/>
          <w:szCs w:val="24"/>
        </w:rPr>
        <w:t xml:space="preserve"> of the </w:t>
      </w:r>
      <w:proofErr w:type="spellStart"/>
      <w:r w:rsidRPr="008D7632">
        <w:rPr>
          <w:rStyle w:val="article-headerjournal"/>
          <w:rFonts w:ascii="Times New Roman" w:hAnsi="Times New Roman" w:cs="Times New Roman"/>
          <w:color w:val="000000" w:themeColor="text1"/>
          <w:sz w:val="24"/>
          <w:szCs w:val="24"/>
        </w:rPr>
        <w:t>Month</w:t>
      </w:r>
      <w:proofErr w:type="spellEnd"/>
      <w:r w:rsidRPr="008D7632">
        <w:rPr>
          <w:rStyle w:val="article-headerjournal"/>
          <w:rFonts w:ascii="Times New Roman" w:hAnsi="Times New Roman" w:cs="Times New Roman"/>
          <w:color w:val="000000" w:themeColor="text1"/>
          <w:sz w:val="24"/>
          <w:szCs w:val="24"/>
        </w:rPr>
        <w:t xml:space="preserve"> 2023; </w:t>
      </w:r>
      <w:proofErr w:type="spellStart"/>
      <w:r w:rsidRPr="008D7632">
        <w:rPr>
          <w:rStyle w:val="article-headerjournal"/>
          <w:rFonts w:ascii="Times New Roman" w:hAnsi="Times New Roman" w:cs="Times New Roman"/>
          <w:color w:val="000000" w:themeColor="text1"/>
          <w:sz w:val="24"/>
          <w:szCs w:val="24"/>
        </w:rPr>
        <w:t>June</w:t>
      </w:r>
      <w:proofErr w:type="spellEnd"/>
      <w:r w:rsidRPr="008D7632">
        <w:rPr>
          <w:rStyle w:val="article-headerjournal"/>
          <w:rFonts w:ascii="Times New Roman" w:hAnsi="Times New Roman" w:cs="Times New Roman"/>
          <w:color w:val="000000" w:themeColor="text1"/>
          <w:sz w:val="24"/>
          <w:szCs w:val="24"/>
        </w:rPr>
        <w:t>:</w:t>
      </w:r>
      <w:r w:rsidRPr="008D7632">
        <w:rPr>
          <w:rFonts w:ascii="Times New Roman" w:hAnsi="Times New Roman" w:cs="Times New Roman"/>
          <w:color w:val="000000" w:themeColor="text1"/>
          <w:sz w:val="24"/>
          <w:szCs w:val="24"/>
        </w:rPr>
        <w:t xml:space="preserve"> Vol. 44, ISSUE 6, </w:t>
      </w:r>
      <w:r w:rsidRPr="008D7632">
        <w:rPr>
          <w:rStyle w:val="article-headerpages"/>
          <w:rFonts w:ascii="Times New Roman" w:hAnsi="Times New Roman" w:cs="Times New Roman"/>
          <w:color w:val="000000" w:themeColor="text1"/>
          <w:sz w:val="24"/>
          <w:szCs w:val="24"/>
        </w:rPr>
        <w:t>P394-395.</w:t>
      </w:r>
    </w:p>
    <w:p w14:paraId="69A5B452" w14:textId="77777777" w:rsidR="00A211C1" w:rsidRPr="008D7632" w:rsidRDefault="00A211C1" w:rsidP="00A211C1">
      <w:pPr>
        <w:rPr>
          <w:rFonts w:ascii="Times New Roman" w:eastAsia="Times New Roman" w:hAnsi="Times New Roman" w:cs="Times New Roman"/>
          <w:color w:val="000000" w:themeColor="text1"/>
          <w:kern w:val="36"/>
          <w:sz w:val="24"/>
          <w:szCs w:val="24"/>
          <w:lang w:val="en-GB" w:eastAsia="pl-PL"/>
        </w:rPr>
      </w:pPr>
      <w:r w:rsidRPr="008D7632">
        <w:rPr>
          <w:rFonts w:ascii="Times New Roman" w:eastAsia="Times New Roman" w:hAnsi="Times New Roman" w:cs="Times New Roman"/>
          <w:color w:val="000000" w:themeColor="text1"/>
          <w:kern w:val="36"/>
          <w:sz w:val="24"/>
          <w:szCs w:val="24"/>
          <w:lang w:val="en-GB" w:eastAsia="pl-PL"/>
        </w:rPr>
        <w:lastRenderedPageBreak/>
        <w:t>[16]</w:t>
      </w:r>
      <w:r w:rsidRPr="008D7632">
        <w:rPr>
          <w:rFonts w:ascii="Times New Roman" w:eastAsia="Times New Roman" w:hAnsi="Times New Roman" w:cs="Times New Roman"/>
          <w:color w:val="000000" w:themeColor="text1"/>
          <w:kern w:val="36"/>
          <w:sz w:val="24"/>
          <w:szCs w:val="24"/>
          <w:lang w:val="en-GB" w:eastAsia="pl-PL"/>
        </w:rPr>
        <w:tab/>
      </w:r>
      <w:proofErr w:type="spellStart"/>
      <w:r w:rsidRPr="008D7632">
        <w:rPr>
          <w:rStyle w:val="authors-list-item"/>
          <w:rFonts w:ascii="Times New Roman" w:hAnsi="Times New Roman" w:cs="Times New Roman"/>
          <w:color w:val="000000" w:themeColor="text1"/>
          <w:sz w:val="24"/>
          <w:szCs w:val="24"/>
        </w:rPr>
        <w:t>Strawser</w:t>
      </w:r>
      <w:proofErr w:type="spellEnd"/>
      <w:r w:rsidRPr="008D7632">
        <w:rPr>
          <w:rStyle w:val="authors-list-item"/>
          <w:rFonts w:ascii="Times New Roman" w:hAnsi="Times New Roman" w:cs="Times New Roman"/>
          <w:color w:val="000000" w:themeColor="text1"/>
          <w:sz w:val="24"/>
          <w:szCs w:val="24"/>
        </w:rPr>
        <w:t xml:space="preserve"> C.</w:t>
      </w:r>
      <w:r w:rsidRPr="008D7632">
        <w:rPr>
          <w:rStyle w:val="comma"/>
          <w:rFonts w:ascii="Times New Roman" w:hAnsi="Times New Roman" w:cs="Times New Roman"/>
          <w:color w:val="000000" w:themeColor="text1"/>
          <w:sz w:val="24"/>
          <w:szCs w:val="24"/>
        </w:rPr>
        <w:t>, </w:t>
      </w:r>
      <w:proofErr w:type="spellStart"/>
      <w:r w:rsidRPr="008D7632">
        <w:rPr>
          <w:rStyle w:val="authors-list-item"/>
          <w:rFonts w:ascii="Times New Roman" w:hAnsi="Times New Roman" w:cs="Times New Roman"/>
          <w:color w:val="000000" w:themeColor="text1"/>
          <w:sz w:val="24"/>
          <w:szCs w:val="24"/>
        </w:rPr>
        <w:t>Schadt</w:t>
      </w:r>
      <w:proofErr w:type="spellEnd"/>
      <w:r w:rsidRPr="008D7632">
        <w:rPr>
          <w:rStyle w:val="authors-list-item"/>
          <w:rFonts w:ascii="Times New Roman" w:hAnsi="Times New Roman" w:cs="Times New Roman"/>
          <w:color w:val="000000" w:themeColor="text1"/>
          <w:sz w:val="24"/>
          <w:szCs w:val="24"/>
        </w:rPr>
        <w:t xml:space="preserve"> K.</w:t>
      </w:r>
      <w:r w:rsidRPr="008D7632">
        <w:rPr>
          <w:rStyle w:val="comma"/>
          <w:rFonts w:ascii="Times New Roman" w:hAnsi="Times New Roman" w:cs="Times New Roman"/>
          <w:color w:val="000000" w:themeColor="text1"/>
          <w:sz w:val="24"/>
          <w:szCs w:val="24"/>
        </w:rPr>
        <w:t>, </w:t>
      </w:r>
      <w:r w:rsidRPr="008D7632">
        <w:rPr>
          <w:rStyle w:val="authors-list-item"/>
          <w:rFonts w:ascii="Times New Roman" w:hAnsi="Times New Roman" w:cs="Times New Roman"/>
          <w:color w:val="000000" w:themeColor="text1"/>
          <w:sz w:val="24"/>
          <w:szCs w:val="24"/>
        </w:rPr>
        <w:t>Hauser</w:t>
      </w:r>
      <w:r w:rsidRPr="008D7632">
        <w:rPr>
          <w:rFonts w:ascii="Times New Roman" w:eastAsia="Times New Roman" w:hAnsi="Times New Roman" w:cs="Times New Roman"/>
          <w:color w:val="000000" w:themeColor="text1"/>
          <w:kern w:val="36"/>
          <w:sz w:val="24"/>
          <w:szCs w:val="24"/>
          <w:lang w:val="en-GB" w:eastAsia="pl-PL"/>
        </w:rPr>
        <w:t xml:space="preserve"> L.: Pharmacological therapeutics in Friedreich ataxia: the present state. </w:t>
      </w:r>
      <w:proofErr w:type="spellStart"/>
      <w:r w:rsidRPr="008D7632">
        <w:rPr>
          <w:rFonts w:ascii="Times New Roman" w:eastAsia="Times New Roman" w:hAnsi="Times New Roman" w:cs="Times New Roman"/>
          <w:color w:val="000000" w:themeColor="text1"/>
          <w:kern w:val="0"/>
          <w:sz w:val="24"/>
          <w:szCs w:val="24"/>
          <w:lang w:eastAsia="pl-PL"/>
          <w14:ligatures w14:val="none"/>
        </w:rPr>
        <w:t>Expert</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w:t>
      </w:r>
      <w:proofErr w:type="spellStart"/>
      <w:r w:rsidRPr="008D7632">
        <w:rPr>
          <w:rFonts w:ascii="Times New Roman" w:eastAsia="Times New Roman" w:hAnsi="Times New Roman" w:cs="Times New Roman"/>
          <w:color w:val="000000" w:themeColor="text1"/>
          <w:kern w:val="0"/>
          <w:sz w:val="24"/>
          <w:szCs w:val="24"/>
          <w:lang w:eastAsia="pl-PL"/>
          <w14:ligatures w14:val="none"/>
        </w:rPr>
        <w:t>Rev</w:t>
      </w:r>
      <w:proofErr w:type="spellEnd"/>
      <w:r w:rsidRPr="008D7632">
        <w:rPr>
          <w:rFonts w:ascii="Times New Roman" w:eastAsia="Times New Roman" w:hAnsi="Times New Roman" w:cs="Times New Roman"/>
          <w:color w:val="000000" w:themeColor="text1"/>
          <w:kern w:val="0"/>
          <w:sz w:val="24"/>
          <w:szCs w:val="24"/>
          <w:lang w:eastAsia="pl-PL"/>
          <w14:ligatures w14:val="none"/>
        </w:rPr>
        <w:t xml:space="preserve"> </w:t>
      </w:r>
      <w:proofErr w:type="spellStart"/>
      <w:r w:rsidRPr="008D7632">
        <w:rPr>
          <w:rFonts w:ascii="Times New Roman" w:eastAsia="Times New Roman" w:hAnsi="Times New Roman" w:cs="Times New Roman"/>
          <w:color w:val="000000" w:themeColor="text1"/>
          <w:kern w:val="0"/>
          <w:sz w:val="24"/>
          <w:szCs w:val="24"/>
          <w:lang w:eastAsia="pl-PL"/>
          <w14:ligatures w14:val="none"/>
        </w:rPr>
        <w:t>Neurother</w:t>
      </w:r>
      <w:proofErr w:type="spellEnd"/>
      <w:r w:rsidRPr="008D7632">
        <w:rPr>
          <w:rFonts w:ascii="Times New Roman" w:eastAsia="Times New Roman" w:hAnsi="Times New Roman" w:cs="Times New Roman"/>
          <w:color w:val="000000" w:themeColor="text1"/>
          <w:kern w:val="0"/>
          <w:sz w:val="24"/>
          <w:szCs w:val="24"/>
          <w:lang w:eastAsia="pl-PL"/>
          <w14:ligatures w14:val="none"/>
        </w:rPr>
        <w:t>. 2017 Sep;17(9):895-907.</w:t>
      </w:r>
    </w:p>
    <w:p w14:paraId="15038FA6" w14:textId="77777777" w:rsidR="00A211C1" w:rsidRPr="008D7632" w:rsidRDefault="00A211C1" w:rsidP="00A211C1">
      <w:pPr>
        <w:pStyle w:val="c-article-referencestext"/>
        <w:rPr>
          <w:color w:val="000000" w:themeColor="text1"/>
          <w:lang w:val="en-GB"/>
        </w:rPr>
      </w:pPr>
      <w:r w:rsidRPr="008D7632">
        <w:rPr>
          <w:color w:val="000000" w:themeColor="text1"/>
          <w:lang w:val="en-GB"/>
        </w:rPr>
        <w:t>[17]</w:t>
      </w:r>
      <w:r w:rsidRPr="008D7632">
        <w:rPr>
          <w:color w:val="000000" w:themeColor="text1"/>
          <w:lang w:val="en-GB"/>
        </w:rPr>
        <w:tab/>
      </w:r>
      <w:proofErr w:type="spellStart"/>
      <w:r w:rsidRPr="008D7632">
        <w:rPr>
          <w:color w:val="000000" w:themeColor="text1"/>
          <w:lang w:val="en-GB"/>
        </w:rPr>
        <w:t>Abeti</w:t>
      </w:r>
      <w:proofErr w:type="spellEnd"/>
      <w:r w:rsidRPr="008D7632">
        <w:rPr>
          <w:color w:val="000000" w:themeColor="text1"/>
          <w:lang w:val="en-GB"/>
        </w:rPr>
        <w:t xml:space="preserve"> R., Baccaro A., Esteras N., et al.: Novel Nrf2-inducer prevents mitochondrial defects and oxidative stress in Friedreich’s ataxia models. Front Cell </w:t>
      </w:r>
      <w:proofErr w:type="spellStart"/>
      <w:r w:rsidRPr="008D7632">
        <w:rPr>
          <w:color w:val="000000" w:themeColor="text1"/>
          <w:lang w:val="en-GB"/>
        </w:rPr>
        <w:t>Neurosci</w:t>
      </w:r>
      <w:proofErr w:type="spellEnd"/>
      <w:r w:rsidRPr="008D7632">
        <w:rPr>
          <w:color w:val="000000" w:themeColor="text1"/>
          <w:lang w:val="en-GB"/>
        </w:rPr>
        <w:t>. 2018;12:188.</w:t>
      </w:r>
    </w:p>
    <w:p w14:paraId="44AA8F53" w14:textId="77777777" w:rsidR="00A211C1" w:rsidRPr="008D7632" w:rsidRDefault="00A211C1" w:rsidP="00A211C1">
      <w:pPr>
        <w:autoSpaceDE w:val="0"/>
        <w:autoSpaceDN w:val="0"/>
        <w:adjustRightInd w:val="0"/>
        <w:spacing w:after="0" w:line="240" w:lineRule="auto"/>
        <w:rPr>
          <w:rFonts w:ascii="Times New Roman" w:eastAsia="Times New Roman" w:hAnsi="Times New Roman" w:cs="Times New Roman"/>
          <w:b/>
          <w:bCs/>
          <w:color w:val="000000" w:themeColor="text1"/>
          <w:kern w:val="36"/>
          <w:sz w:val="24"/>
          <w:szCs w:val="24"/>
          <w:lang w:val="en-GB" w:eastAsia="pl-PL"/>
          <w14:ligatures w14:val="none"/>
        </w:rPr>
      </w:pPr>
    </w:p>
    <w:p w14:paraId="13D36705" w14:textId="77777777" w:rsidR="00F86AB4" w:rsidRDefault="00F86AB4" w:rsidP="00F86AB4">
      <w:pPr>
        <w:pStyle w:val="Standard"/>
        <w:spacing w:after="283"/>
      </w:pPr>
      <w:r>
        <w:t>Adres do korespondencji:</w:t>
      </w:r>
    </w:p>
    <w:p w14:paraId="3023D9A6" w14:textId="77777777" w:rsidR="00F86AB4" w:rsidRDefault="00F86AB4" w:rsidP="00F86AB4">
      <w:pPr>
        <w:pStyle w:val="Standard"/>
        <w:spacing w:after="283"/>
      </w:pPr>
      <w:r>
        <w:rPr>
          <w:rFonts w:ascii="serif" w:hAnsi="serif"/>
          <w:sz w:val="20"/>
          <w:szCs w:val="20"/>
        </w:rPr>
        <w:t>Katedra i Klinika Neurologii Wieku Rozwojowego Uniwersytet Medyczny im. Karola Marcinkowskiego w Poznaniu</w:t>
      </w:r>
    </w:p>
    <w:p w14:paraId="592EAD53" w14:textId="44E1A190" w:rsidR="00F86AB4" w:rsidRDefault="00F86AB4" w:rsidP="00F86AB4">
      <w:pPr>
        <w:pStyle w:val="Standard"/>
        <w:spacing w:after="283"/>
      </w:pPr>
      <w:r>
        <w:rPr>
          <w:rFonts w:ascii="serif" w:hAnsi="serif"/>
          <w:sz w:val="20"/>
          <w:szCs w:val="20"/>
        </w:rPr>
        <w:t>ul. Przybyszewskiego 49, 60-355 Poznań, e-mail: zuzanna.niwinska@usk.poznan.pl</w:t>
      </w:r>
    </w:p>
    <w:p w14:paraId="10EA87FE" w14:textId="75E123FE" w:rsidR="009D7EFB" w:rsidRPr="00F86AB4" w:rsidRDefault="009D7EFB" w:rsidP="00F86AB4">
      <w:pPr>
        <w:pStyle w:val="Standard"/>
        <w:spacing w:after="283"/>
      </w:pPr>
    </w:p>
    <w:sectPr w:rsidR="009D7EFB" w:rsidRPr="00F86AB4" w:rsidSect="00A54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Mono">
    <w:panose1 w:val="02070409020205020404"/>
    <w:charset w:val="EE"/>
    <w:family w:val="modern"/>
    <w:pitch w:val="fixed"/>
    <w:sig w:usb0="E0000AFF" w:usb1="400078FF" w:usb2="00000001" w:usb3="00000000" w:csb0="000001B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rif">
    <w:altName w:val="Cambria"/>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FB"/>
    <w:rsid w:val="000A030F"/>
    <w:rsid w:val="000C2624"/>
    <w:rsid w:val="0011195D"/>
    <w:rsid w:val="00157562"/>
    <w:rsid w:val="002A650F"/>
    <w:rsid w:val="00373B3C"/>
    <w:rsid w:val="003F658D"/>
    <w:rsid w:val="0049062D"/>
    <w:rsid w:val="005A13EA"/>
    <w:rsid w:val="005C2A96"/>
    <w:rsid w:val="008D7632"/>
    <w:rsid w:val="00967760"/>
    <w:rsid w:val="009D7EFB"/>
    <w:rsid w:val="009F6E29"/>
    <w:rsid w:val="00A211C1"/>
    <w:rsid w:val="00A549EE"/>
    <w:rsid w:val="00B23279"/>
    <w:rsid w:val="00B54C8E"/>
    <w:rsid w:val="00B62F19"/>
    <w:rsid w:val="00BA2FAE"/>
    <w:rsid w:val="00C35150"/>
    <w:rsid w:val="00D82336"/>
    <w:rsid w:val="00D90BC0"/>
    <w:rsid w:val="00DE2A02"/>
    <w:rsid w:val="00E36E05"/>
    <w:rsid w:val="00E755E1"/>
    <w:rsid w:val="00F771FC"/>
    <w:rsid w:val="00F86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AD71B"/>
  <w15:chartTrackingRefBased/>
  <w15:docId w15:val="{40B67356-F1AC-4AAC-9D79-56CCB467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11C1"/>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D7EFB"/>
    <w:rPr>
      <w:color w:val="0000FF"/>
      <w:u w:val="single"/>
    </w:rPr>
  </w:style>
  <w:style w:type="paragraph" w:customStyle="1" w:styleId="c-article-referencestext">
    <w:name w:val="c-article-references__text"/>
    <w:basedOn w:val="Normalny"/>
    <w:rsid w:val="009D7EF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mixed-citation">
    <w:name w:val="mixed-citation"/>
    <w:basedOn w:val="Domylnaczcionkaakapitu"/>
    <w:rsid w:val="009D7EFB"/>
  </w:style>
  <w:style w:type="character" w:customStyle="1" w:styleId="ref-title">
    <w:name w:val="ref-title"/>
    <w:basedOn w:val="Domylnaczcionkaakapitu"/>
    <w:rsid w:val="009D7EFB"/>
  </w:style>
  <w:style w:type="character" w:customStyle="1" w:styleId="ref-journal">
    <w:name w:val="ref-journal"/>
    <w:basedOn w:val="Domylnaczcionkaakapitu"/>
    <w:rsid w:val="009D7EFB"/>
  </w:style>
  <w:style w:type="character" w:customStyle="1" w:styleId="ref-vol">
    <w:name w:val="ref-vol"/>
    <w:basedOn w:val="Domylnaczcionkaakapitu"/>
    <w:rsid w:val="009D7EFB"/>
  </w:style>
  <w:style w:type="character" w:customStyle="1" w:styleId="nowrap">
    <w:name w:val="nowrap"/>
    <w:basedOn w:val="Domylnaczcionkaakapitu"/>
    <w:rsid w:val="009D7EFB"/>
  </w:style>
  <w:style w:type="character" w:customStyle="1" w:styleId="y2iqfc">
    <w:name w:val="y2iqfc"/>
    <w:basedOn w:val="Domylnaczcionkaakapitu"/>
    <w:rsid w:val="009D7EFB"/>
  </w:style>
  <w:style w:type="paragraph" w:styleId="HTML-wstpniesformatowany">
    <w:name w:val="HTML Preformatted"/>
    <w:basedOn w:val="Normalny"/>
    <w:link w:val="HTML-wstpniesformatowanyZnak"/>
    <w:uiPriority w:val="99"/>
    <w:unhideWhenUsed/>
    <w:rsid w:val="009D7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l-PL"/>
      <w14:ligatures w14:val="none"/>
    </w:rPr>
  </w:style>
  <w:style w:type="character" w:customStyle="1" w:styleId="HTML-wstpniesformatowanyZnak">
    <w:name w:val="HTML - wstępnie sformatowany Znak"/>
    <w:basedOn w:val="Domylnaczcionkaakapitu"/>
    <w:link w:val="HTML-wstpniesformatowany"/>
    <w:uiPriority w:val="99"/>
    <w:rsid w:val="009D7EFB"/>
    <w:rPr>
      <w:rFonts w:ascii="Courier New" w:eastAsia="Times New Roman" w:hAnsi="Courier New" w:cs="Courier New"/>
      <w:sz w:val="20"/>
      <w:szCs w:val="20"/>
      <w:lang w:eastAsia="pl-PL"/>
    </w:rPr>
  </w:style>
  <w:style w:type="character" w:styleId="Uwydatnienie">
    <w:name w:val="Emphasis"/>
    <w:basedOn w:val="Domylnaczcionkaakapitu"/>
    <w:uiPriority w:val="20"/>
    <w:qFormat/>
    <w:rsid w:val="009D7EFB"/>
    <w:rPr>
      <w:i/>
      <w:iCs/>
    </w:rPr>
  </w:style>
  <w:style w:type="paragraph" w:customStyle="1" w:styleId="PreformattedText">
    <w:name w:val="Preformatted Text"/>
    <w:basedOn w:val="Normalny"/>
    <w:rsid w:val="009D7EFB"/>
    <w:pPr>
      <w:suppressAutoHyphens/>
      <w:autoSpaceDN w:val="0"/>
      <w:spacing w:after="0" w:line="240" w:lineRule="auto"/>
      <w:textAlignment w:val="baseline"/>
    </w:pPr>
    <w:rPr>
      <w:rFonts w:ascii="Liberation Mono" w:eastAsia="Liberation Mono" w:hAnsi="Liberation Mono" w:cs="Liberation Mono"/>
      <w:kern w:val="3"/>
      <w:sz w:val="20"/>
      <w:szCs w:val="20"/>
      <w:lang w:eastAsia="zh-CN" w:bidi="hi-IN"/>
      <w14:ligatures w14:val="none"/>
    </w:rPr>
  </w:style>
  <w:style w:type="character" w:customStyle="1" w:styleId="authors-list-item">
    <w:name w:val="authors-list-item"/>
    <w:basedOn w:val="Domylnaczcionkaakapitu"/>
    <w:rsid w:val="009D7EFB"/>
  </w:style>
  <w:style w:type="character" w:customStyle="1" w:styleId="author-sup-separator">
    <w:name w:val="author-sup-separator"/>
    <w:basedOn w:val="Domylnaczcionkaakapitu"/>
    <w:rsid w:val="009D7EFB"/>
  </w:style>
  <w:style w:type="character" w:customStyle="1" w:styleId="comma">
    <w:name w:val="comma"/>
    <w:basedOn w:val="Domylnaczcionkaakapitu"/>
    <w:rsid w:val="009D7EFB"/>
  </w:style>
  <w:style w:type="character" w:customStyle="1" w:styleId="period">
    <w:name w:val="period"/>
    <w:basedOn w:val="Domylnaczcionkaakapitu"/>
    <w:rsid w:val="009D7EFB"/>
  </w:style>
  <w:style w:type="character" w:customStyle="1" w:styleId="cit">
    <w:name w:val="cit"/>
    <w:basedOn w:val="Domylnaczcionkaakapitu"/>
    <w:rsid w:val="009D7EFB"/>
  </w:style>
  <w:style w:type="paragraph" w:customStyle="1" w:styleId="Standard">
    <w:name w:val="Standard"/>
    <w:rsid w:val="009D7EF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article-headerjournal">
    <w:name w:val="article-header__journal"/>
    <w:basedOn w:val="Domylnaczcionkaakapitu"/>
    <w:rsid w:val="009D7EFB"/>
  </w:style>
  <w:style w:type="character" w:customStyle="1" w:styleId="article-headerpages">
    <w:name w:val="article-header__pages"/>
    <w:basedOn w:val="Domylnaczcionkaakapitu"/>
    <w:rsid w:val="009D7EFB"/>
  </w:style>
  <w:style w:type="character" w:styleId="UyteHipercze">
    <w:name w:val="FollowedHyperlink"/>
    <w:basedOn w:val="Domylnaczcionkaakapitu"/>
    <w:uiPriority w:val="99"/>
    <w:semiHidden/>
    <w:unhideWhenUsed/>
    <w:rsid w:val="009D7EFB"/>
    <w:rPr>
      <w:color w:val="954F72" w:themeColor="followedHyperlink"/>
      <w:u w:val="single"/>
    </w:rPr>
  </w:style>
  <w:style w:type="character" w:styleId="Pogrubienie">
    <w:name w:val="Strong"/>
    <w:basedOn w:val="Domylnaczcionkaakapitu"/>
    <w:uiPriority w:val="22"/>
    <w:qFormat/>
    <w:rsid w:val="00B54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9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Chin+MP&amp;cauthor_id=33068037" TargetMode="External"/><Relationship Id="rId3" Type="http://schemas.openxmlformats.org/officeDocument/2006/relationships/webSettings" Target="webSettings.xml"/><Relationship Id="rId7" Type="http://schemas.openxmlformats.org/officeDocument/2006/relationships/hyperlink" Target="https://pubmed.ncbi.nlm.nih.gov/?term=Lynch+DR&amp;cauthor_id=330680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Chin+MP&amp;cauthor_id=33068037" TargetMode="External"/><Relationship Id="rId5" Type="http://schemas.openxmlformats.org/officeDocument/2006/relationships/hyperlink" Target="https://pubmed.ncbi.nlm.nih.gov/?term=Lynch+DR&amp;cauthor_id=33068037" TargetMode="External"/><Relationship Id="rId10" Type="http://schemas.openxmlformats.org/officeDocument/2006/relationships/theme" Target="theme/theme1.xml"/><Relationship Id="rId4" Type="http://schemas.openxmlformats.org/officeDocument/2006/relationships/hyperlink" Target="https://www.reatapharma.com/investors/news/news-details/2023/Reata-Pharmaceuticals-Announces-FDA-Approval-of-SKYCLARYS-Omaveloxolone-the-First-and-Only-Drug-Indicated-for-Patients-with-Friedreichs-Ataxia/"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8</Pages>
  <Words>3435</Words>
  <Characters>20614</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Dyżurka Lekarska</dc:creator>
  <cp:keywords/>
  <dc:description/>
  <cp:lastModifiedBy>Dyżurka Lekarska</cp:lastModifiedBy>
  <cp:revision>16</cp:revision>
  <dcterms:created xsi:type="dcterms:W3CDTF">2023-09-28T10:14:00Z</dcterms:created>
  <dcterms:modified xsi:type="dcterms:W3CDTF">2024-02-15T07:42:00Z</dcterms:modified>
</cp:coreProperties>
</file>