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Table S1. Clinical characteristics of the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patients </w:t>
      </w:r>
      <w:r>
        <w:rPr>
          <w:rFonts w:ascii="Times New Roman" w:hAnsi="Times New Roman"/>
          <w:sz w:val="24"/>
          <w:szCs w:val="24"/>
          <w:rtl w:val="0"/>
          <w:lang w:val="en-US"/>
        </w:rPr>
        <w:t>at the time of inclusion in the study.</w:t>
      </w:r>
    </w:p>
    <w:tbl>
      <w:tblPr>
        <w:tblW w:w="906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045"/>
        <w:gridCol w:w="5023"/>
      </w:tblGrid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be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Clinical risk factor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e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N = 71 (%)</w:t>
            </w:r>
          </w:p>
        </w:tc>
      </w:tr>
      <w:tr>
        <w:tblPrEx>
          <w:shd w:val="clear" w:color="auto" w:fill="cadfff"/>
        </w:tblPrEx>
        <w:trPr>
          <w:trHeight w:val="915" w:hRule="atLeast"/>
        </w:trPr>
        <w:tc>
          <w:tcPr>
            <w:tcW w:type="dxa" w:w="404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Age, years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73.1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10.5</w:t>
            </w:r>
          </w:p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76 (45-88)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nl-NL"/>
              </w:rPr>
              <w:t>Male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39 (54.9)</w:t>
            </w:r>
          </w:p>
        </w:tc>
      </w:tr>
      <w:tr>
        <w:tblPrEx>
          <w:shd w:val="clear" w:color="auto" w:fill="cadfff"/>
        </w:tblPrEx>
        <w:trPr>
          <w:trHeight w:val="91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BMI, kg/m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2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28.8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5.2</w:t>
            </w:r>
          </w:p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28.3 (20.2-45.9)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Ischaemic heart disease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38 (53.5)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CCS I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11 (15.5)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CCS II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24 (33.8)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CCS III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 (4.2)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CCS IV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 (0)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Previous myocardial infarction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27 (38)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Previous pulmonary embolism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 (2.8)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Previous deep vein thrombosis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9 (12.7)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Chronic heart failure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39 (54.9)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NYHA I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 (7)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NYHA II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18 (25.4)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NYHA III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15 (21.1)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NYHA IV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 (1.4)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Aortic stenosis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 (5.6)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AF/AFL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35 (49.3)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Stroke or TIA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11 (15.5)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COPD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12 (16.9)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Hypertension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66 (93)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Diabetes or prediabetes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30 (42.3)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Cancer at present or in the past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 (26.8)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Chronic kidney disease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21 (29.6)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Current smoking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14 (19.7)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4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Echocardiography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915" w:hRule="atLeast"/>
        </w:trPr>
        <w:tc>
          <w:tcPr>
            <w:tcW w:type="dxa" w:w="404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LVEF, %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47.7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15.3</w:t>
            </w:r>
          </w:p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55 (16-68)</w:t>
            </w:r>
          </w:p>
        </w:tc>
      </w:tr>
      <w:tr>
        <w:tblPrEx>
          <w:shd w:val="clear" w:color="auto" w:fill="cadfff"/>
        </w:tblPrEx>
        <w:trPr>
          <w:trHeight w:val="91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LVDD, cm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5.5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0.9</w:t>
            </w:r>
          </w:p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5.1 (3.4-7.6)</w:t>
            </w:r>
          </w:p>
        </w:tc>
      </w:tr>
      <w:tr>
        <w:tblPrEx>
          <w:shd w:val="clear" w:color="auto" w:fill="cadfff"/>
        </w:tblPrEx>
        <w:trPr>
          <w:trHeight w:val="91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LA, cm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4.6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0.6</w:t>
            </w:r>
          </w:p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4.5 (3.5-6.7)</w:t>
            </w:r>
          </w:p>
        </w:tc>
      </w:tr>
      <w:tr>
        <w:tblPrEx>
          <w:shd w:val="clear" w:color="auto" w:fill="cadfff"/>
        </w:tblPrEx>
        <w:trPr>
          <w:trHeight w:val="915" w:hRule="atLeast"/>
        </w:trPr>
        <w:tc>
          <w:tcPr>
            <w:tcW w:type="dxa" w:w="4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</w:tabs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IVS, cm</w:t>
            </w:r>
          </w:p>
        </w:tc>
        <w:tc>
          <w:tcPr>
            <w:tcW w:type="dxa" w:w="50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48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1.1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0.2</w:t>
            </w:r>
          </w:p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1.1 (0.7-1.8)</w:t>
            </w:r>
          </w:p>
        </w:tc>
      </w:tr>
    </w:tbl>
    <w:p>
      <w:pPr>
        <w:pStyle w:val="Treść A"/>
        <w:widowControl w:val="0"/>
        <w:ind w:left="432" w:hanging="43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widowControl w:val="0"/>
        <w:ind w:left="324" w:hanging="32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Continuous and ordinal variables are shown as a median (interquartile range) and as a mean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±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standard deviation. 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AF, atrial fibrillation; AFL, atrial flutter; BMI, body mass index; CCS, Canadian Cardiovascular Society; COPD, chronic obstructive pulmonary disease; IVS, inter-ventricular septum; LA, left ventricle, LVDD, left ventricular end diastolic diameter; LVEF, left ventricular ejection fraction; NYHA, New York Heart Association Functional Classification; TIA, transient ischemic attack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