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9D" w:rsidRPr="00AD01DB" w:rsidRDefault="00EC739D" w:rsidP="005042A5">
      <w:pPr>
        <w:spacing w:line="480" w:lineRule="auto"/>
        <w:rPr>
          <w:rFonts w:ascii="Times New Roman" w:hAnsi="Times New Roman" w:cs="Times New Roman"/>
          <w:b/>
        </w:rPr>
      </w:pPr>
      <w:r w:rsidRPr="00AD01DB">
        <w:rPr>
          <w:rFonts w:ascii="Times New Roman" w:hAnsi="Times New Roman" w:cs="Times New Roman"/>
          <w:b/>
        </w:rPr>
        <w:t>SUPPLEMENTAL METHODS</w:t>
      </w:r>
    </w:p>
    <w:p w:rsidR="00AC5F89" w:rsidRDefault="00AC5F89" w:rsidP="005042A5">
      <w:pPr>
        <w:spacing w:line="480" w:lineRule="auto"/>
        <w:rPr>
          <w:rFonts w:ascii="Times New Roman" w:eastAsia="MS Mincho" w:hAnsi="Times New Roman" w:cs="Times New Roman"/>
          <w:b/>
        </w:rPr>
      </w:pPr>
    </w:p>
    <w:p w:rsidR="00EC739D" w:rsidRPr="00AD01DB" w:rsidRDefault="00EC739D" w:rsidP="005042A5">
      <w:pPr>
        <w:spacing w:line="480" w:lineRule="auto"/>
        <w:rPr>
          <w:rFonts w:ascii="Times New Roman" w:eastAsia="MS Mincho" w:hAnsi="Times New Roman" w:cs="Times New Roman"/>
          <w:b/>
        </w:rPr>
      </w:pPr>
      <w:r w:rsidRPr="00AD01DB">
        <w:rPr>
          <w:rFonts w:ascii="Times New Roman" w:eastAsia="MS Mincho" w:hAnsi="Times New Roman" w:cs="Times New Roman"/>
          <w:b/>
        </w:rPr>
        <w:t xml:space="preserve">Biochemical </w:t>
      </w:r>
      <w:r w:rsidR="00AC5F89">
        <w:rPr>
          <w:rFonts w:ascii="Times New Roman" w:eastAsia="MS Mincho" w:hAnsi="Times New Roman" w:cs="Times New Roman"/>
          <w:b/>
        </w:rPr>
        <w:t>d</w:t>
      </w:r>
      <w:r w:rsidRPr="00AD01DB">
        <w:rPr>
          <w:rFonts w:ascii="Times New Roman" w:eastAsia="MS Mincho" w:hAnsi="Times New Roman" w:cs="Times New Roman"/>
          <w:b/>
        </w:rPr>
        <w:t>ata</w:t>
      </w:r>
    </w:p>
    <w:p w:rsidR="00EC739D" w:rsidRPr="00AD01DB" w:rsidRDefault="00EC739D" w:rsidP="00AC5F89">
      <w:pPr>
        <w:spacing w:line="480" w:lineRule="auto"/>
        <w:ind w:firstLine="720"/>
        <w:rPr>
          <w:rFonts w:ascii="Times New Roman" w:eastAsia="MS Mincho" w:hAnsi="Times New Roman" w:cs="Times New Roman"/>
        </w:rPr>
      </w:pPr>
      <w:r w:rsidRPr="00AD01DB">
        <w:rPr>
          <w:rFonts w:ascii="Times New Roman" w:eastAsia="MS Mincho" w:hAnsi="Times New Roman" w:cs="Times New Roman"/>
        </w:rPr>
        <w:t xml:space="preserve">Serum cardiac troponin I concentrations were assessed by two independent CLIA-approved laboratories at the University of Louisville and </w:t>
      </w:r>
      <w:proofErr w:type="spellStart"/>
      <w:r w:rsidRPr="00AD01DB">
        <w:rPr>
          <w:rFonts w:ascii="Times New Roman" w:eastAsia="MS Mincho" w:hAnsi="Times New Roman" w:cs="Times New Roman"/>
        </w:rPr>
        <w:t>KentuckyOne</w:t>
      </w:r>
      <w:proofErr w:type="spellEnd"/>
      <w:r w:rsidRPr="00AD01DB">
        <w:rPr>
          <w:rFonts w:ascii="Times New Roman" w:eastAsia="MS Mincho" w:hAnsi="Times New Roman" w:cs="Times New Roman"/>
        </w:rPr>
        <w:t xml:space="preserve"> Health Jewish Hospitals. The Ortho </w:t>
      </w:r>
      <w:proofErr w:type="spellStart"/>
      <w:r w:rsidRPr="00AD01DB">
        <w:rPr>
          <w:rFonts w:ascii="Times New Roman" w:eastAsia="MS Mincho" w:hAnsi="Times New Roman" w:cs="Times New Roman"/>
        </w:rPr>
        <w:t>Vitros</w:t>
      </w:r>
      <w:proofErr w:type="spellEnd"/>
      <w:r w:rsidRPr="00AD01DB">
        <w:rPr>
          <w:rFonts w:ascii="Times New Roman" w:eastAsia="MS Mincho" w:hAnsi="Times New Roman" w:cs="Times New Roman"/>
        </w:rPr>
        <w:t xml:space="preserve"> 5600 assay was used to assess cardiac troponin I in subjects enrolled at the University of Louisville Hospital. For this assay, </w:t>
      </w:r>
      <w:r w:rsidR="003B02F8">
        <w:rPr>
          <w:rFonts w:ascii="Times New Roman" w:eastAsia="MS Mincho" w:hAnsi="Times New Roman" w:cs="Times New Roman"/>
        </w:rPr>
        <w:t>a</w:t>
      </w:r>
      <w:r w:rsidRPr="00AD01DB">
        <w:rPr>
          <w:rFonts w:ascii="Times New Roman" w:eastAsia="MS Mincho" w:hAnsi="Times New Roman" w:cs="Times New Roman"/>
        </w:rPr>
        <w:t xml:space="preserve"> 99% cutoff level for a healthy population was 0.035 ng/mL and had a coefficient of variance below 10% at this level. Troponin levels &lt;</w:t>
      </w:r>
      <w:r w:rsidR="00AC5F89">
        <w:rPr>
          <w:rFonts w:ascii="Times New Roman" w:eastAsia="MS Mincho" w:hAnsi="Times New Roman" w:cs="Times New Roman"/>
        </w:rPr>
        <w:t xml:space="preserve"> </w:t>
      </w:r>
      <w:r w:rsidRPr="00AD01DB">
        <w:rPr>
          <w:rFonts w:ascii="Times New Roman" w:eastAsia="MS Mincho" w:hAnsi="Times New Roman" w:cs="Times New Roman"/>
        </w:rPr>
        <w:t>0.035 ng/mL were considered non-elevated. This assay’s FDA-approved package insert further defined 0.12 ng/mL as the most efficient (more specific) cutoff point for the diagnosis of acute MI with this assay. Troponin levels &gt;0.12 ng/mL were considered elevated, and levels from 0.035–0.12 ng/mL were considered non-diagnostic for the purposes of the present study.</w:t>
      </w:r>
    </w:p>
    <w:p w:rsidR="00EC739D" w:rsidRPr="00AD01DB" w:rsidRDefault="00EC739D" w:rsidP="00CD5F8B">
      <w:pPr>
        <w:spacing w:line="480" w:lineRule="auto"/>
        <w:ind w:firstLine="720"/>
        <w:rPr>
          <w:rFonts w:ascii="Times New Roman" w:eastAsia="MS Mincho" w:hAnsi="Times New Roman" w:cs="Times New Roman"/>
        </w:rPr>
      </w:pPr>
      <w:r w:rsidRPr="00AD01DB">
        <w:rPr>
          <w:rFonts w:ascii="Times New Roman" w:eastAsia="MS Mincho" w:hAnsi="Times New Roman" w:cs="Times New Roman"/>
        </w:rPr>
        <w:t xml:space="preserve">The Beckman Access assay was used to assess cardiac troponin I in subjects enrolled at </w:t>
      </w:r>
      <w:proofErr w:type="spellStart"/>
      <w:r w:rsidRPr="00AD01DB">
        <w:rPr>
          <w:rFonts w:ascii="Times New Roman" w:eastAsia="MS Mincho" w:hAnsi="Times New Roman" w:cs="Times New Roman"/>
        </w:rPr>
        <w:t>KentuckyOne</w:t>
      </w:r>
      <w:proofErr w:type="spellEnd"/>
      <w:r w:rsidRPr="00AD01DB">
        <w:rPr>
          <w:rFonts w:ascii="Times New Roman" w:eastAsia="MS Mincho" w:hAnsi="Times New Roman" w:cs="Times New Roman"/>
        </w:rPr>
        <w:t xml:space="preserve"> Jewish Hospitals. For this assay, </w:t>
      </w:r>
      <w:r w:rsidR="003B02F8">
        <w:rPr>
          <w:rFonts w:ascii="Times New Roman" w:eastAsia="MS Mincho" w:hAnsi="Times New Roman" w:cs="Times New Roman"/>
        </w:rPr>
        <w:t>a</w:t>
      </w:r>
      <w:r w:rsidRPr="00AD01DB">
        <w:rPr>
          <w:rFonts w:ascii="Times New Roman" w:eastAsia="MS Mincho" w:hAnsi="Times New Roman" w:cs="Times New Roman"/>
        </w:rPr>
        <w:t xml:space="preserve"> 99% cutoff level for a healthy population was 0.04 ng/mL, but the results did not achieve a coefficient of variance below 10</w:t>
      </w:r>
      <w:r w:rsidR="00D058B6">
        <w:rPr>
          <w:rFonts w:ascii="Times New Roman" w:eastAsia="MS Mincho" w:hAnsi="Times New Roman" w:cs="Times New Roman"/>
        </w:rPr>
        <w:t>% until 0.06 ng/</w:t>
      </w:r>
      <w:proofErr w:type="spellStart"/>
      <w:r w:rsidR="00D058B6">
        <w:rPr>
          <w:rFonts w:ascii="Times New Roman" w:eastAsia="MS Mincho" w:hAnsi="Times New Roman" w:cs="Times New Roman"/>
        </w:rPr>
        <w:t>mL.</w:t>
      </w:r>
      <w:proofErr w:type="spellEnd"/>
      <w:r w:rsidRPr="00AD01DB">
        <w:rPr>
          <w:rFonts w:ascii="Times New Roman" w:eastAsia="MS Mincho" w:hAnsi="Times New Roman" w:cs="Times New Roman"/>
        </w:rPr>
        <w:t xml:space="preserve"> Troponin levels &lt;</w:t>
      </w:r>
      <w:r w:rsidR="00AC5F89">
        <w:rPr>
          <w:rFonts w:ascii="Times New Roman" w:eastAsia="MS Mincho" w:hAnsi="Times New Roman" w:cs="Times New Roman"/>
        </w:rPr>
        <w:t xml:space="preserve"> </w:t>
      </w:r>
      <w:r w:rsidRPr="00AD01DB">
        <w:rPr>
          <w:rFonts w:ascii="Times New Roman" w:eastAsia="MS Mincho" w:hAnsi="Times New Roman" w:cs="Times New Roman"/>
        </w:rPr>
        <w:t>0.04 ng/mL were considered non-elevated. This assay further defined 0.5 ng/mL as the most efficient (more specific) cutoff point for the diagnosis of acute MI. Troponin levels &gt;</w:t>
      </w:r>
      <w:r w:rsidR="00AC5F89">
        <w:rPr>
          <w:rFonts w:ascii="Times New Roman" w:eastAsia="MS Mincho" w:hAnsi="Times New Roman" w:cs="Times New Roman"/>
        </w:rPr>
        <w:t xml:space="preserve"> </w:t>
      </w:r>
      <w:r w:rsidRPr="00AD01DB">
        <w:rPr>
          <w:rFonts w:ascii="Times New Roman" w:eastAsia="MS Mincho" w:hAnsi="Times New Roman" w:cs="Times New Roman"/>
        </w:rPr>
        <w:t>0.5 ng/mL were considered elevated, and levels from 0.04–0.5 ng/mL were considered non-diagnostic for this study.</w:t>
      </w:r>
    </w:p>
    <w:p w:rsidR="00AC5F89" w:rsidRDefault="00AC5F89" w:rsidP="005042A5">
      <w:pPr>
        <w:spacing w:line="480" w:lineRule="auto"/>
        <w:rPr>
          <w:rFonts w:ascii="Times New Roman" w:hAnsi="Times New Roman" w:cs="Times New Roman"/>
          <w:b/>
        </w:rPr>
      </w:pPr>
    </w:p>
    <w:p w:rsidR="00EC739D" w:rsidRPr="00AD01DB" w:rsidRDefault="00EC739D" w:rsidP="005042A5">
      <w:pPr>
        <w:spacing w:line="480" w:lineRule="auto"/>
        <w:rPr>
          <w:rFonts w:ascii="Times New Roman" w:hAnsi="Times New Roman" w:cs="Times New Roman"/>
          <w:b/>
        </w:rPr>
      </w:pPr>
      <w:r w:rsidRPr="00AD01DB">
        <w:rPr>
          <w:rFonts w:ascii="Times New Roman" w:hAnsi="Times New Roman" w:cs="Times New Roman"/>
          <w:b/>
        </w:rPr>
        <w:t xml:space="preserve">Primary </w:t>
      </w:r>
      <w:r w:rsidR="00AC5F89">
        <w:rPr>
          <w:rFonts w:ascii="Times New Roman" w:hAnsi="Times New Roman" w:cs="Times New Roman"/>
          <w:b/>
        </w:rPr>
        <w:t>e</w:t>
      </w:r>
      <w:r w:rsidRPr="00AD01DB">
        <w:rPr>
          <w:rFonts w:ascii="Times New Roman" w:hAnsi="Times New Roman" w:cs="Times New Roman"/>
          <w:b/>
        </w:rPr>
        <w:t>ndpoint</w:t>
      </w:r>
      <w:r>
        <w:rPr>
          <w:rFonts w:ascii="Times New Roman" w:hAnsi="Times New Roman" w:cs="Times New Roman"/>
          <w:b/>
        </w:rPr>
        <w:t>s</w:t>
      </w:r>
    </w:p>
    <w:p w:rsidR="00EC739D" w:rsidRPr="00AD01DB" w:rsidRDefault="00EC739D" w:rsidP="00AC5F89">
      <w:pPr>
        <w:spacing w:line="480" w:lineRule="auto"/>
        <w:ind w:firstLine="720"/>
        <w:rPr>
          <w:rFonts w:ascii="Times New Roman" w:eastAsia="MS Mincho" w:hAnsi="Times New Roman" w:cs="Times New Roman"/>
        </w:rPr>
      </w:pPr>
      <w:r w:rsidRPr="00AD01DB">
        <w:rPr>
          <w:rFonts w:ascii="Times New Roman" w:eastAsia="MS Mincho" w:hAnsi="Times New Roman" w:cs="Times New Roman"/>
        </w:rPr>
        <w:t xml:space="preserve">This evaluation was accomplished by comparing the frequencies of angiographic characteristics in outcome Group 1 (lesions with histologically confirmed thrombus) versus </w:t>
      </w:r>
      <w:r>
        <w:rPr>
          <w:rFonts w:ascii="Times New Roman" w:eastAsia="MS Mincho" w:hAnsi="Times New Roman" w:cs="Times New Roman"/>
        </w:rPr>
        <w:t>N</w:t>
      </w:r>
      <w:r w:rsidRPr="00AD01DB">
        <w:rPr>
          <w:rFonts w:ascii="Times New Roman" w:eastAsia="MS Mincho" w:hAnsi="Times New Roman" w:cs="Times New Roman"/>
        </w:rPr>
        <w:t>ot-</w:t>
      </w:r>
      <w:r w:rsidRPr="00AD01DB">
        <w:rPr>
          <w:rFonts w:ascii="Times New Roman" w:eastAsia="MS Mincho" w:hAnsi="Times New Roman" w:cs="Times New Roman"/>
        </w:rPr>
        <w:lastRenderedPageBreak/>
        <w:t xml:space="preserve">Group 1 (all lesions without histologically confirmed thrombus); outcome Group 2 (lesions with highly probable coronary thrombus) versus </w:t>
      </w:r>
      <w:r>
        <w:rPr>
          <w:rFonts w:ascii="Times New Roman" w:eastAsia="MS Mincho" w:hAnsi="Times New Roman" w:cs="Times New Roman"/>
        </w:rPr>
        <w:t>N</w:t>
      </w:r>
      <w:r w:rsidRPr="00AD01DB">
        <w:rPr>
          <w:rFonts w:ascii="Times New Roman" w:eastAsia="MS Mincho" w:hAnsi="Times New Roman" w:cs="Times New Roman"/>
        </w:rPr>
        <w:t xml:space="preserve">ot-Group 2 (all lesions not highly probable of having a coronary thrombus) and outcome Group 3 (lesions </w:t>
      </w:r>
      <w:r w:rsidRPr="00AD01DB">
        <w:rPr>
          <w:rFonts w:ascii="Times New Roman" w:eastAsia="MS Mincho" w:hAnsi="Times New Roman" w:cs="Times New Roman"/>
          <w:color w:val="000000"/>
        </w:rPr>
        <w:t>highly unlikely to have a coronary thrombus</w:t>
      </w:r>
      <w:r w:rsidRPr="00AD01DB">
        <w:rPr>
          <w:rFonts w:ascii="Times New Roman" w:eastAsia="MS Mincho" w:hAnsi="Times New Roman" w:cs="Times New Roman"/>
        </w:rPr>
        <w:t xml:space="preserve">) versus </w:t>
      </w:r>
      <w:r>
        <w:rPr>
          <w:rFonts w:ascii="Times New Roman" w:eastAsia="MS Mincho" w:hAnsi="Times New Roman" w:cs="Times New Roman"/>
        </w:rPr>
        <w:t>N</w:t>
      </w:r>
      <w:r w:rsidRPr="00AD01DB">
        <w:rPr>
          <w:rFonts w:ascii="Times New Roman" w:eastAsia="MS Mincho" w:hAnsi="Times New Roman" w:cs="Times New Roman"/>
        </w:rPr>
        <w:t xml:space="preserve">ot-Group 3 (all lesions not </w:t>
      </w:r>
      <w:r w:rsidRPr="00AD01DB">
        <w:rPr>
          <w:rFonts w:ascii="Times New Roman" w:eastAsia="MS Mincho" w:hAnsi="Times New Roman" w:cs="Times New Roman"/>
          <w:color w:val="000000"/>
        </w:rPr>
        <w:t>highly unlikely to have a coronary thrombus</w:t>
      </w:r>
      <w:r w:rsidRPr="00AD01DB">
        <w:rPr>
          <w:rFonts w:ascii="Times New Roman" w:eastAsia="MS Mincho" w:hAnsi="Times New Roman" w:cs="Times New Roman"/>
        </w:rPr>
        <w:t xml:space="preserve">). </w:t>
      </w:r>
    </w:p>
    <w:p w:rsidR="00EC739D" w:rsidRPr="00AD01DB" w:rsidRDefault="00EC739D" w:rsidP="00CD5F8B">
      <w:pPr>
        <w:spacing w:line="480" w:lineRule="auto"/>
        <w:ind w:firstLine="720"/>
        <w:rPr>
          <w:rFonts w:ascii="Times New Roman" w:eastAsia="MS Mincho" w:hAnsi="Times New Roman" w:cs="Times New Roman"/>
        </w:rPr>
      </w:pPr>
      <w:r w:rsidRPr="00AD01DB">
        <w:rPr>
          <w:rFonts w:ascii="Times New Roman" w:eastAsia="MS Mincho" w:hAnsi="Times New Roman" w:cs="Times New Roman"/>
        </w:rPr>
        <w:t xml:space="preserve">The ability of an angiographic characteristic to differentiate between outcome groups (and hence its ability to identify the lesion types) was assessed by determining model-estimated odds ratios, sensitivity, and specificity. Since the angiographic characteristics represented a binary response variable, the logit link function was used in this modeling. Also, because the characteristics considered are lesion-specific, both the vessel and the subject represented significant sources of correlation between responses. Thus, model coefficients were estimated using generalized estimating equations (GEE), assuming a compound symmetry correlation structure </w:t>
      </w:r>
      <w:r w:rsidR="00AC5F89">
        <w:rPr>
          <w:rFonts w:ascii="Times New Roman" w:eastAsia="MS Mincho" w:hAnsi="Times New Roman" w:cs="Times New Roman"/>
        </w:rPr>
        <w:t>[1]</w:t>
      </w:r>
      <w:r w:rsidRPr="00AD01DB">
        <w:rPr>
          <w:rFonts w:ascii="Times New Roman" w:eastAsia="MS Mincho" w:hAnsi="Times New Roman" w:cs="Times New Roman"/>
        </w:rPr>
        <w:t>. Characteristics that could not be determined were considered missing data, to reflect clinical practice.</w:t>
      </w:r>
      <w:r w:rsidR="003B02F8">
        <w:rPr>
          <w:rFonts w:ascii="Times New Roman" w:eastAsia="MS Mincho" w:hAnsi="Times New Roman" w:cs="Times New Roman"/>
        </w:rPr>
        <w:t xml:space="preserve"> It should be</w:t>
      </w:r>
      <w:r w:rsidRPr="00AD01DB">
        <w:rPr>
          <w:rFonts w:ascii="Times New Roman" w:eastAsia="MS Mincho" w:hAnsi="Times New Roman" w:cs="Times New Roman"/>
        </w:rPr>
        <w:t xml:space="preserve"> emphasize</w:t>
      </w:r>
      <w:r w:rsidR="003B02F8">
        <w:rPr>
          <w:rFonts w:ascii="Times New Roman" w:eastAsia="MS Mincho" w:hAnsi="Times New Roman" w:cs="Times New Roman"/>
        </w:rPr>
        <w:t xml:space="preserve">d </w:t>
      </w:r>
      <w:r w:rsidRPr="00AD01DB">
        <w:rPr>
          <w:rFonts w:ascii="Times New Roman" w:eastAsia="MS Mincho" w:hAnsi="Times New Roman" w:cs="Times New Roman"/>
        </w:rPr>
        <w:t xml:space="preserve"> that if a clinician were unable to determine the presence or absence of an angiographic characteristic, the failure of the angiographic assessment to produce a result would not </w:t>
      </w:r>
      <w:r w:rsidR="003B02F8">
        <w:rPr>
          <w:rFonts w:ascii="Times New Roman" w:eastAsia="MS Mincho" w:hAnsi="Times New Roman" w:cs="Times New Roman"/>
        </w:rPr>
        <w:t xml:space="preserve">have </w:t>
      </w:r>
      <w:r w:rsidRPr="00AD01DB">
        <w:rPr>
          <w:rFonts w:ascii="Times New Roman" w:eastAsia="MS Mincho" w:hAnsi="Times New Roman" w:cs="Times New Roman"/>
        </w:rPr>
        <w:t>influence</w:t>
      </w:r>
      <w:r w:rsidR="003B02F8">
        <w:rPr>
          <w:rFonts w:ascii="Times New Roman" w:eastAsia="MS Mincho" w:hAnsi="Times New Roman" w:cs="Times New Roman"/>
        </w:rPr>
        <w:t>d</w:t>
      </w:r>
      <w:r w:rsidRPr="00AD01DB">
        <w:rPr>
          <w:rFonts w:ascii="Times New Roman" w:eastAsia="MS Mincho" w:hAnsi="Times New Roman" w:cs="Times New Roman"/>
        </w:rPr>
        <w:t xml:space="preserve"> the diagnosis. </w:t>
      </w:r>
    </w:p>
    <w:p w:rsidR="00EC739D" w:rsidRPr="00AD01DB" w:rsidRDefault="00EC739D" w:rsidP="00216F97">
      <w:pPr>
        <w:spacing w:after="240"/>
        <w:rPr>
          <w:rFonts w:ascii="Times New Roman" w:hAnsi="Times New Roman" w:cs="Times New Roman"/>
          <w:b/>
        </w:rPr>
      </w:pPr>
    </w:p>
    <w:p w:rsidR="00EC739D" w:rsidRPr="00AD01DB" w:rsidRDefault="00EC739D">
      <w:pPr>
        <w:rPr>
          <w:rFonts w:ascii="Times New Roman" w:hAnsi="Times New Roman" w:cs="Times New Roman"/>
          <w:b/>
        </w:rPr>
      </w:pPr>
      <w:r w:rsidRPr="00AD01DB">
        <w:rPr>
          <w:rFonts w:ascii="Times New Roman" w:hAnsi="Times New Roman" w:cs="Times New Roman"/>
          <w:b/>
        </w:rPr>
        <w:br w:type="page"/>
      </w:r>
    </w:p>
    <w:p w:rsidR="00EC739D" w:rsidRDefault="00EC739D" w:rsidP="00216F97">
      <w:pPr>
        <w:spacing w:after="240"/>
        <w:rPr>
          <w:rFonts w:ascii="Times New Roman" w:hAnsi="Times New Roman" w:cs="Times New Roman"/>
          <w:b/>
        </w:rPr>
        <w:sectPr w:rsidR="00EC739D" w:rsidSect="00A66AF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39D" w:rsidRPr="00A57755" w:rsidRDefault="00EC739D" w:rsidP="00216F97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SUPPLEMENTAL</w:t>
      </w:r>
      <w:r w:rsidRPr="00A57755">
        <w:rPr>
          <w:rFonts w:ascii="Times New Roman" w:hAnsi="Times New Roman" w:cs="Times New Roman"/>
          <w:b/>
        </w:rPr>
        <w:t xml:space="preserve"> TABLES</w:t>
      </w:r>
    </w:p>
    <w:p w:rsidR="00EC739D" w:rsidRPr="006F3FB6" w:rsidRDefault="00EC739D" w:rsidP="00EB479E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</w:t>
      </w:r>
      <w:r w:rsidRPr="006F3FB6">
        <w:rPr>
          <w:rFonts w:ascii="Times New Roman" w:hAnsi="Times New Roman" w:cs="Times New Roman"/>
          <w:b/>
        </w:rPr>
        <w:t xml:space="preserve"> Table 1. </w:t>
      </w:r>
      <w:r w:rsidRPr="00AC5F89">
        <w:rPr>
          <w:rFonts w:ascii="Times New Roman" w:hAnsi="Times New Roman" w:cs="Times New Roman"/>
        </w:rPr>
        <w:t xml:space="preserve">Definitions for </w:t>
      </w:r>
      <w:r w:rsidR="00AC5F89" w:rsidRPr="00AC5F89">
        <w:rPr>
          <w:rFonts w:ascii="Times New Roman" w:hAnsi="Times New Roman" w:cs="Times New Roman"/>
        </w:rPr>
        <w:t>study diagnoses.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190"/>
      </w:tblGrid>
      <w:tr w:rsidR="00EC739D" w:rsidRPr="00A57755" w:rsidTr="00D55A4D">
        <w:trPr>
          <w:trHeight w:val="469"/>
        </w:trPr>
        <w:tc>
          <w:tcPr>
            <w:tcW w:w="2520" w:type="dxa"/>
            <w:vAlign w:val="center"/>
          </w:tcPr>
          <w:p w:rsidR="00EC739D" w:rsidRPr="00A04201" w:rsidRDefault="00EC739D" w:rsidP="00CD5F8B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>Diagnoses</w:t>
            </w:r>
          </w:p>
        </w:tc>
        <w:tc>
          <w:tcPr>
            <w:tcW w:w="8190" w:type="dxa"/>
            <w:vAlign w:val="center"/>
          </w:tcPr>
          <w:p w:rsidR="00EC739D" w:rsidRPr="00A04201" w:rsidRDefault="00EC739D" w:rsidP="00CD5F8B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>Definitions</w:t>
            </w:r>
          </w:p>
        </w:tc>
      </w:tr>
      <w:tr w:rsidR="00EC739D" w:rsidRPr="00A57755" w:rsidTr="00D55A4D">
        <w:trPr>
          <w:trHeight w:val="1597"/>
        </w:trPr>
        <w:tc>
          <w:tcPr>
            <w:tcW w:w="2520" w:type="dxa"/>
            <w:vAlign w:val="center"/>
          </w:tcPr>
          <w:p w:rsidR="00EC739D" w:rsidRPr="00A04201" w:rsidRDefault="00EC739D" w:rsidP="00CD5F8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Acute </w:t>
            </w:r>
            <w:r w:rsidR="00AC5F89" w:rsidRPr="00A042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myocardial infarction </w:t>
            </w:r>
            <w:r w:rsidRPr="00A04201">
              <w:rPr>
                <w:rFonts w:ascii="Times New Roman" w:hAnsi="Times New Roman" w:cs="Times New Roman"/>
                <w:color w:val="000000" w:themeColor="text1"/>
                <w:sz w:val="24"/>
              </w:rPr>
              <w:t>(MI)</w:t>
            </w:r>
          </w:p>
        </w:tc>
        <w:tc>
          <w:tcPr>
            <w:tcW w:w="8190" w:type="dxa"/>
            <w:vAlign w:val="center"/>
          </w:tcPr>
          <w:p w:rsidR="00EC739D" w:rsidRPr="00A04201" w:rsidRDefault="00EC739D" w:rsidP="00CD5F8B">
            <w:pPr>
              <w:ind w:left="315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  <w:u w:val="single"/>
              </w:rPr>
              <w:t>Must satisfy ALL</w:t>
            </w:r>
            <w:r w:rsidRPr="00A04201">
              <w:rPr>
                <w:rFonts w:ascii="Times New Roman" w:hAnsi="Times New Roman" w:cs="Times New Roman"/>
                <w:sz w:val="24"/>
              </w:rPr>
              <w:t>:</w:t>
            </w:r>
          </w:p>
          <w:p w:rsidR="00EC739D" w:rsidRPr="00A04201" w:rsidRDefault="00EC739D" w:rsidP="00CD5F8B">
            <w:pPr>
              <w:numPr>
                <w:ilvl w:val="0"/>
                <w:numId w:val="37"/>
              </w:numPr>
              <w:ind w:left="315" w:hanging="342"/>
              <w:contextualSpacing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Symptoms consistent with acute ischemia lasting &gt;</w:t>
            </w:r>
            <w:r w:rsidR="00AC5F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hAnsi="Times New Roman" w:cs="Times New Roman"/>
                <w:sz w:val="24"/>
              </w:rPr>
              <w:t>10 min in the last 24 hours</w:t>
            </w:r>
          </w:p>
          <w:p w:rsidR="00EC739D" w:rsidRPr="00A04201" w:rsidRDefault="00EC739D" w:rsidP="00AC5F89">
            <w:pPr>
              <w:numPr>
                <w:ilvl w:val="0"/>
                <w:numId w:val="37"/>
              </w:numPr>
              <w:ind w:left="315" w:hanging="342"/>
              <w:contextualSpacing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 xml:space="preserve">ST-segment depression/elevation in </w:t>
            </w:r>
            <w:r w:rsidR="00AC5F89">
              <w:rPr>
                <w:rFonts w:ascii="Times New Roman" w:hAnsi="Times New Roman" w:cs="Times New Roman"/>
                <w:sz w:val="24"/>
              </w:rPr>
              <w:t xml:space="preserve">≥ </w:t>
            </w:r>
            <w:r w:rsidRPr="00A04201">
              <w:rPr>
                <w:rFonts w:ascii="Times New Roman" w:hAnsi="Times New Roman" w:cs="Times New Roman"/>
                <w:sz w:val="24"/>
              </w:rPr>
              <w:t>2 continuous ECG leads –</w:t>
            </w:r>
            <w:r w:rsidR="00AC5F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hAnsi="Times New Roman" w:cs="Times New Roman"/>
                <w:sz w:val="24"/>
              </w:rPr>
              <w:t>OR</w:t>
            </w:r>
            <w:r w:rsidR="00AC5F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C5F89">
              <w:rPr>
                <w:rFonts w:ascii="Times New Roman" w:hAnsi="Times New Roman" w:cs="Times New Roman"/>
                <w:sz w:val="24"/>
              </w:rPr>
              <w:t>e</w:t>
            </w:r>
            <w:r w:rsidRPr="00A04201">
              <w:rPr>
                <w:rFonts w:ascii="Times New Roman" w:hAnsi="Times New Roman" w:cs="Times New Roman"/>
                <w:sz w:val="24"/>
              </w:rPr>
              <w:t>levated cardiac troponin</w:t>
            </w:r>
          </w:p>
        </w:tc>
      </w:tr>
      <w:tr w:rsidR="00EC739D" w:rsidRPr="00A57755" w:rsidTr="00D55A4D">
        <w:trPr>
          <w:trHeight w:val="1547"/>
        </w:trPr>
        <w:tc>
          <w:tcPr>
            <w:tcW w:w="2520" w:type="dxa"/>
            <w:vAlign w:val="center"/>
          </w:tcPr>
          <w:p w:rsidR="00EC739D" w:rsidRPr="00A04201" w:rsidRDefault="00EC739D" w:rsidP="00CD5F8B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Stable </w:t>
            </w:r>
            <w:r w:rsidR="00AC5F89" w:rsidRPr="00A04201">
              <w:rPr>
                <w:rFonts w:ascii="Times New Roman" w:hAnsi="Times New Roman" w:cs="Times New Roman"/>
                <w:color w:val="000000" w:themeColor="text1"/>
                <w:sz w:val="24"/>
              </w:rPr>
              <w:t>coronary artery disease</w:t>
            </w:r>
            <w:r w:rsidRPr="00A042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(CAD)</w:t>
            </w:r>
          </w:p>
        </w:tc>
        <w:tc>
          <w:tcPr>
            <w:tcW w:w="8190" w:type="dxa"/>
            <w:vAlign w:val="center"/>
          </w:tcPr>
          <w:p w:rsidR="00EC739D" w:rsidRPr="00A04201" w:rsidRDefault="00EC739D" w:rsidP="00CD5F8B">
            <w:pPr>
              <w:ind w:left="315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  <w:u w:val="single"/>
              </w:rPr>
              <w:t>Must satisfy ALL</w:t>
            </w:r>
            <w:r w:rsidRPr="00A04201">
              <w:rPr>
                <w:rFonts w:ascii="Times New Roman" w:hAnsi="Times New Roman" w:cs="Times New Roman"/>
                <w:sz w:val="24"/>
              </w:rPr>
              <w:t>:</w:t>
            </w:r>
          </w:p>
          <w:p w:rsidR="00EC739D" w:rsidRPr="00A04201" w:rsidRDefault="00EC739D" w:rsidP="00CD5F8B">
            <w:pPr>
              <w:numPr>
                <w:ilvl w:val="0"/>
                <w:numId w:val="38"/>
              </w:numPr>
              <w:ind w:left="315" w:hanging="3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Clinically stable</w:t>
            </w:r>
          </w:p>
          <w:p w:rsidR="00EC739D" w:rsidRPr="00A04201" w:rsidRDefault="00EC739D" w:rsidP="00CD5F8B">
            <w:pPr>
              <w:numPr>
                <w:ilvl w:val="0"/>
                <w:numId w:val="38"/>
              </w:numPr>
              <w:ind w:left="315" w:hanging="3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Presenting for an elective catheterization to evaluate for stable CAD</w:t>
            </w:r>
          </w:p>
          <w:p w:rsidR="00EC739D" w:rsidRPr="00A04201" w:rsidRDefault="00EC739D" w:rsidP="00CD5F8B">
            <w:pPr>
              <w:numPr>
                <w:ilvl w:val="0"/>
                <w:numId w:val="38"/>
              </w:numPr>
              <w:ind w:left="315" w:hanging="3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 xml:space="preserve">No recent revascularization attempts </w:t>
            </w:r>
          </w:p>
        </w:tc>
      </w:tr>
    </w:tbl>
    <w:p w:rsidR="00EC739D" w:rsidRPr="00A57755" w:rsidRDefault="00EC739D" w:rsidP="00216F97">
      <w:pPr>
        <w:spacing w:after="240"/>
        <w:rPr>
          <w:rFonts w:ascii="Times New Roman" w:hAnsi="Times New Roman" w:cs="Times New Roman"/>
          <w:b/>
        </w:rPr>
      </w:pPr>
    </w:p>
    <w:p w:rsidR="00EC739D" w:rsidRPr="00D651B7" w:rsidRDefault="00EC739D" w:rsidP="00D651B7">
      <w:pPr>
        <w:rPr>
          <w:rFonts w:ascii="Times New Roman" w:hAnsi="Times New Roman" w:cs="Times New Roman"/>
          <w:b/>
        </w:rPr>
        <w:sectPr w:rsidR="00EC739D" w:rsidRPr="00D651B7" w:rsidSect="005042A5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C739D" w:rsidRPr="00A57755" w:rsidRDefault="00EC739D" w:rsidP="00CD5F8B">
      <w:pPr>
        <w:rPr>
          <w:rFonts w:ascii="Times New Roman" w:hAnsi="Times New Roman" w:cs="Times New Roman"/>
          <w:b/>
          <w:color w:val="000000" w:themeColor="text1"/>
        </w:rPr>
      </w:pPr>
      <w:r w:rsidRPr="00A57755">
        <w:rPr>
          <w:rFonts w:ascii="Times New Roman" w:hAnsi="Times New Roman" w:cs="Times New Roman"/>
          <w:b/>
        </w:rPr>
        <w:lastRenderedPageBreak/>
        <w:br w:type="page"/>
      </w:r>
    </w:p>
    <w:p w:rsidR="00EC739D" w:rsidRPr="00CD5F8B" w:rsidRDefault="00EC739D" w:rsidP="00216F97">
      <w:pPr>
        <w:pStyle w:val="EndNoteBibliography"/>
        <w:rPr>
          <w:b/>
        </w:rPr>
        <w:sectPr w:rsidR="00EC739D" w:rsidRPr="00CD5F8B" w:rsidSect="005042A5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C739D" w:rsidRPr="00367AFF" w:rsidRDefault="00EC739D" w:rsidP="00216F97">
      <w:pPr>
        <w:pStyle w:val="Bezodstpw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67AFF">
        <w:rPr>
          <w:rFonts w:ascii="Times New Roman" w:hAnsi="Times New Roman" w:cs="Times New Roman"/>
          <w:b/>
          <w:sz w:val="24"/>
          <w:szCs w:val="24"/>
        </w:rPr>
        <w:lastRenderedPageBreak/>
        <w:t>APPENDIX FIGURES</w:t>
      </w:r>
    </w:p>
    <w:p w:rsidR="00EC739D" w:rsidRPr="00A04201" w:rsidRDefault="00EC739D" w:rsidP="00A0420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4201">
        <w:rPr>
          <w:rFonts w:ascii="Times New Roman" w:hAnsi="Times New Roman" w:cs="Times New Roman"/>
          <w:b/>
          <w:sz w:val="24"/>
          <w:szCs w:val="24"/>
        </w:rPr>
        <w:t xml:space="preserve">Supplemental Figure 1. </w:t>
      </w:r>
      <w:r w:rsidRPr="00AC5F89">
        <w:rPr>
          <w:rFonts w:ascii="Times New Roman" w:hAnsi="Times New Roman" w:cs="Times New Roman"/>
          <w:sz w:val="24"/>
          <w:szCs w:val="24"/>
        </w:rPr>
        <w:t>Coronary angiographic assessment scoring sheet</w:t>
      </w:r>
      <w:r w:rsidR="00AC5F89" w:rsidRPr="00AC5F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108" w:type="dxa"/>
        <w:tblLayout w:type="fixed"/>
        <w:tblLook w:val="04A0" w:firstRow="1" w:lastRow="0" w:firstColumn="1" w:lastColumn="0" w:noHBand="0" w:noVBand="1"/>
      </w:tblPr>
      <w:tblGrid>
        <w:gridCol w:w="5412"/>
        <w:gridCol w:w="442"/>
        <w:gridCol w:w="458"/>
        <w:gridCol w:w="6"/>
        <w:gridCol w:w="166"/>
        <w:gridCol w:w="14"/>
        <w:gridCol w:w="354"/>
        <w:gridCol w:w="364"/>
        <w:gridCol w:w="92"/>
        <w:gridCol w:w="180"/>
        <w:gridCol w:w="354"/>
        <w:gridCol w:w="186"/>
        <w:gridCol w:w="320"/>
        <w:gridCol w:w="760"/>
      </w:tblGrid>
      <w:tr w:rsidR="00EC739D" w:rsidRPr="00A04201" w:rsidTr="00A04201">
        <w:trPr>
          <w:trHeight w:val="432"/>
        </w:trPr>
        <w:tc>
          <w:tcPr>
            <w:tcW w:w="5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b/>
                <w:sz w:val="24"/>
              </w:rPr>
              <w:t>Angiographic Characteristic</w:t>
            </w:r>
          </w:p>
        </w:tc>
        <w:tc>
          <w:tcPr>
            <w:tcW w:w="3696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EC739D" w:rsidRPr="00A04201" w:rsidTr="00A04201">
        <w:trPr>
          <w:trHeight w:val="432"/>
        </w:trPr>
        <w:tc>
          <w:tcPr>
            <w:tcW w:w="5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Vessel (LM, LAD, </w:t>
            </w:r>
            <w:proofErr w:type="spellStart"/>
            <w:r w:rsidRPr="00A04201">
              <w:rPr>
                <w:rFonts w:ascii="Times New Roman" w:eastAsia="Calibri" w:hAnsi="Times New Roman" w:cs="Times New Roman"/>
                <w:sz w:val="24"/>
              </w:rPr>
              <w:t>LCx</w:t>
            </w:r>
            <w:proofErr w:type="spellEnd"/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, RCA, Graft) </w:t>
            </w:r>
            <w:r w:rsidRPr="00A04201">
              <w:rPr>
                <w:rFonts w:ascii="Times New Roman" w:eastAsia="Calibri" w:hAnsi="Times New Roman" w:cs="Times New Roman"/>
                <w:sz w:val="24"/>
              </w:rPr>
              <w:br/>
              <w:t xml:space="preserve">[All vessels must be assigned to one of the above listed vessel types. </w:t>
            </w:r>
            <w:r w:rsidRPr="00A04201">
              <w:rPr>
                <w:rFonts w:ascii="Times New Roman" w:eastAsia="Calibri" w:hAnsi="Times New Roman" w:cs="Times New Roman"/>
                <w:b/>
                <w:sz w:val="24"/>
              </w:rPr>
              <w:t>Note</w:t>
            </w:r>
            <w:r w:rsidRPr="00A04201">
              <w:rPr>
                <w:rFonts w:ascii="Times New Roman" w:eastAsia="Calibri" w:hAnsi="Times New Roman" w:cs="Times New Roman"/>
                <w:sz w:val="24"/>
              </w:rPr>
              <w:t>: ramus is considered part of LAD territory]</w:t>
            </w:r>
          </w:p>
        </w:tc>
        <w:tc>
          <w:tcPr>
            <w:tcW w:w="3696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Graft Type (vein, LIMA, RIMA, gastro-epiploic, radial, other)</w:t>
            </w:r>
          </w:p>
        </w:tc>
        <w:tc>
          <w:tcPr>
            <w:tcW w:w="3696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Graft #1 destination (LM, LAD, </w:t>
            </w:r>
            <w:proofErr w:type="spellStart"/>
            <w:r w:rsidRPr="00A04201">
              <w:rPr>
                <w:rFonts w:ascii="Times New Roman" w:eastAsia="Calibri" w:hAnsi="Times New Roman" w:cs="Times New Roman"/>
                <w:sz w:val="24"/>
              </w:rPr>
              <w:t>LCx</w:t>
            </w:r>
            <w:proofErr w:type="spellEnd"/>
            <w:r w:rsidRPr="00A04201">
              <w:rPr>
                <w:rFonts w:ascii="Times New Roman" w:eastAsia="Calibri" w:hAnsi="Times New Roman" w:cs="Times New Roman"/>
                <w:sz w:val="24"/>
              </w:rPr>
              <w:t>, RCA, Graft)</w:t>
            </w:r>
          </w:p>
        </w:tc>
        <w:tc>
          <w:tcPr>
            <w:tcW w:w="3696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Graft #2 destination (LM, LAD, </w:t>
            </w:r>
            <w:proofErr w:type="spellStart"/>
            <w:r w:rsidRPr="00A04201">
              <w:rPr>
                <w:rFonts w:ascii="Times New Roman" w:eastAsia="Calibri" w:hAnsi="Times New Roman" w:cs="Times New Roman"/>
                <w:sz w:val="24"/>
              </w:rPr>
              <w:t>LCx</w:t>
            </w:r>
            <w:proofErr w:type="spellEnd"/>
            <w:r w:rsidRPr="00A04201">
              <w:rPr>
                <w:rFonts w:ascii="Times New Roman" w:eastAsia="Calibri" w:hAnsi="Times New Roman" w:cs="Times New Roman"/>
                <w:sz w:val="24"/>
              </w:rPr>
              <w:t>, RCA, Graft)</w:t>
            </w:r>
          </w:p>
        </w:tc>
        <w:tc>
          <w:tcPr>
            <w:tcW w:w="3696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Graft #3 destination (LM, LAD, </w:t>
            </w:r>
            <w:proofErr w:type="spellStart"/>
            <w:r w:rsidRPr="00A04201">
              <w:rPr>
                <w:rFonts w:ascii="Times New Roman" w:eastAsia="Calibri" w:hAnsi="Times New Roman" w:cs="Times New Roman"/>
                <w:sz w:val="24"/>
              </w:rPr>
              <w:t>LCx</w:t>
            </w:r>
            <w:proofErr w:type="spellEnd"/>
            <w:r w:rsidRPr="00A04201">
              <w:rPr>
                <w:rFonts w:ascii="Times New Roman" w:eastAsia="Calibri" w:hAnsi="Times New Roman" w:cs="Times New Roman"/>
                <w:sz w:val="24"/>
              </w:rPr>
              <w:t>, RCA, Graft)</w:t>
            </w:r>
          </w:p>
        </w:tc>
        <w:tc>
          <w:tcPr>
            <w:tcW w:w="3696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39D" w:rsidRPr="00A04201" w:rsidTr="00A04201">
        <w:trPr>
          <w:trHeight w:val="432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Total number of lesions in this vessel </w:t>
            </w:r>
            <w:r w:rsidRPr="00A04201">
              <w:rPr>
                <w:rFonts w:ascii="Times New Roman" w:eastAsia="Calibri" w:hAnsi="Times New Roman" w:cs="Times New Roman"/>
                <w:sz w:val="24"/>
              </w:rPr>
              <w:br/>
              <w:t xml:space="preserve">[Individual lesion must be in a distinct vessel branch or separated by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 xml:space="preserve">≥ </w:t>
            </w:r>
            <w:r w:rsidRPr="00A04201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eastAsia="Calibri" w:hAnsi="Times New Roman" w:cs="Times New Roman"/>
                <w:sz w:val="24"/>
              </w:rPr>
              <w:t>cm of normal vessel (&lt;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eastAsia="Calibri" w:hAnsi="Times New Roman" w:cs="Times New Roman"/>
                <w:sz w:val="24"/>
              </w:rPr>
              <w:t>10 stenosis) to constitute a separate lesion]</w:t>
            </w:r>
          </w:p>
        </w:tc>
        <w:tc>
          <w:tcPr>
            <w:tcW w:w="3696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Lesion number (29-Segment Model)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 xml:space="preserve"> [2]</w:t>
            </w:r>
          </w:p>
        </w:tc>
        <w:tc>
          <w:tcPr>
            <w:tcW w:w="3696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Stenosis by visual inspection (%)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58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0" w:type="dxa"/>
            <w:gridSpan w:val="4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56" w:type="dxa"/>
            <w:gridSpan w:val="2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34" w:type="dxa"/>
            <w:gridSpan w:val="2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506" w:type="dxa"/>
            <w:gridSpan w:val="2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60" w:type="dxa"/>
            <w:tcBorders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Collaterals supplying territory of this vessel</w:t>
            </w:r>
          </w:p>
        </w:tc>
        <w:tc>
          <w:tcPr>
            <w:tcW w:w="1086" w:type="dxa"/>
            <w:gridSpan w:val="5"/>
            <w:tcBorders>
              <w:lef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Yes</w:t>
            </w:r>
          </w:p>
        </w:tc>
        <w:tc>
          <w:tcPr>
            <w:tcW w:w="810" w:type="dxa"/>
            <w:gridSpan w:val="3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No</w:t>
            </w:r>
          </w:p>
        </w:tc>
        <w:tc>
          <w:tcPr>
            <w:tcW w:w="1800" w:type="dxa"/>
            <w:gridSpan w:val="5"/>
            <w:tcBorders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Undetermined</w:t>
            </w: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Ambrose Morphology Score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>[3, 4]</w:t>
            </w:r>
          </w:p>
        </w:tc>
        <w:tc>
          <w:tcPr>
            <w:tcW w:w="900" w:type="dxa"/>
            <w:gridSpan w:val="2"/>
            <w:tcBorders>
              <w:lef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Simple</w:t>
            </w:r>
          </w:p>
        </w:tc>
        <w:tc>
          <w:tcPr>
            <w:tcW w:w="1176" w:type="dxa"/>
            <w:gridSpan w:val="7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Complex</w:t>
            </w:r>
          </w:p>
        </w:tc>
        <w:tc>
          <w:tcPr>
            <w:tcW w:w="1620" w:type="dxa"/>
            <w:gridSpan w:val="4"/>
            <w:tcBorders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Undetermined</w:t>
            </w: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TIMI Flow Grade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>[5]</w:t>
            </w:r>
          </w:p>
        </w:tc>
        <w:tc>
          <w:tcPr>
            <w:tcW w:w="90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TIMI MPG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>[5, 6]</w:t>
            </w:r>
          </w:p>
        </w:tc>
        <w:tc>
          <w:tcPr>
            <w:tcW w:w="90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C739D" w:rsidRPr="00A04201" w:rsidTr="00A04201">
        <w:trPr>
          <w:trHeight w:val="432"/>
        </w:trPr>
        <w:tc>
          <w:tcPr>
            <w:tcW w:w="5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Spherical, ovoid, or irregular intramural filling defect, surrounded on 3 sides by contrast medium, just distal to or within a coronary stenosis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>[7]</w:t>
            </w:r>
          </w:p>
        </w:tc>
        <w:tc>
          <w:tcPr>
            <w:tcW w:w="1072" w:type="dxa"/>
            <w:gridSpan w:val="4"/>
            <w:tcBorders>
              <w:lef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Present</w:t>
            </w:r>
          </w:p>
        </w:tc>
        <w:tc>
          <w:tcPr>
            <w:tcW w:w="1004" w:type="dxa"/>
            <w:gridSpan w:val="5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Absent</w:t>
            </w:r>
          </w:p>
        </w:tc>
        <w:tc>
          <w:tcPr>
            <w:tcW w:w="1620" w:type="dxa"/>
            <w:gridSpan w:val="4"/>
            <w:tcBorders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Undetermined</w:t>
            </w: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Abrupt vessel cutoff with persistence of contrast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>[8]</w:t>
            </w:r>
          </w:p>
        </w:tc>
        <w:tc>
          <w:tcPr>
            <w:tcW w:w="1072" w:type="dxa"/>
            <w:gridSpan w:val="4"/>
            <w:tcBorders>
              <w:lef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Present</w:t>
            </w:r>
          </w:p>
        </w:tc>
        <w:tc>
          <w:tcPr>
            <w:tcW w:w="1004" w:type="dxa"/>
            <w:gridSpan w:val="5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Absent</w:t>
            </w:r>
          </w:p>
        </w:tc>
        <w:tc>
          <w:tcPr>
            <w:tcW w:w="1620" w:type="dxa"/>
            <w:gridSpan w:val="4"/>
            <w:tcBorders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Undetermined</w:t>
            </w: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Intraluminal staining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 xml:space="preserve"> [9]</w:t>
            </w:r>
          </w:p>
        </w:tc>
        <w:tc>
          <w:tcPr>
            <w:tcW w:w="1072" w:type="dxa"/>
            <w:gridSpan w:val="4"/>
            <w:tcBorders>
              <w:lef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Present</w:t>
            </w:r>
          </w:p>
        </w:tc>
        <w:tc>
          <w:tcPr>
            <w:tcW w:w="1004" w:type="dxa"/>
            <w:gridSpan w:val="5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Absent</w:t>
            </w:r>
          </w:p>
        </w:tc>
        <w:tc>
          <w:tcPr>
            <w:tcW w:w="1620" w:type="dxa"/>
            <w:gridSpan w:val="4"/>
            <w:tcBorders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Undetermined</w:t>
            </w:r>
          </w:p>
        </w:tc>
      </w:tr>
      <w:tr w:rsidR="00EC739D" w:rsidRPr="00A04201" w:rsidTr="00A04201">
        <w:trPr>
          <w:trHeight w:val="403"/>
        </w:trPr>
        <w:tc>
          <w:tcPr>
            <w:tcW w:w="5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Any intracoronary filling defect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>[4]</w:t>
            </w:r>
          </w:p>
        </w:tc>
        <w:tc>
          <w:tcPr>
            <w:tcW w:w="1072" w:type="dxa"/>
            <w:gridSpan w:val="4"/>
            <w:tcBorders>
              <w:lef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Present</w:t>
            </w:r>
          </w:p>
        </w:tc>
        <w:tc>
          <w:tcPr>
            <w:tcW w:w="1004" w:type="dxa"/>
            <w:gridSpan w:val="5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Absent</w:t>
            </w:r>
          </w:p>
        </w:tc>
        <w:tc>
          <w:tcPr>
            <w:tcW w:w="1620" w:type="dxa"/>
            <w:gridSpan w:val="4"/>
            <w:tcBorders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Undetermined</w:t>
            </w:r>
          </w:p>
        </w:tc>
      </w:tr>
      <w:tr w:rsidR="00EC739D" w:rsidRPr="00A04201" w:rsidTr="00A04201">
        <w:trPr>
          <w:trHeight w:val="432"/>
        </w:trPr>
        <w:tc>
          <w:tcPr>
            <w:tcW w:w="5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Major dissection present (spiral dissection or a dissection with &gt;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50% diameter reduction)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>[10, 11]</w:t>
            </w:r>
          </w:p>
        </w:tc>
        <w:tc>
          <w:tcPr>
            <w:tcW w:w="1072" w:type="dxa"/>
            <w:gridSpan w:val="4"/>
            <w:tcBorders>
              <w:lef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Present</w:t>
            </w:r>
          </w:p>
        </w:tc>
        <w:tc>
          <w:tcPr>
            <w:tcW w:w="1004" w:type="dxa"/>
            <w:gridSpan w:val="5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Absent</w:t>
            </w:r>
          </w:p>
        </w:tc>
        <w:tc>
          <w:tcPr>
            <w:tcW w:w="1620" w:type="dxa"/>
            <w:gridSpan w:val="4"/>
            <w:tcBorders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Undetermined</w:t>
            </w:r>
          </w:p>
        </w:tc>
      </w:tr>
      <w:tr w:rsidR="00EC739D" w:rsidRPr="00A04201" w:rsidTr="00A04201">
        <w:trPr>
          <w:trHeight w:val="432"/>
        </w:trPr>
        <w:tc>
          <w:tcPr>
            <w:tcW w:w="54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Minor dissection present (linear </w:t>
            </w:r>
            <w:proofErr w:type="spellStart"/>
            <w:r w:rsidRPr="00A04201">
              <w:rPr>
                <w:rFonts w:ascii="Times New Roman" w:eastAsia="Calibri" w:hAnsi="Times New Roman" w:cs="Times New Roman"/>
                <w:sz w:val="24"/>
              </w:rPr>
              <w:t>extraluminal</w:t>
            </w:r>
            <w:proofErr w:type="spellEnd"/>
            <w:r w:rsidRPr="00A04201">
              <w:rPr>
                <w:rFonts w:ascii="Times New Roman" w:eastAsia="Calibri" w:hAnsi="Times New Roman" w:cs="Times New Roman"/>
                <w:sz w:val="24"/>
              </w:rPr>
              <w:t xml:space="preserve"> cap in &gt;1 view without luminal compromise) </w:t>
            </w:r>
            <w:r w:rsidR="00AC5F89">
              <w:rPr>
                <w:rFonts w:ascii="Times New Roman" w:eastAsia="Calibri" w:hAnsi="Times New Roman" w:cs="Times New Roman"/>
                <w:sz w:val="24"/>
              </w:rPr>
              <w:t>[10, 11]</w:t>
            </w:r>
          </w:p>
        </w:tc>
        <w:tc>
          <w:tcPr>
            <w:tcW w:w="1072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Present</w:t>
            </w:r>
          </w:p>
        </w:tc>
        <w:tc>
          <w:tcPr>
            <w:tcW w:w="1004" w:type="dxa"/>
            <w:gridSpan w:val="5"/>
            <w:tcBorders>
              <w:bottom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Absent</w:t>
            </w:r>
          </w:p>
        </w:tc>
        <w:tc>
          <w:tcPr>
            <w:tcW w:w="162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eastAsia="Calibri" w:hAnsi="Times New Roman" w:cs="Times New Roman"/>
                <w:sz w:val="24"/>
              </w:rPr>
              <w:t>Undetermined</w:t>
            </w:r>
          </w:p>
        </w:tc>
      </w:tr>
    </w:tbl>
    <w:p w:rsidR="00EC739D" w:rsidRPr="00A04201" w:rsidRDefault="00EC739D" w:rsidP="00A04201">
      <w:pPr>
        <w:rPr>
          <w:rFonts w:ascii="Times New Roman" w:hAnsi="Times New Roman" w:cs="Times New Roman"/>
        </w:rPr>
      </w:pPr>
      <w:r w:rsidRPr="00A04201">
        <w:rPr>
          <w:rFonts w:ascii="Times New Roman" w:hAnsi="Times New Roman" w:cs="Times New Roman"/>
        </w:rPr>
        <w:t xml:space="preserve">LM </w:t>
      </w:r>
      <w:r w:rsidR="00AC5F89">
        <w:rPr>
          <w:rFonts w:ascii="Times New Roman" w:hAnsi="Times New Roman" w:cs="Times New Roman"/>
        </w:rPr>
        <w:t>—</w:t>
      </w:r>
      <w:r w:rsidRPr="00A04201">
        <w:rPr>
          <w:rFonts w:ascii="Times New Roman" w:hAnsi="Times New Roman" w:cs="Times New Roman"/>
        </w:rPr>
        <w:t xml:space="preserve"> </w:t>
      </w:r>
      <w:r w:rsidR="00AC5F89" w:rsidRPr="00A04201">
        <w:rPr>
          <w:rFonts w:ascii="Times New Roman" w:hAnsi="Times New Roman" w:cs="Times New Roman"/>
        </w:rPr>
        <w:t>left main coronary artery</w:t>
      </w:r>
      <w:r w:rsidR="00AC5F89">
        <w:rPr>
          <w:rFonts w:ascii="Times New Roman" w:hAnsi="Times New Roman" w:cs="Times New Roman"/>
        </w:rPr>
        <w:t>;</w:t>
      </w:r>
      <w:r w:rsidRPr="00A04201">
        <w:rPr>
          <w:rFonts w:ascii="Times New Roman" w:hAnsi="Times New Roman" w:cs="Times New Roman"/>
        </w:rPr>
        <w:t xml:space="preserve"> LAD </w:t>
      </w:r>
      <w:r w:rsidR="00AC5F89">
        <w:rPr>
          <w:rFonts w:ascii="Times New Roman" w:hAnsi="Times New Roman" w:cs="Times New Roman"/>
        </w:rPr>
        <w:t>—</w:t>
      </w:r>
      <w:r w:rsidRPr="00A04201">
        <w:rPr>
          <w:rFonts w:ascii="Times New Roman" w:hAnsi="Times New Roman" w:cs="Times New Roman"/>
        </w:rPr>
        <w:t xml:space="preserve"> </w:t>
      </w:r>
      <w:r w:rsidR="00AC5F89" w:rsidRPr="00A04201">
        <w:rPr>
          <w:rFonts w:ascii="Times New Roman" w:hAnsi="Times New Roman" w:cs="Times New Roman"/>
        </w:rPr>
        <w:t>left anterior descending artery</w:t>
      </w:r>
      <w:r w:rsidR="00AC5F89">
        <w:rPr>
          <w:rFonts w:ascii="Times New Roman" w:hAnsi="Times New Roman" w:cs="Times New Roman"/>
        </w:rPr>
        <w:t>;</w:t>
      </w:r>
      <w:r w:rsidRPr="00A04201">
        <w:rPr>
          <w:rFonts w:ascii="Times New Roman" w:hAnsi="Times New Roman" w:cs="Times New Roman"/>
        </w:rPr>
        <w:t xml:space="preserve"> RCA </w:t>
      </w:r>
      <w:r w:rsidR="00AC5F89">
        <w:rPr>
          <w:rFonts w:ascii="Times New Roman" w:hAnsi="Times New Roman" w:cs="Times New Roman"/>
        </w:rPr>
        <w:t>—</w:t>
      </w:r>
      <w:r w:rsidRPr="00A04201">
        <w:rPr>
          <w:rFonts w:ascii="Times New Roman" w:hAnsi="Times New Roman" w:cs="Times New Roman"/>
        </w:rPr>
        <w:t xml:space="preserve"> </w:t>
      </w:r>
      <w:r w:rsidR="00AC5F89" w:rsidRPr="00A04201">
        <w:rPr>
          <w:rFonts w:ascii="Times New Roman" w:hAnsi="Times New Roman" w:cs="Times New Roman"/>
        </w:rPr>
        <w:t>right coronary artery</w:t>
      </w:r>
      <w:r w:rsidR="00AC5F89">
        <w:rPr>
          <w:rFonts w:ascii="Times New Roman" w:hAnsi="Times New Roman" w:cs="Times New Roman"/>
        </w:rPr>
        <w:t>;</w:t>
      </w:r>
      <w:r w:rsidRPr="00A04201">
        <w:rPr>
          <w:rFonts w:ascii="Times New Roman" w:hAnsi="Times New Roman" w:cs="Times New Roman"/>
        </w:rPr>
        <w:t xml:space="preserve"> </w:t>
      </w:r>
      <w:proofErr w:type="spellStart"/>
      <w:r w:rsidRPr="00A04201">
        <w:rPr>
          <w:rFonts w:ascii="Times New Roman" w:hAnsi="Times New Roman" w:cs="Times New Roman"/>
        </w:rPr>
        <w:t>LCx</w:t>
      </w:r>
      <w:proofErr w:type="spellEnd"/>
      <w:r w:rsidRPr="00A04201">
        <w:rPr>
          <w:rFonts w:ascii="Times New Roman" w:hAnsi="Times New Roman" w:cs="Times New Roman"/>
        </w:rPr>
        <w:t xml:space="preserve"> </w:t>
      </w:r>
      <w:r w:rsidR="00AC5F89">
        <w:rPr>
          <w:rFonts w:ascii="Times New Roman" w:hAnsi="Times New Roman" w:cs="Times New Roman"/>
        </w:rPr>
        <w:t>— left circumflex artery</w:t>
      </w:r>
    </w:p>
    <w:p w:rsidR="00EC739D" w:rsidRPr="00A04201" w:rsidRDefault="00EC739D" w:rsidP="00A04201">
      <w:pPr>
        <w:rPr>
          <w:rFonts w:ascii="Times New Roman" w:hAnsi="Times New Roman" w:cs="Times New Roman"/>
        </w:rPr>
      </w:pPr>
      <w:r w:rsidRPr="00A04201">
        <w:rPr>
          <w:rFonts w:ascii="Times New Roman" w:hAnsi="Times New Roman" w:cs="Times New Roman"/>
        </w:rPr>
        <w:br w:type="page"/>
      </w:r>
    </w:p>
    <w:p w:rsidR="00EC739D" w:rsidRPr="00A04201" w:rsidRDefault="00EC739D" w:rsidP="00A04201">
      <w:pPr>
        <w:rPr>
          <w:rFonts w:ascii="Times New Roman" w:hAnsi="Times New Roman" w:cs="Times New Roman"/>
          <w:b/>
        </w:rPr>
      </w:pPr>
      <w:r w:rsidRPr="00A04201">
        <w:rPr>
          <w:rFonts w:ascii="Times New Roman" w:hAnsi="Times New Roman" w:cs="Times New Roman"/>
          <w:b/>
        </w:rPr>
        <w:lastRenderedPageBreak/>
        <w:t xml:space="preserve">Supplemental </w:t>
      </w:r>
      <w:r w:rsidR="00ED0256">
        <w:rPr>
          <w:rFonts w:ascii="Times New Roman" w:hAnsi="Times New Roman" w:cs="Times New Roman"/>
          <w:b/>
        </w:rPr>
        <w:t xml:space="preserve">Figure </w:t>
      </w:r>
      <w:r w:rsidRPr="00A04201">
        <w:rPr>
          <w:rFonts w:ascii="Times New Roman" w:hAnsi="Times New Roman" w:cs="Times New Roman"/>
          <w:b/>
        </w:rPr>
        <w:t xml:space="preserve">2. </w:t>
      </w:r>
      <w:r w:rsidRPr="00AC5F89">
        <w:rPr>
          <w:rFonts w:ascii="Times New Roman" w:hAnsi="Times New Roman" w:cs="Times New Roman"/>
        </w:rPr>
        <w:t>Ambrose Scoring System</w:t>
      </w:r>
      <w:r w:rsidR="00AC5F89" w:rsidRPr="00AC5F89">
        <w:rPr>
          <w:rFonts w:ascii="Times New Roman" w:hAnsi="Times New Roman" w:cs="Times New Roman"/>
        </w:rPr>
        <w:t xml:space="preserve"> [3, 4]</w:t>
      </w:r>
      <w:r w:rsidRPr="00AC5F89">
        <w:rPr>
          <w:rFonts w:ascii="Times New Roman" w:hAnsi="Times New Roman" w:cs="Times New Roman"/>
        </w:rPr>
        <w:t>: Coronary Angiography Scoring Definitions and Guidelines</w:t>
      </w:r>
      <w:r w:rsidR="00AC5F89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80" w:rightFromText="180" w:vertAnchor="text" w:horzAnchor="margin" w:tblpY="17"/>
        <w:tblOverlap w:val="never"/>
        <w:tblW w:w="89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114"/>
      </w:tblGrid>
      <w:tr w:rsidR="00EC739D" w:rsidRPr="00A04201" w:rsidTr="00A04201">
        <w:trPr>
          <w:trHeight w:val="368"/>
        </w:trPr>
        <w:tc>
          <w:tcPr>
            <w:tcW w:w="4788" w:type="dxa"/>
            <w:vMerge w:val="restart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noProof/>
                <w:lang w:val="pl-PL" w:eastAsia="pl-PL"/>
              </w:rPr>
              <w:drawing>
                <wp:inline distT="0" distB="0" distL="0" distR="0" wp14:anchorId="4A2978F3" wp14:editId="3411E8EE">
                  <wp:extent cx="2886075" cy="61386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rose Morphology 199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613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739D" w:rsidRPr="00A04201" w:rsidRDefault="00EC739D" w:rsidP="00AC5F89">
            <w:pPr>
              <w:pStyle w:val="EndNoteBibliography"/>
              <w:spacing w:before="240" w:line="240" w:lineRule="auto"/>
              <w:rPr>
                <w:sz w:val="24"/>
              </w:rPr>
            </w:pPr>
            <w:r w:rsidRPr="00A04201">
              <w:rPr>
                <w:sz w:val="24"/>
              </w:rPr>
              <w:t>Source: Ambrose J</w:t>
            </w:r>
            <w:r w:rsidR="00AC5F89">
              <w:rPr>
                <w:sz w:val="24"/>
              </w:rPr>
              <w:t>,</w:t>
            </w:r>
            <w:r w:rsidRPr="00A04201">
              <w:rPr>
                <w:sz w:val="24"/>
              </w:rPr>
              <w:t xml:space="preserve"> Israel D. </w:t>
            </w:r>
            <w:r w:rsidRPr="00AC5F89">
              <w:rPr>
                <w:sz w:val="24"/>
              </w:rPr>
              <w:t>Am</w:t>
            </w:r>
            <w:r w:rsidR="00AC5F89">
              <w:rPr>
                <w:sz w:val="24"/>
              </w:rPr>
              <w:t xml:space="preserve"> </w:t>
            </w:r>
            <w:r w:rsidRPr="00AC5F89">
              <w:rPr>
                <w:sz w:val="24"/>
              </w:rPr>
              <w:t>J</w:t>
            </w:r>
            <w:r w:rsidR="00AC5F89">
              <w:rPr>
                <w:sz w:val="24"/>
              </w:rPr>
              <w:t xml:space="preserve"> </w:t>
            </w:r>
            <w:r w:rsidRPr="00AC5F89">
              <w:rPr>
                <w:sz w:val="24"/>
              </w:rPr>
              <w:t>Cardiol</w:t>
            </w:r>
            <w:r w:rsidR="00AC5F89">
              <w:rPr>
                <w:sz w:val="24"/>
              </w:rPr>
              <w:t>,</w:t>
            </w:r>
            <w:r w:rsidRPr="00AC5F89">
              <w:rPr>
                <w:sz w:val="24"/>
              </w:rPr>
              <w:t xml:space="preserve"> </w:t>
            </w:r>
            <w:r w:rsidRPr="00A04201">
              <w:rPr>
                <w:sz w:val="24"/>
              </w:rPr>
              <w:t>1991;</w:t>
            </w:r>
            <w:r w:rsidR="00AC5F89">
              <w:rPr>
                <w:sz w:val="24"/>
              </w:rPr>
              <w:t xml:space="preserve"> </w:t>
            </w:r>
            <w:r w:rsidRPr="00A04201">
              <w:rPr>
                <w:sz w:val="24"/>
              </w:rPr>
              <w:t>68:</w:t>
            </w:r>
            <w:r w:rsidR="00AC5F89">
              <w:rPr>
                <w:sz w:val="24"/>
              </w:rPr>
              <w:t xml:space="preserve"> </w:t>
            </w:r>
            <w:r w:rsidRPr="00A04201">
              <w:rPr>
                <w:sz w:val="24"/>
              </w:rPr>
              <w:t>78B</w:t>
            </w:r>
            <w:r w:rsidR="00AC5F89">
              <w:rPr>
                <w:sz w:val="24"/>
              </w:rPr>
              <w:t>–</w:t>
            </w:r>
            <w:r w:rsidRPr="00A04201">
              <w:rPr>
                <w:sz w:val="24"/>
              </w:rPr>
              <w:t>84B</w:t>
            </w:r>
          </w:p>
        </w:tc>
        <w:tc>
          <w:tcPr>
            <w:tcW w:w="4114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>Definitions</w:t>
            </w:r>
          </w:p>
        </w:tc>
      </w:tr>
      <w:tr w:rsidR="00EC739D" w:rsidRPr="00A04201" w:rsidTr="00A04201">
        <w:trPr>
          <w:trHeight w:val="3860"/>
        </w:trPr>
        <w:tc>
          <w:tcPr>
            <w:tcW w:w="4788" w:type="dxa"/>
            <w:vMerge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4" w:type="dxa"/>
          </w:tcPr>
          <w:p w:rsidR="00EC739D" w:rsidRPr="00A04201" w:rsidRDefault="00EC739D" w:rsidP="00A04201">
            <w:pPr>
              <w:pStyle w:val="Bezodstpw"/>
              <w:spacing w:before="240"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Complex Lesions (ACS like lesions)</w:t>
            </w:r>
            <w:r w:rsidRPr="00A04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4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C739D" w:rsidRPr="00A04201" w:rsidRDefault="00EC739D" w:rsidP="00A04201">
            <w:pPr>
              <w:pStyle w:val="Bezodstpw"/>
              <w:numPr>
                <w:ilvl w:val="0"/>
                <w:numId w:val="39"/>
              </w:numPr>
              <w:ind w:left="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1">
              <w:rPr>
                <w:rFonts w:ascii="Times New Roman" w:hAnsi="Times New Roman" w:cs="Times New Roman"/>
                <w:sz w:val="24"/>
                <w:szCs w:val="24"/>
              </w:rPr>
              <w:t xml:space="preserve">Irregular ragged borders and intraluminal </w:t>
            </w:r>
            <w:proofErr w:type="spellStart"/>
            <w:r w:rsidRPr="00A04201">
              <w:rPr>
                <w:rFonts w:ascii="Times New Roman" w:hAnsi="Times New Roman" w:cs="Times New Roman"/>
                <w:sz w:val="24"/>
                <w:szCs w:val="24"/>
              </w:rPr>
              <w:t>lucency</w:t>
            </w:r>
            <w:proofErr w:type="spellEnd"/>
          </w:p>
          <w:p w:rsidR="00EC739D" w:rsidRPr="00AC5F89" w:rsidRDefault="00EC739D" w:rsidP="00443D6C">
            <w:pPr>
              <w:pStyle w:val="Bezodstpw"/>
              <w:numPr>
                <w:ilvl w:val="0"/>
                <w:numId w:val="39"/>
              </w:numPr>
              <w:ind w:left="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1">
              <w:rPr>
                <w:rFonts w:ascii="Times New Roman" w:hAnsi="Times New Roman" w:cs="Times New Roman"/>
                <w:sz w:val="24"/>
                <w:szCs w:val="24"/>
              </w:rPr>
              <w:t>Eccentric, with a narrow neck, overhanging edges or irregular borders</w:t>
            </w:r>
          </w:p>
        </w:tc>
      </w:tr>
      <w:tr w:rsidR="00EC739D" w:rsidRPr="00A04201" w:rsidTr="00A04201">
        <w:trPr>
          <w:trHeight w:val="6200"/>
        </w:trPr>
        <w:tc>
          <w:tcPr>
            <w:tcW w:w="4788" w:type="dxa"/>
            <w:vMerge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4" w:type="dxa"/>
          </w:tcPr>
          <w:p w:rsidR="00EC739D" w:rsidRPr="00A04201" w:rsidRDefault="00EC739D" w:rsidP="00A04201">
            <w:pPr>
              <w:pStyle w:val="Bezodstpw"/>
              <w:spacing w:before="240" w:after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42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Simple Lesions</w:t>
            </w:r>
            <w:r w:rsidRPr="00A04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739D" w:rsidRPr="00A04201" w:rsidRDefault="00EC739D" w:rsidP="00443D6C">
            <w:pPr>
              <w:pStyle w:val="Bezodstpw"/>
              <w:numPr>
                <w:ilvl w:val="0"/>
                <w:numId w:val="39"/>
              </w:numPr>
              <w:ind w:left="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1">
              <w:rPr>
                <w:rFonts w:ascii="Times New Roman" w:hAnsi="Times New Roman" w:cs="Times New Roman"/>
                <w:sz w:val="24"/>
                <w:szCs w:val="24"/>
              </w:rPr>
              <w:t>Stenosis with smooth borders without evidence or any complex features</w:t>
            </w:r>
            <w:bookmarkStart w:id="0" w:name="_GoBack"/>
            <w:bookmarkEnd w:id="0"/>
          </w:p>
        </w:tc>
      </w:tr>
    </w:tbl>
    <w:p w:rsidR="00EC739D" w:rsidRPr="00A04201" w:rsidRDefault="00EC739D" w:rsidP="00A04201">
      <w:pPr>
        <w:rPr>
          <w:rFonts w:ascii="Times New Roman" w:hAnsi="Times New Roman" w:cs="Times New Roman"/>
          <w:vertAlign w:val="superscript"/>
        </w:rPr>
      </w:pPr>
      <w:r w:rsidRPr="00A04201">
        <w:rPr>
          <w:rFonts w:ascii="Times New Roman" w:hAnsi="Times New Roman" w:cs="Times New Roman"/>
          <w:vertAlign w:val="superscript"/>
        </w:rPr>
        <w:br w:type="textWrapping" w:clear="all"/>
      </w:r>
    </w:p>
    <w:p w:rsidR="00EC739D" w:rsidRPr="00A04201" w:rsidRDefault="00EC739D" w:rsidP="00A04201">
      <w:pPr>
        <w:rPr>
          <w:rFonts w:ascii="Times New Roman" w:hAnsi="Times New Roman" w:cs="Times New Roman"/>
          <w:b/>
        </w:rPr>
      </w:pPr>
      <w:r w:rsidRPr="00A04201">
        <w:rPr>
          <w:rFonts w:ascii="Times New Roman" w:hAnsi="Times New Roman" w:cs="Times New Roman"/>
          <w:b/>
        </w:rPr>
        <w:br w:type="page"/>
      </w:r>
    </w:p>
    <w:p w:rsidR="00EC739D" w:rsidRPr="00A04201" w:rsidRDefault="00EC739D" w:rsidP="00A04201">
      <w:pPr>
        <w:pStyle w:val="Bezodstpw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CA"/>
        </w:rPr>
      </w:pPr>
      <w:r w:rsidRPr="00A042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ED025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A042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C5F89">
        <w:rPr>
          <w:rFonts w:ascii="Times New Roman" w:hAnsi="Times New Roman" w:cs="Times New Roman"/>
          <w:sz w:val="24"/>
          <w:szCs w:val="24"/>
        </w:rPr>
        <w:t>29-segment</w:t>
      </w:r>
      <w:r w:rsidRPr="00AC5F8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CA"/>
        </w:rPr>
        <w:t xml:space="preserve"> coronary artery map with the addition of branch segments of large diagonal or obtuse marginal vessels, and the ramus </w:t>
      </w:r>
      <w:proofErr w:type="spellStart"/>
      <w:r w:rsidRPr="00AC5F8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CA"/>
        </w:rPr>
        <w:t>intermedius</w:t>
      </w:r>
      <w:proofErr w:type="spellEnd"/>
      <w:r w:rsidRPr="00AC5F8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CA"/>
        </w:rPr>
        <w:t xml:space="preserve"> branch</w:t>
      </w:r>
      <w:r w:rsidR="00AC5F89" w:rsidRPr="00AC5F89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CA"/>
        </w:rPr>
        <w:t xml:space="preserve"> [2].</w:t>
      </w:r>
    </w:p>
    <w:tbl>
      <w:tblPr>
        <w:tblStyle w:val="Tabela-Siatka"/>
        <w:tblW w:w="97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6"/>
        <w:gridCol w:w="2262"/>
        <w:gridCol w:w="1136"/>
        <w:gridCol w:w="90"/>
        <w:gridCol w:w="1620"/>
        <w:gridCol w:w="1980"/>
        <w:gridCol w:w="1980"/>
      </w:tblGrid>
      <w:tr w:rsidR="00EC739D" w:rsidRPr="00A04201" w:rsidTr="00A04201">
        <w:trPr>
          <w:trHeight w:val="288"/>
        </w:trPr>
        <w:tc>
          <w:tcPr>
            <w:tcW w:w="403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pStyle w:val="NormalnyWeb"/>
              <w:kinsoku w:val="0"/>
              <w:overflowPunct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4"/>
              </w:rPr>
            </w:pPr>
            <w:r w:rsidRPr="00A04201">
              <w:rPr>
                <w:b/>
                <w:bCs/>
                <w:color w:val="000000" w:themeColor="text1"/>
                <w:kern w:val="24"/>
                <w:sz w:val="24"/>
              </w:rPr>
              <w:t xml:space="preserve">Right </w:t>
            </w:r>
            <w:r w:rsidR="00AC5F89" w:rsidRPr="00A04201">
              <w:rPr>
                <w:b/>
                <w:bCs/>
                <w:color w:val="000000" w:themeColor="text1"/>
                <w:kern w:val="24"/>
                <w:sz w:val="24"/>
              </w:rPr>
              <w:t>coronary artery</w:t>
            </w:r>
          </w:p>
        </w:tc>
        <w:tc>
          <w:tcPr>
            <w:tcW w:w="5670" w:type="dxa"/>
            <w:gridSpan w:val="4"/>
            <w:vMerge w:val="restart"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pStyle w:val="NormalnyWeb"/>
              <w:kinsoku w:val="0"/>
              <w:overflowPunct w:val="0"/>
              <w:spacing w:before="0" w:after="0"/>
              <w:rPr>
                <w:noProof/>
                <w:sz w:val="24"/>
              </w:rPr>
            </w:pPr>
            <w:r w:rsidRPr="00A04201">
              <w:rPr>
                <w:noProof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 wp14:anchorId="2E21C675" wp14:editId="60C741BB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1188085</wp:posOffset>
                  </wp:positionV>
                  <wp:extent cx="3057525" cy="3593312"/>
                  <wp:effectExtent l="0" t="0" r="0" b="7620"/>
                  <wp:wrapNone/>
                  <wp:docPr id="7" name="Picture 7" descr="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5933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Proximal RCA conduit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Mid-RCA conduit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Distal RCA conduit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RPDA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RPA 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First RPL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Second RPL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Third RPL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Inferior septal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AM segment(s)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403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pStyle w:val="NormalnyWeb"/>
              <w:kinsoku w:val="0"/>
              <w:overflowPunct w:val="0"/>
              <w:spacing w:before="0" w:beforeAutospacing="0" w:after="0" w:afterAutospacing="0"/>
              <w:jc w:val="center"/>
              <w:rPr>
                <w:b/>
                <w:sz w:val="24"/>
              </w:rPr>
            </w:pPr>
            <w:r w:rsidRPr="00A04201">
              <w:rPr>
                <w:b/>
                <w:bCs/>
                <w:color w:val="000000" w:themeColor="text1"/>
                <w:kern w:val="24"/>
                <w:sz w:val="24"/>
              </w:rPr>
              <w:t xml:space="preserve">Left </w:t>
            </w:r>
            <w:r w:rsidR="00AC5F89" w:rsidRPr="00A04201">
              <w:rPr>
                <w:b/>
                <w:bCs/>
                <w:color w:val="000000" w:themeColor="text1"/>
                <w:kern w:val="24"/>
                <w:sz w:val="24"/>
              </w:rPr>
              <w:t>coronary artery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pStyle w:val="NormalnyWeb"/>
              <w:kinsoku w:val="0"/>
              <w:overflowPunct w:val="0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9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pStyle w:val="NormalnyWeb"/>
              <w:kinsoku w:val="0"/>
              <w:overflowPunct w:val="0"/>
              <w:spacing w:before="0" w:beforeAutospacing="0" w:after="0" w:afterAutospacing="0"/>
              <w:rPr>
                <w:sz w:val="24"/>
              </w:rPr>
            </w:pPr>
            <w:r w:rsidRPr="00A04201">
              <w:rPr>
                <w:sz w:val="24"/>
              </w:rPr>
              <w:t>LMCA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pStyle w:val="NormalnyWeb"/>
              <w:kinsoku w:val="0"/>
              <w:overflowPunct w:val="0"/>
              <w:spacing w:before="0" w:beforeAutospacing="0" w:after="0" w:afterAutospacing="0"/>
              <w:rPr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Proximal LAD segment 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Mid-LAD segment 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Distal LAD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Lateral first diagonal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Lateral second diagonal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LAD septal perforator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Proximal </w:t>
            </w:r>
            <w:proofErr w:type="spellStart"/>
            <w:r w:rsidRPr="00A04201"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 w:rsidRPr="00A04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Mid-</w:t>
            </w:r>
            <w:proofErr w:type="spellStart"/>
            <w:r w:rsidRPr="00A04201"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 w:rsidRPr="00A04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19.1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Distal </w:t>
            </w:r>
            <w:proofErr w:type="spellStart"/>
            <w:r w:rsidRPr="00A04201"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 w:rsidRPr="00A04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First OM segment 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Second OM segment 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Third OM segment 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4201">
              <w:rPr>
                <w:rFonts w:ascii="Times New Roman" w:hAnsi="Times New Roman" w:cs="Times New Roman"/>
                <w:sz w:val="24"/>
              </w:rPr>
              <w:t>Cx</w:t>
            </w:r>
            <w:proofErr w:type="spellEnd"/>
            <w:r w:rsidRPr="00A04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AV groove continuation segment 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First </w:t>
            </w:r>
            <w:r w:rsidRPr="00A04201">
              <w:rPr>
                <w:rFonts w:ascii="Times New Roman" w:hAnsi="Times New Roman" w:cs="Times New Roman"/>
                <w:sz w:val="24"/>
              </w:rPr>
              <w:t xml:space="preserve">LPL </w:t>
            </w: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Second </w:t>
            </w:r>
            <w:r w:rsidRPr="00A04201">
              <w:rPr>
                <w:rFonts w:ascii="Times New Roman" w:hAnsi="Times New Roman" w:cs="Times New Roman"/>
                <w:sz w:val="24"/>
              </w:rPr>
              <w:t xml:space="preserve">LPL </w:t>
            </w: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Third </w:t>
            </w:r>
            <w:r w:rsidRPr="00A04201">
              <w:rPr>
                <w:rFonts w:ascii="Times New Roman" w:hAnsi="Times New Roman" w:cs="Times New Roman"/>
                <w:sz w:val="24"/>
              </w:rPr>
              <w:t xml:space="preserve">LPL </w:t>
            </w: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 xml:space="preserve">LPL </w:t>
            </w: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 xml:space="preserve">descending artery segment 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pStyle w:val="NormalnyWeb"/>
              <w:kinsoku w:val="0"/>
              <w:overflowPunct w:val="0"/>
              <w:spacing w:before="0" w:beforeAutospacing="0" w:after="0" w:afterAutospacing="0"/>
              <w:rPr>
                <w:sz w:val="24"/>
              </w:rPr>
            </w:pPr>
            <w:r w:rsidRPr="00A04201">
              <w:rPr>
                <w:color w:val="000000" w:themeColor="text1"/>
                <w:kern w:val="24"/>
                <w:sz w:val="24"/>
              </w:rPr>
              <w:t xml:space="preserve">Ramus </w:t>
            </w:r>
            <w:proofErr w:type="spellStart"/>
            <w:r w:rsidRPr="00A04201">
              <w:rPr>
                <w:color w:val="000000" w:themeColor="text1"/>
                <w:kern w:val="24"/>
                <w:sz w:val="24"/>
              </w:rPr>
              <w:t>intermedius</w:t>
            </w:r>
            <w:proofErr w:type="spellEnd"/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</w:tcBorders>
          </w:tcPr>
          <w:p w:rsidR="00EC739D" w:rsidRPr="00A04201" w:rsidRDefault="00EC739D" w:rsidP="00A04201">
            <w:pPr>
              <w:pStyle w:val="NormalnyWeb"/>
              <w:kinsoku w:val="0"/>
              <w:overflowPunct w:val="0"/>
              <w:spacing w:before="0" w:beforeAutospacing="0" w:after="0" w:afterAutospacing="0"/>
              <w:rPr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288"/>
        </w:trPr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sz w:val="24"/>
              </w:rPr>
            </w:pPr>
            <w:r w:rsidRPr="00A04201"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Third diagonal segment</w:t>
            </w:r>
          </w:p>
        </w:tc>
        <w:tc>
          <w:tcPr>
            <w:tcW w:w="567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739D" w:rsidRPr="00A04201" w:rsidRDefault="00EC739D" w:rsidP="00A04201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</w:p>
        </w:tc>
      </w:tr>
      <w:tr w:rsidR="00EC739D" w:rsidRPr="00A04201" w:rsidTr="00A04201">
        <w:trPr>
          <w:trHeight w:val="432"/>
        </w:trPr>
        <w:tc>
          <w:tcPr>
            <w:tcW w:w="289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 xml:space="preserve">Coronary </w:t>
            </w:r>
            <w:r w:rsidR="00AC5F89"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A04201">
              <w:rPr>
                <w:rFonts w:ascii="Times New Roman" w:hAnsi="Times New Roman" w:cs="Times New Roman"/>
                <w:b/>
                <w:sz w:val="24"/>
              </w:rPr>
              <w:t>essels</w:t>
            </w:r>
          </w:p>
        </w:tc>
        <w:tc>
          <w:tcPr>
            <w:tcW w:w="12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>LMCA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>LAD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739D" w:rsidRPr="00A04201" w:rsidRDefault="00B950AC" w:rsidP="00A0420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  <w:r w:rsidR="00EC739D" w:rsidRPr="00A04201">
              <w:rPr>
                <w:rFonts w:ascii="Times New Roman" w:hAnsi="Times New Roman" w:cs="Times New Roman"/>
                <w:b/>
                <w:sz w:val="24"/>
              </w:rPr>
              <w:t>Cx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>RCA</w:t>
            </w:r>
          </w:p>
        </w:tc>
      </w:tr>
      <w:tr w:rsidR="00EC739D" w:rsidRPr="00A04201" w:rsidTr="00A04201">
        <w:trPr>
          <w:trHeight w:val="432"/>
        </w:trPr>
        <w:tc>
          <w:tcPr>
            <w:tcW w:w="2898" w:type="dxa"/>
            <w:gridSpan w:val="2"/>
            <w:tcBorders>
              <w:top w:val="single" w:sz="18" w:space="0" w:color="auto"/>
            </w:tcBorders>
            <w:vAlign w:val="center"/>
          </w:tcPr>
          <w:p w:rsidR="00EC739D" w:rsidRPr="00A04201" w:rsidRDefault="00EC739D" w:rsidP="00AC5F89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b/>
                <w:sz w:val="24"/>
              </w:rPr>
              <w:t xml:space="preserve">Segment </w:t>
            </w:r>
            <w:r w:rsidR="00AC5F89" w:rsidRPr="00A04201">
              <w:rPr>
                <w:rFonts w:ascii="Times New Roman" w:hAnsi="Times New Roman" w:cs="Times New Roman"/>
                <w:b/>
                <w:sz w:val="24"/>
              </w:rPr>
              <w:t>numbers corresponding to lesions</w:t>
            </w:r>
          </w:p>
        </w:tc>
        <w:tc>
          <w:tcPr>
            <w:tcW w:w="1226" w:type="dxa"/>
            <w:gridSpan w:val="2"/>
            <w:tcBorders>
              <w:top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12, 13, 14, 15, 16, 17, 28, 29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5, 6, 7, 8, 18, 19, 19.1, 20, 21, 22, 23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EC739D" w:rsidRPr="00A04201" w:rsidRDefault="00EC739D" w:rsidP="00A0420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</w:pPr>
            <w:r w:rsidRPr="00A04201">
              <w:rPr>
                <w:rFonts w:ascii="Times New Roman" w:hAnsi="Times New Roman" w:cs="Times New Roman"/>
                <w:sz w:val="24"/>
              </w:rPr>
              <w:t>1, 2, 3, 4, 9, 10, 24, 25, 26, 27</w:t>
            </w:r>
          </w:p>
        </w:tc>
      </w:tr>
    </w:tbl>
    <w:p w:rsidR="00EC739D" w:rsidRPr="00A04201" w:rsidRDefault="00AC5F89" w:rsidP="00A04201">
      <w:pPr>
        <w:rPr>
          <w:rFonts w:ascii="Times New Roman" w:hAnsi="Times New Roman" w:cs="Times New Roman"/>
          <w:color w:val="000000" w:themeColor="text1"/>
          <w:kern w:val="24"/>
        </w:rPr>
      </w:pPr>
      <w:r>
        <w:rPr>
          <w:rFonts w:ascii="Times New Roman" w:hAnsi="Times New Roman" w:cs="Times New Roman"/>
        </w:rPr>
        <w:t xml:space="preserve">AM — </w:t>
      </w:r>
      <w:r w:rsidRPr="00A04201">
        <w:rPr>
          <w:rFonts w:ascii="Times New Roman" w:hAnsi="Times New Roman" w:cs="Times New Roman"/>
        </w:rPr>
        <w:t>acute marginal</w:t>
      </w:r>
      <w:r>
        <w:rPr>
          <w:rFonts w:ascii="Times New Roman" w:hAnsi="Times New Roman" w:cs="Times New Roman"/>
        </w:rPr>
        <w:t xml:space="preserve">; CX — </w:t>
      </w:r>
      <w:r w:rsidRPr="00A04201">
        <w:rPr>
          <w:rFonts w:ascii="Times New Roman" w:hAnsi="Times New Roman" w:cs="Times New Roman"/>
        </w:rPr>
        <w:t>circumflex artery</w:t>
      </w:r>
      <w:r>
        <w:rPr>
          <w:rFonts w:ascii="Times New Roman" w:hAnsi="Times New Roman" w:cs="Times New Roman"/>
        </w:rPr>
        <w:t xml:space="preserve">; LAD — </w:t>
      </w:r>
      <w:r w:rsidRPr="00A04201">
        <w:rPr>
          <w:rFonts w:ascii="Times New Roman" w:hAnsi="Times New Roman" w:cs="Times New Roman"/>
        </w:rPr>
        <w:t>left anterior descending artery</w:t>
      </w:r>
      <w:r>
        <w:rPr>
          <w:rFonts w:ascii="Times New Roman" w:hAnsi="Times New Roman" w:cs="Times New Roman"/>
        </w:rPr>
        <w:t xml:space="preserve">; LMCA — </w:t>
      </w:r>
      <w:r w:rsidRPr="00A04201">
        <w:rPr>
          <w:rFonts w:ascii="Times New Roman" w:hAnsi="Times New Roman" w:cs="Times New Roman"/>
        </w:rPr>
        <w:t>left main coronary artery</w:t>
      </w:r>
      <w:r>
        <w:rPr>
          <w:rFonts w:ascii="Times New Roman" w:hAnsi="Times New Roman" w:cs="Times New Roman"/>
        </w:rPr>
        <w:t>;</w:t>
      </w:r>
      <w:r w:rsidRPr="00A04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LPL — </w:t>
      </w:r>
      <w:r w:rsidRPr="00A04201">
        <w:rPr>
          <w:rFonts w:ascii="Times New Roman" w:hAnsi="Times New Roman" w:cs="Times New Roman"/>
        </w:rPr>
        <w:t>left posterolateral</w:t>
      </w:r>
      <w:r>
        <w:rPr>
          <w:rFonts w:ascii="Times New Roman" w:hAnsi="Times New Roman" w:cs="Times New Roman"/>
        </w:rPr>
        <w:t>; OM —</w:t>
      </w:r>
      <w:r w:rsidRPr="00A04201">
        <w:rPr>
          <w:rFonts w:ascii="Times New Roman" w:hAnsi="Times New Roman" w:cs="Times New Roman"/>
        </w:rPr>
        <w:t xml:space="preserve"> </w:t>
      </w:r>
      <w:r w:rsidRPr="00A04201">
        <w:rPr>
          <w:rFonts w:ascii="Times New Roman" w:hAnsi="Times New Roman" w:cs="Times New Roman"/>
          <w:color w:val="000000" w:themeColor="text1"/>
          <w:kern w:val="24"/>
        </w:rPr>
        <w:t>obtuse marginal</w:t>
      </w:r>
      <w:r>
        <w:rPr>
          <w:rFonts w:ascii="Times New Roman" w:hAnsi="Times New Roman" w:cs="Times New Roman"/>
          <w:color w:val="000000" w:themeColor="text1"/>
          <w:kern w:val="24"/>
        </w:rPr>
        <w:t>; RCA —</w:t>
      </w:r>
      <w:r w:rsidRPr="00A04201">
        <w:rPr>
          <w:rFonts w:ascii="Times New Roman" w:hAnsi="Times New Roman" w:cs="Times New Roman"/>
        </w:rPr>
        <w:t xml:space="preserve"> right </w:t>
      </w:r>
      <w:r w:rsidRPr="00A04201">
        <w:rPr>
          <w:rFonts w:ascii="Times New Roman" w:hAnsi="Times New Roman" w:cs="Times New Roman"/>
        </w:rPr>
        <w:lastRenderedPageBreak/>
        <w:t>coronary artery</w:t>
      </w:r>
      <w:r>
        <w:rPr>
          <w:rFonts w:ascii="Times New Roman" w:hAnsi="Times New Roman" w:cs="Times New Roman"/>
        </w:rPr>
        <w:t xml:space="preserve">; RPA — </w:t>
      </w:r>
      <w:r w:rsidRPr="00A04201">
        <w:rPr>
          <w:rFonts w:ascii="Times New Roman" w:hAnsi="Times New Roman" w:cs="Times New Roman"/>
          <w:color w:val="000000" w:themeColor="text1"/>
          <w:kern w:val="24"/>
        </w:rPr>
        <w:t>right posterior atrioventricular segment</w:t>
      </w:r>
      <w:r>
        <w:rPr>
          <w:rFonts w:ascii="Times New Roman" w:hAnsi="Times New Roman" w:cs="Times New Roman"/>
          <w:color w:val="000000" w:themeColor="text1"/>
          <w:kern w:val="24"/>
        </w:rPr>
        <w:t>; RPDA —</w:t>
      </w:r>
      <w:r w:rsidRPr="00A04201">
        <w:rPr>
          <w:rFonts w:ascii="Times New Roman" w:hAnsi="Times New Roman" w:cs="Times New Roman"/>
        </w:rPr>
        <w:t xml:space="preserve"> </w:t>
      </w:r>
      <w:r w:rsidRPr="00A04201">
        <w:rPr>
          <w:rFonts w:ascii="Times New Roman" w:hAnsi="Times New Roman" w:cs="Times New Roman"/>
          <w:color w:val="000000" w:themeColor="text1"/>
          <w:kern w:val="24"/>
        </w:rPr>
        <w:t>right posterior descending artery</w:t>
      </w:r>
      <w:r>
        <w:rPr>
          <w:rFonts w:ascii="Times New Roman" w:hAnsi="Times New Roman" w:cs="Times New Roman"/>
          <w:color w:val="000000" w:themeColor="text1"/>
          <w:kern w:val="24"/>
        </w:rPr>
        <w:t xml:space="preserve">; RPL — </w:t>
      </w:r>
      <w:r w:rsidRPr="00A04201">
        <w:rPr>
          <w:rFonts w:ascii="Times New Roman" w:hAnsi="Times New Roman" w:cs="Times New Roman"/>
          <w:color w:val="000000" w:themeColor="text1"/>
          <w:kern w:val="24"/>
        </w:rPr>
        <w:t>right posterolateral</w:t>
      </w:r>
    </w:p>
    <w:p w:rsidR="00AC5F89" w:rsidRDefault="00AC5F89" w:rsidP="00AC5F89">
      <w:pPr>
        <w:spacing w:line="360" w:lineRule="auto"/>
        <w:rPr>
          <w:rFonts w:ascii="Times New Roman" w:hAnsi="Times New Roman" w:cs="Times New Roman"/>
          <w:b/>
        </w:rPr>
      </w:pPr>
    </w:p>
    <w:p w:rsidR="00AC5F89" w:rsidRDefault="00AC5F89" w:rsidP="00AC5F89">
      <w:pPr>
        <w:spacing w:line="360" w:lineRule="auto"/>
        <w:rPr>
          <w:rFonts w:ascii="Times New Roman" w:hAnsi="Times New Roman" w:cs="Times New Roman"/>
          <w:b/>
        </w:rPr>
      </w:pPr>
    </w:p>
    <w:p w:rsidR="00EC739D" w:rsidRPr="00367AFF" w:rsidRDefault="00EC739D" w:rsidP="00AC5F89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Pr="00367AF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1" w:name="_ENREF_1"/>
      <w:r w:rsidRPr="00B950AC">
        <w:rPr>
          <w:sz w:val="20"/>
          <w:szCs w:val="20"/>
        </w:rPr>
        <w:t>1.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Lipsitz SR, Kim K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Zhao L. Analysis of repeated categorical data using generalized estimating equations. Statistics Med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1994; 13: 1149</w:t>
      </w:r>
      <w:r w:rsidR="00AC5F89" w:rsidRPr="00B950AC">
        <w:rPr>
          <w:sz w:val="20"/>
          <w:szCs w:val="20"/>
        </w:rPr>
        <w:t>–11</w:t>
      </w:r>
      <w:r w:rsidRPr="00B950AC">
        <w:rPr>
          <w:sz w:val="20"/>
          <w:szCs w:val="20"/>
        </w:rPr>
        <w:t>63.</w:t>
      </w:r>
      <w:bookmarkEnd w:id="1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2" w:name="_ENREF_2"/>
      <w:r w:rsidRPr="00B950AC">
        <w:rPr>
          <w:sz w:val="20"/>
          <w:szCs w:val="20"/>
        </w:rPr>
        <w:t>2.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Protocol for the Bypass Angioplasty Revascularization Investigation (BARI). Circulation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1991; 84 (Suppl</w:t>
      </w:r>
      <w:r w:rsidR="00AC5F89" w:rsidRPr="00B950AC">
        <w:rPr>
          <w:sz w:val="20"/>
          <w:szCs w:val="20"/>
        </w:rPr>
        <w:t>.</w:t>
      </w:r>
      <w:r w:rsidRPr="00B950AC">
        <w:rPr>
          <w:sz w:val="20"/>
          <w:szCs w:val="20"/>
        </w:rPr>
        <w:t xml:space="preserve"> V)</w:t>
      </w:r>
      <w:r w:rsidR="00AC5F89" w:rsidRPr="00B950AC">
        <w:rPr>
          <w:sz w:val="20"/>
          <w:szCs w:val="20"/>
        </w:rPr>
        <w:t>:</w:t>
      </w:r>
      <w:r w:rsidRPr="00B950AC">
        <w:rPr>
          <w:sz w:val="20"/>
          <w:szCs w:val="20"/>
        </w:rPr>
        <w:t xml:space="preserve"> V1–V27.</w:t>
      </w:r>
      <w:bookmarkEnd w:id="2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3" w:name="_ENREF_3"/>
      <w:r w:rsidRPr="00B950AC">
        <w:rPr>
          <w:sz w:val="20"/>
          <w:szCs w:val="20"/>
        </w:rPr>
        <w:t>3.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Ambrose JA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Israel DH. Angiography in unstable angina. Am</w:t>
      </w:r>
      <w:r w:rsidR="00AC5F89" w:rsidRPr="00B950AC">
        <w:rPr>
          <w:sz w:val="20"/>
          <w:szCs w:val="20"/>
        </w:rPr>
        <w:t xml:space="preserve"> J C</w:t>
      </w:r>
      <w:r w:rsidRPr="00B950AC">
        <w:rPr>
          <w:sz w:val="20"/>
          <w:szCs w:val="20"/>
        </w:rPr>
        <w:t>ardiol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1991; 68: 78B</w:t>
      </w:r>
      <w:r w:rsidR="00AC5F89" w:rsidRPr="00B950AC">
        <w:rPr>
          <w:sz w:val="20"/>
          <w:szCs w:val="20"/>
        </w:rPr>
        <w:t>–</w:t>
      </w:r>
      <w:r w:rsidRPr="00B950AC">
        <w:rPr>
          <w:sz w:val="20"/>
          <w:szCs w:val="20"/>
        </w:rPr>
        <w:t>84B.</w:t>
      </w:r>
      <w:bookmarkEnd w:id="3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4" w:name="_ENREF_4"/>
      <w:r w:rsidRPr="00B950AC">
        <w:rPr>
          <w:sz w:val="20"/>
          <w:szCs w:val="20"/>
        </w:rPr>
        <w:t>4.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Dangas G, Mehran R, Wallenstein S et al. Correlation of angiographic morphology and clinical presentation in unstable angina. J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Am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Coll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Cardiol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1997; 29: 519</w:t>
      </w:r>
      <w:r w:rsidR="00AC5F89" w:rsidRPr="00B950AC">
        <w:rPr>
          <w:sz w:val="20"/>
          <w:szCs w:val="20"/>
        </w:rPr>
        <w:t>–5</w:t>
      </w:r>
      <w:r w:rsidRPr="00B950AC">
        <w:rPr>
          <w:sz w:val="20"/>
          <w:szCs w:val="20"/>
        </w:rPr>
        <w:t>25.</w:t>
      </w:r>
      <w:bookmarkEnd w:id="4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5" w:name="_ENREF_5"/>
      <w:r w:rsidRPr="00B950AC">
        <w:rPr>
          <w:sz w:val="20"/>
          <w:szCs w:val="20"/>
        </w:rPr>
        <w:t>5.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Gibson CM, Cannon CP, Murphy SA et al. Relationship of the TIMI myocardial perfusion grades, flow grades, frame count, and percutaneous coronary intervention to long-term outcomes after thrombolytic administration in acute myocardial infarction. Circulation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2002; 105: 1909</w:t>
      </w:r>
      <w:r w:rsidR="00AC5F89" w:rsidRPr="00B950AC">
        <w:rPr>
          <w:sz w:val="20"/>
          <w:szCs w:val="20"/>
        </w:rPr>
        <w:t>–19</w:t>
      </w:r>
      <w:r w:rsidRPr="00B950AC">
        <w:rPr>
          <w:sz w:val="20"/>
          <w:szCs w:val="20"/>
        </w:rPr>
        <w:t>13.</w:t>
      </w:r>
      <w:bookmarkEnd w:id="5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6" w:name="_ENREF_6"/>
      <w:r w:rsidRPr="00B950AC">
        <w:rPr>
          <w:sz w:val="20"/>
          <w:szCs w:val="20"/>
        </w:rPr>
        <w:t>6.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Gibson CM, Cannon CP, Murphy SA et al. Relationship of TIMI myocardial perfusion grade to mortality after administration of thrombolytic drugs. Circulation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2000; 101: 125</w:t>
      </w:r>
      <w:r w:rsidR="00AC5F89" w:rsidRPr="00B950AC">
        <w:rPr>
          <w:sz w:val="20"/>
          <w:szCs w:val="20"/>
        </w:rPr>
        <w:t>–1</w:t>
      </w:r>
      <w:r w:rsidRPr="00B950AC">
        <w:rPr>
          <w:sz w:val="20"/>
          <w:szCs w:val="20"/>
        </w:rPr>
        <w:t>30.</w:t>
      </w:r>
      <w:bookmarkEnd w:id="6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7" w:name="_ENREF_7"/>
      <w:r w:rsidRPr="00B950AC">
        <w:rPr>
          <w:sz w:val="20"/>
          <w:szCs w:val="20"/>
        </w:rPr>
        <w:t>7.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Capone G, Wolf NM, Meyer B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Meister SG. Frequency of intracoronary filling defects by angiography in angina pectoris at rest. Am</w:t>
      </w:r>
      <w:r w:rsidR="00AC5F89" w:rsidRPr="00B950AC">
        <w:rPr>
          <w:sz w:val="20"/>
          <w:szCs w:val="20"/>
        </w:rPr>
        <w:t xml:space="preserve"> J C</w:t>
      </w:r>
      <w:r w:rsidRPr="00B950AC">
        <w:rPr>
          <w:sz w:val="20"/>
          <w:szCs w:val="20"/>
        </w:rPr>
        <w:t>ardiol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1985; 56: 403</w:t>
      </w:r>
      <w:r w:rsidR="00AC5F89" w:rsidRPr="00B950AC">
        <w:rPr>
          <w:sz w:val="20"/>
          <w:szCs w:val="20"/>
        </w:rPr>
        <w:t>–40</w:t>
      </w:r>
      <w:r w:rsidRPr="00B950AC">
        <w:rPr>
          <w:sz w:val="20"/>
          <w:szCs w:val="20"/>
        </w:rPr>
        <w:t>6.</w:t>
      </w:r>
      <w:bookmarkEnd w:id="7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8" w:name="_ENREF_8"/>
      <w:r w:rsidRPr="00B950AC">
        <w:rPr>
          <w:sz w:val="20"/>
          <w:szCs w:val="20"/>
        </w:rPr>
        <w:t>8.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Goldstein JA, Demetriou D, Grines CL, Pica M, Shoukfeh M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O</w:t>
      </w:r>
      <w:r w:rsidR="00AC5F89" w:rsidRPr="00B950AC">
        <w:rPr>
          <w:sz w:val="20"/>
          <w:szCs w:val="20"/>
        </w:rPr>
        <w:t>’</w:t>
      </w:r>
      <w:r w:rsidRPr="00B950AC">
        <w:rPr>
          <w:sz w:val="20"/>
          <w:szCs w:val="20"/>
        </w:rPr>
        <w:t>Neill WW. Multiple complex coronary plaques in patients with acute myocardial infarction. New Engl</w:t>
      </w:r>
      <w:r w:rsidR="00AC5F89" w:rsidRPr="00B950AC">
        <w:rPr>
          <w:sz w:val="20"/>
          <w:szCs w:val="20"/>
        </w:rPr>
        <w:t xml:space="preserve"> J M</w:t>
      </w:r>
      <w:r w:rsidRPr="00B950AC">
        <w:rPr>
          <w:sz w:val="20"/>
          <w:szCs w:val="20"/>
        </w:rPr>
        <w:t>ed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2000; 343: 915</w:t>
      </w:r>
      <w:r w:rsidR="00AC5F89" w:rsidRPr="00B950AC">
        <w:rPr>
          <w:sz w:val="20"/>
          <w:szCs w:val="20"/>
        </w:rPr>
        <w:t>–9</w:t>
      </w:r>
      <w:r w:rsidRPr="00B950AC">
        <w:rPr>
          <w:sz w:val="20"/>
          <w:szCs w:val="20"/>
        </w:rPr>
        <w:t>22.</w:t>
      </w:r>
      <w:bookmarkEnd w:id="8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9" w:name="_ENREF_9"/>
      <w:r w:rsidRPr="00B950AC">
        <w:rPr>
          <w:sz w:val="20"/>
          <w:szCs w:val="20"/>
        </w:rPr>
        <w:t>9.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Zack PM, Ischinger T, Aker UT, Dincer B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Kennedy HL. The occurrence of angiographically detected intracoronary thrombus in patients with unstable angina pectoris. Am</w:t>
      </w:r>
      <w:r w:rsidR="00AC5F89" w:rsidRPr="00B950AC">
        <w:rPr>
          <w:sz w:val="20"/>
          <w:szCs w:val="20"/>
        </w:rPr>
        <w:t xml:space="preserve"> H</w:t>
      </w:r>
      <w:r w:rsidRPr="00B950AC">
        <w:rPr>
          <w:sz w:val="20"/>
          <w:szCs w:val="20"/>
        </w:rPr>
        <w:t xml:space="preserve">eart </w:t>
      </w:r>
      <w:r w:rsidR="00AC5F89" w:rsidRPr="00B950AC">
        <w:rPr>
          <w:sz w:val="20"/>
          <w:szCs w:val="20"/>
        </w:rPr>
        <w:t>J,</w:t>
      </w:r>
      <w:r w:rsidRPr="00B950AC">
        <w:rPr>
          <w:sz w:val="20"/>
          <w:szCs w:val="20"/>
        </w:rPr>
        <w:t xml:space="preserve"> 1984; 108: 1408</w:t>
      </w:r>
      <w:r w:rsidR="00AC5F89" w:rsidRPr="00B950AC">
        <w:rPr>
          <w:sz w:val="20"/>
          <w:szCs w:val="20"/>
        </w:rPr>
        <w:t>–14</w:t>
      </w:r>
      <w:r w:rsidRPr="00B950AC">
        <w:rPr>
          <w:sz w:val="20"/>
          <w:szCs w:val="20"/>
        </w:rPr>
        <w:t>12.</w:t>
      </w:r>
      <w:bookmarkEnd w:id="9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10" w:name="_ENREF_10"/>
      <w:r w:rsidRPr="00B950AC">
        <w:rPr>
          <w:sz w:val="20"/>
          <w:szCs w:val="20"/>
        </w:rPr>
        <w:t>10.</w:t>
      </w:r>
      <w:r w:rsidR="00AC5F89" w:rsidRPr="00B950AC">
        <w:rPr>
          <w:sz w:val="20"/>
          <w:szCs w:val="20"/>
        </w:rPr>
        <w:t xml:space="preserve"> </w:t>
      </w:r>
      <w:r w:rsidRPr="00B950AC">
        <w:rPr>
          <w:sz w:val="20"/>
          <w:szCs w:val="20"/>
        </w:rPr>
        <w:t>Ambrose JA, Almeida OD, Sharma SK, Dangas G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Ratner DE. Angiographic evolution of intracoronary thrombus and dissection following percutaneous transluminal coronary angioplasty (the Thrombolysis and Angioplasty in Unstable Angina [TAUSA] trial). Am</w:t>
      </w:r>
      <w:r w:rsidR="00AC5F89" w:rsidRPr="00B950AC">
        <w:rPr>
          <w:sz w:val="20"/>
          <w:szCs w:val="20"/>
        </w:rPr>
        <w:t xml:space="preserve"> J C</w:t>
      </w:r>
      <w:r w:rsidRPr="00B950AC">
        <w:rPr>
          <w:sz w:val="20"/>
          <w:szCs w:val="20"/>
        </w:rPr>
        <w:t>ardiol</w:t>
      </w:r>
      <w:r w:rsidR="00AC5F89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1997; 79: 559</w:t>
      </w:r>
      <w:r w:rsidR="00AC5F89" w:rsidRPr="00B950AC">
        <w:rPr>
          <w:sz w:val="20"/>
          <w:szCs w:val="20"/>
        </w:rPr>
        <w:t>–5</w:t>
      </w:r>
      <w:r w:rsidRPr="00B950AC">
        <w:rPr>
          <w:sz w:val="20"/>
          <w:szCs w:val="20"/>
        </w:rPr>
        <w:t>63.</w:t>
      </w:r>
      <w:bookmarkEnd w:id="10"/>
    </w:p>
    <w:p w:rsidR="00EC739D" w:rsidRPr="00B950AC" w:rsidRDefault="00EC739D" w:rsidP="00AC5F89">
      <w:pPr>
        <w:pStyle w:val="EndNoteBibliography"/>
        <w:spacing w:line="360" w:lineRule="auto"/>
        <w:rPr>
          <w:sz w:val="20"/>
          <w:szCs w:val="20"/>
        </w:rPr>
      </w:pPr>
      <w:bookmarkStart w:id="11" w:name="_ENREF_11"/>
      <w:r w:rsidRPr="00443D6C">
        <w:rPr>
          <w:sz w:val="20"/>
          <w:szCs w:val="20"/>
          <w:lang w:val="pl-PL"/>
        </w:rPr>
        <w:t>11.</w:t>
      </w:r>
      <w:r w:rsidR="00AC5F89" w:rsidRPr="00443D6C">
        <w:rPr>
          <w:sz w:val="20"/>
          <w:szCs w:val="20"/>
          <w:lang w:val="pl-PL"/>
        </w:rPr>
        <w:t xml:space="preserve"> </w:t>
      </w:r>
      <w:r w:rsidRPr="00443D6C">
        <w:rPr>
          <w:sz w:val="20"/>
          <w:szCs w:val="20"/>
          <w:lang w:val="pl-PL"/>
        </w:rPr>
        <w:t xml:space="preserve">Ambrose JA, Almeida OD, Sharma SK et al. </w:t>
      </w:r>
      <w:r w:rsidRPr="00B950AC">
        <w:rPr>
          <w:sz w:val="20"/>
          <w:szCs w:val="20"/>
        </w:rPr>
        <w:t>Adjunctive thrombolytic therapy during angioplasty for ischemic rest angina. Results of the TAUSA Trial. TAUSA Investigators. Thrombolysis and Angioplasty in Unstable Angina trial. Circulation</w:t>
      </w:r>
      <w:r w:rsidR="00B950AC" w:rsidRPr="00B950AC">
        <w:rPr>
          <w:sz w:val="20"/>
          <w:szCs w:val="20"/>
        </w:rPr>
        <w:t>,</w:t>
      </w:r>
      <w:r w:rsidRPr="00B950AC">
        <w:rPr>
          <w:sz w:val="20"/>
          <w:szCs w:val="20"/>
        </w:rPr>
        <w:t xml:space="preserve"> 1994; 90: 69</w:t>
      </w:r>
      <w:r w:rsidR="00B950AC" w:rsidRPr="00B950AC">
        <w:rPr>
          <w:sz w:val="20"/>
          <w:szCs w:val="20"/>
        </w:rPr>
        <w:t>–</w:t>
      </w:r>
      <w:r w:rsidRPr="00B950AC">
        <w:rPr>
          <w:sz w:val="20"/>
          <w:szCs w:val="20"/>
        </w:rPr>
        <w:t>77.</w:t>
      </w:r>
      <w:bookmarkEnd w:id="11"/>
    </w:p>
    <w:sectPr w:rsidR="00EC739D" w:rsidRPr="00B950AC" w:rsidSect="005042A5"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08" w:rsidRDefault="00CF7B08">
      <w:r>
        <w:separator/>
      </w:r>
    </w:p>
  </w:endnote>
  <w:endnote w:type="continuationSeparator" w:id="0">
    <w:p w:rsidR="00CF7B08" w:rsidRDefault="00CF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39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7600A" w:rsidRPr="00236EF5" w:rsidRDefault="00EC739D">
        <w:pPr>
          <w:pStyle w:val="Stopka"/>
          <w:jc w:val="right"/>
          <w:rPr>
            <w:rFonts w:ascii="Times New Roman" w:hAnsi="Times New Roman" w:cs="Times New Roman"/>
          </w:rPr>
        </w:pPr>
        <w:r w:rsidRPr="00236EF5">
          <w:rPr>
            <w:rFonts w:ascii="Times New Roman" w:hAnsi="Times New Roman" w:cs="Times New Roman"/>
          </w:rPr>
          <w:fldChar w:fldCharType="begin"/>
        </w:r>
        <w:r w:rsidRPr="00236EF5">
          <w:rPr>
            <w:rFonts w:ascii="Times New Roman" w:hAnsi="Times New Roman" w:cs="Times New Roman"/>
          </w:rPr>
          <w:instrText xml:space="preserve"> PAGE   \* MERGEFORMAT </w:instrText>
        </w:r>
        <w:r w:rsidRPr="00236EF5">
          <w:rPr>
            <w:rFonts w:ascii="Times New Roman" w:hAnsi="Times New Roman" w:cs="Times New Roman"/>
          </w:rPr>
          <w:fldChar w:fldCharType="separate"/>
        </w:r>
        <w:r w:rsidR="00443D6C">
          <w:rPr>
            <w:rFonts w:ascii="Times New Roman" w:hAnsi="Times New Roman" w:cs="Times New Roman"/>
            <w:noProof/>
          </w:rPr>
          <w:t>3</w:t>
        </w:r>
        <w:r w:rsidRPr="00236E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600A" w:rsidRPr="00236EF5" w:rsidRDefault="00443D6C" w:rsidP="00505899">
    <w:pPr>
      <w:pStyle w:val="Stopk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60431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00A" w:rsidRPr="00236EF5" w:rsidRDefault="00EC739D">
        <w:pPr>
          <w:pStyle w:val="Stopka"/>
          <w:jc w:val="right"/>
          <w:rPr>
            <w:rFonts w:ascii="Times New Roman" w:hAnsi="Times New Roman" w:cs="Times New Roman"/>
          </w:rPr>
        </w:pPr>
        <w:r w:rsidRPr="00236EF5">
          <w:rPr>
            <w:rFonts w:ascii="Times New Roman" w:hAnsi="Times New Roman" w:cs="Times New Roman"/>
          </w:rPr>
          <w:fldChar w:fldCharType="begin"/>
        </w:r>
        <w:r w:rsidRPr="00236EF5">
          <w:rPr>
            <w:rFonts w:ascii="Times New Roman" w:hAnsi="Times New Roman" w:cs="Times New Roman"/>
          </w:rPr>
          <w:instrText xml:space="preserve"> PAGE   \* MERGEFORMAT </w:instrText>
        </w:r>
        <w:r w:rsidRPr="00236EF5">
          <w:rPr>
            <w:rFonts w:ascii="Times New Roman" w:hAnsi="Times New Roman" w:cs="Times New Roman"/>
          </w:rPr>
          <w:fldChar w:fldCharType="separate"/>
        </w:r>
        <w:r w:rsidR="00443D6C">
          <w:rPr>
            <w:rFonts w:ascii="Times New Roman" w:hAnsi="Times New Roman" w:cs="Times New Roman"/>
            <w:noProof/>
          </w:rPr>
          <w:t>4</w:t>
        </w:r>
        <w:r w:rsidRPr="00236E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600A" w:rsidRDefault="00443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A" w:rsidRDefault="00443D6C" w:rsidP="005058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08" w:rsidRDefault="00CF7B08">
      <w:r>
        <w:separator/>
      </w:r>
    </w:p>
  </w:footnote>
  <w:footnote w:type="continuationSeparator" w:id="0">
    <w:p w:rsidR="00CF7B08" w:rsidRDefault="00CF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A" w:rsidRPr="00A933A3" w:rsidRDefault="00EC739D" w:rsidP="00782FEA">
    <w:pPr>
      <w:pStyle w:val="Nagwek"/>
      <w:rPr>
        <w:rFonts w:ascii="Times New Roman" w:hAnsi="Times New Roman" w:cs="Times New Roman"/>
      </w:rPr>
    </w:pPr>
    <w:r w:rsidRPr="00A933A3">
      <w:rPr>
        <w:rFonts w:ascii="Times New Roman" w:hAnsi="Times New Roman" w:cs="Times New Roman"/>
      </w:rPr>
      <w:t xml:space="preserve">ANGIOGRAPHY – </w:t>
    </w:r>
    <w:r>
      <w:rPr>
        <w:rFonts w:ascii="Times New Roman" w:hAnsi="Times New Roman" w:cs="Times New Roman"/>
      </w:rPr>
      <w:t>CORONARY</w:t>
    </w:r>
    <w:r w:rsidRPr="00A933A3">
      <w:rPr>
        <w:rFonts w:ascii="Times New Roman" w:hAnsi="Times New Roman" w:cs="Times New Roman"/>
      </w:rPr>
      <w:t xml:space="preserve"> THROMBUS </w:t>
    </w:r>
    <w:r>
      <w:rPr>
        <w:rFonts w:ascii="Times New Roman" w:hAnsi="Times New Roman" w:cs="Times New Roman"/>
      </w:rPr>
      <w:t>(SUPPLEMENT)</w:t>
    </w:r>
    <w:r>
      <w:rPr>
        <w:rFonts w:ascii="Times New Roman" w:hAnsi="Times New Roman" w:cs="Times New Roman"/>
      </w:rPr>
      <w:tab/>
    </w:r>
  </w:p>
  <w:p w:rsidR="0057600A" w:rsidRDefault="00443D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A" w:rsidRPr="00B646B0" w:rsidRDefault="00EC739D">
    <w:pPr>
      <w:pStyle w:val="Nagwek"/>
      <w:rPr>
        <w:rFonts w:ascii="Times New Roman" w:hAnsi="Times New Roman" w:cs="Times New Roman"/>
      </w:rPr>
    </w:pPr>
    <w:r w:rsidRPr="00A933A3">
      <w:rPr>
        <w:rFonts w:ascii="Times New Roman" w:hAnsi="Times New Roman" w:cs="Times New Roman"/>
      </w:rPr>
      <w:t xml:space="preserve">ANGIOGRAPHY – </w:t>
    </w:r>
    <w:r>
      <w:rPr>
        <w:rFonts w:ascii="Times New Roman" w:hAnsi="Times New Roman" w:cs="Times New Roman"/>
      </w:rPr>
      <w:t>CORONARY</w:t>
    </w:r>
    <w:r w:rsidRPr="00A933A3">
      <w:rPr>
        <w:rFonts w:ascii="Times New Roman" w:hAnsi="Times New Roman" w:cs="Times New Roman"/>
      </w:rPr>
      <w:t xml:space="preserve"> THROMBUS </w:t>
    </w:r>
    <w:r>
      <w:rPr>
        <w:rFonts w:ascii="Times New Roman" w:hAnsi="Times New Roman" w:cs="Times New Roman"/>
      </w:rPr>
      <w:t>(SUPPLEMENTAL)</w:t>
    </w:r>
    <w:r w:rsidRPr="00F12136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A26"/>
    <w:multiLevelType w:val="hybridMultilevel"/>
    <w:tmpl w:val="DE00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119"/>
    <w:multiLevelType w:val="hybridMultilevel"/>
    <w:tmpl w:val="862CCE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44A3682"/>
    <w:multiLevelType w:val="hybridMultilevel"/>
    <w:tmpl w:val="89920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D68"/>
    <w:multiLevelType w:val="hybridMultilevel"/>
    <w:tmpl w:val="8AD0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314A"/>
    <w:multiLevelType w:val="hybridMultilevel"/>
    <w:tmpl w:val="54E4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16ECC"/>
    <w:multiLevelType w:val="hybridMultilevel"/>
    <w:tmpl w:val="B4FC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B082B"/>
    <w:multiLevelType w:val="hybridMultilevel"/>
    <w:tmpl w:val="24FAD6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08C5"/>
    <w:multiLevelType w:val="hybridMultilevel"/>
    <w:tmpl w:val="178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02C9A"/>
    <w:multiLevelType w:val="hybridMultilevel"/>
    <w:tmpl w:val="A004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C4DDD"/>
    <w:multiLevelType w:val="hybridMultilevel"/>
    <w:tmpl w:val="3B96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91345B"/>
    <w:multiLevelType w:val="hybridMultilevel"/>
    <w:tmpl w:val="53625D60"/>
    <w:lvl w:ilvl="0" w:tplc="1F685864">
      <w:start w:val="120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9AF1CF0"/>
    <w:multiLevelType w:val="hybridMultilevel"/>
    <w:tmpl w:val="DE00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32644"/>
    <w:multiLevelType w:val="hybridMultilevel"/>
    <w:tmpl w:val="474ED302"/>
    <w:lvl w:ilvl="0" w:tplc="03F6325C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4240"/>
    <w:multiLevelType w:val="hybridMultilevel"/>
    <w:tmpl w:val="9C747D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1220A"/>
    <w:multiLevelType w:val="hybridMultilevel"/>
    <w:tmpl w:val="84A88512"/>
    <w:lvl w:ilvl="0" w:tplc="84D66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5D8A"/>
    <w:multiLevelType w:val="hybridMultilevel"/>
    <w:tmpl w:val="865A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A69ED"/>
    <w:multiLevelType w:val="hybridMultilevel"/>
    <w:tmpl w:val="9832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2626A"/>
    <w:multiLevelType w:val="hybridMultilevel"/>
    <w:tmpl w:val="8A704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F224C"/>
    <w:multiLevelType w:val="hybridMultilevel"/>
    <w:tmpl w:val="FF20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17F8C"/>
    <w:multiLevelType w:val="hybridMultilevel"/>
    <w:tmpl w:val="9A24D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7642B"/>
    <w:multiLevelType w:val="hybridMultilevel"/>
    <w:tmpl w:val="5A3A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129BD"/>
    <w:multiLevelType w:val="hybridMultilevel"/>
    <w:tmpl w:val="C1BE34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32DB4"/>
    <w:multiLevelType w:val="hybridMultilevel"/>
    <w:tmpl w:val="1D32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34192"/>
    <w:multiLevelType w:val="hybridMultilevel"/>
    <w:tmpl w:val="71EE3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F4F8B"/>
    <w:multiLevelType w:val="hybridMultilevel"/>
    <w:tmpl w:val="BB1C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32186"/>
    <w:multiLevelType w:val="hybridMultilevel"/>
    <w:tmpl w:val="B71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163CB"/>
    <w:multiLevelType w:val="hybridMultilevel"/>
    <w:tmpl w:val="E656F436"/>
    <w:lvl w:ilvl="0" w:tplc="7E6C785C">
      <w:start w:val="1906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A92E43"/>
    <w:multiLevelType w:val="hybridMultilevel"/>
    <w:tmpl w:val="5A3A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C05A2"/>
    <w:multiLevelType w:val="hybridMultilevel"/>
    <w:tmpl w:val="8FFE6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E56C4"/>
    <w:multiLevelType w:val="hybridMultilevel"/>
    <w:tmpl w:val="8A266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35536"/>
    <w:multiLevelType w:val="hybridMultilevel"/>
    <w:tmpl w:val="98CE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82BD6"/>
    <w:multiLevelType w:val="hybridMultilevel"/>
    <w:tmpl w:val="C548D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14EF0"/>
    <w:multiLevelType w:val="hybridMultilevel"/>
    <w:tmpl w:val="9A24D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67E3F"/>
    <w:multiLevelType w:val="hybridMultilevel"/>
    <w:tmpl w:val="001EE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4B2186"/>
    <w:multiLevelType w:val="hybridMultilevel"/>
    <w:tmpl w:val="B604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11C30"/>
    <w:multiLevelType w:val="hybridMultilevel"/>
    <w:tmpl w:val="223A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1449C"/>
    <w:multiLevelType w:val="hybridMultilevel"/>
    <w:tmpl w:val="54E4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E70B2"/>
    <w:multiLevelType w:val="hybridMultilevel"/>
    <w:tmpl w:val="9908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24A27"/>
    <w:multiLevelType w:val="hybridMultilevel"/>
    <w:tmpl w:val="DAB2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93581"/>
    <w:multiLevelType w:val="hybridMultilevel"/>
    <w:tmpl w:val="05CCD1B0"/>
    <w:lvl w:ilvl="0" w:tplc="F11AF218">
      <w:start w:val="120"/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2445DA7"/>
    <w:multiLevelType w:val="hybridMultilevel"/>
    <w:tmpl w:val="0D585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4B6F4C"/>
    <w:multiLevelType w:val="hybridMultilevel"/>
    <w:tmpl w:val="F34C6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D68A9"/>
    <w:multiLevelType w:val="hybridMultilevel"/>
    <w:tmpl w:val="4AEA4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0B02"/>
    <w:multiLevelType w:val="hybridMultilevel"/>
    <w:tmpl w:val="F8BCEE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51C07"/>
    <w:multiLevelType w:val="hybridMultilevel"/>
    <w:tmpl w:val="CFA4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A0E0A"/>
    <w:multiLevelType w:val="hybridMultilevel"/>
    <w:tmpl w:val="9BF2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5424A"/>
    <w:multiLevelType w:val="hybridMultilevel"/>
    <w:tmpl w:val="A15C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4"/>
  </w:num>
  <w:num w:numId="4">
    <w:abstractNumId w:val="24"/>
  </w:num>
  <w:num w:numId="5">
    <w:abstractNumId w:val="31"/>
  </w:num>
  <w:num w:numId="6">
    <w:abstractNumId w:val="43"/>
  </w:num>
  <w:num w:numId="7">
    <w:abstractNumId w:val="2"/>
  </w:num>
  <w:num w:numId="8">
    <w:abstractNumId w:val="18"/>
  </w:num>
  <w:num w:numId="9">
    <w:abstractNumId w:val="32"/>
  </w:num>
  <w:num w:numId="10">
    <w:abstractNumId w:val="40"/>
  </w:num>
  <w:num w:numId="11">
    <w:abstractNumId w:val="41"/>
  </w:num>
  <w:num w:numId="12">
    <w:abstractNumId w:val="33"/>
  </w:num>
  <w:num w:numId="13">
    <w:abstractNumId w:val="19"/>
  </w:num>
  <w:num w:numId="14">
    <w:abstractNumId w:val="28"/>
  </w:num>
  <w:num w:numId="15">
    <w:abstractNumId w:val="13"/>
  </w:num>
  <w:num w:numId="16">
    <w:abstractNumId w:val="23"/>
  </w:num>
  <w:num w:numId="17">
    <w:abstractNumId w:val="25"/>
  </w:num>
  <w:num w:numId="18">
    <w:abstractNumId w:val="37"/>
  </w:num>
  <w:num w:numId="19">
    <w:abstractNumId w:val="15"/>
  </w:num>
  <w:num w:numId="20">
    <w:abstractNumId w:val="35"/>
  </w:num>
  <w:num w:numId="21">
    <w:abstractNumId w:val="27"/>
  </w:num>
  <w:num w:numId="22">
    <w:abstractNumId w:val="26"/>
  </w:num>
  <w:num w:numId="23">
    <w:abstractNumId w:val="1"/>
  </w:num>
  <w:num w:numId="24">
    <w:abstractNumId w:val="44"/>
  </w:num>
  <w:num w:numId="25">
    <w:abstractNumId w:val="20"/>
  </w:num>
  <w:num w:numId="26">
    <w:abstractNumId w:val="10"/>
  </w:num>
  <w:num w:numId="27">
    <w:abstractNumId w:val="39"/>
  </w:num>
  <w:num w:numId="28">
    <w:abstractNumId w:val="0"/>
  </w:num>
  <w:num w:numId="29">
    <w:abstractNumId w:val="11"/>
  </w:num>
  <w:num w:numId="30">
    <w:abstractNumId w:val="38"/>
  </w:num>
  <w:num w:numId="31">
    <w:abstractNumId w:val="46"/>
  </w:num>
  <w:num w:numId="32">
    <w:abstractNumId w:val="14"/>
  </w:num>
  <w:num w:numId="33">
    <w:abstractNumId w:val="42"/>
  </w:num>
  <w:num w:numId="34">
    <w:abstractNumId w:val="9"/>
  </w:num>
  <w:num w:numId="35">
    <w:abstractNumId w:val="16"/>
  </w:num>
  <w:num w:numId="36">
    <w:abstractNumId w:val="7"/>
  </w:num>
  <w:num w:numId="37">
    <w:abstractNumId w:val="5"/>
  </w:num>
  <w:num w:numId="38">
    <w:abstractNumId w:val="3"/>
  </w:num>
  <w:num w:numId="39">
    <w:abstractNumId w:val="8"/>
  </w:num>
  <w:num w:numId="40">
    <w:abstractNumId w:val="12"/>
  </w:num>
  <w:num w:numId="41">
    <w:abstractNumId w:val="4"/>
  </w:num>
  <w:num w:numId="42">
    <w:abstractNumId w:val="36"/>
  </w:num>
  <w:num w:numId="43">
    <w:abstractNumId w:val="21"/>
  </w:num>
  <w:num w:numId="44">
    <w:abstractNumId w:val="6"/>
  </w:num>
  <w:num w:numId="45">
    <w:abstractNumId w:val="30"/>
  </w:num>
  <w:num w:numId="46">
    <w:abstractNumId w:val="45"/>
  </w:num>
  <w:num w:numId="4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ja">
    <w15:presenceInfo w15:providerId="None" w15:userId="d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C739D"/>
    <w:rsid w:val="000251CE"/>
    <w:rsid w:val="000C4F38"/>
    <w:rsid w:val="001E3FEB"/>
    <w:rsid w:val="003B02F8"/>
    <w:rsid w:val="00406321"/>
    <w:rsid w:val="00443D6C"/>
    <w:rsid w:val="005C5259"/>
    <w:rsid w:val="00707AC8"/>
    <w:rsid w:val="00AC5F89"/>
    <w:rsid w:val="00B950AC"/>
    <w:rsid w:val="00CF7B08"/>
    <w:rsid w:val="00D058B6"/>
    <w:rsid w:val="00E940B4"/>
    <w:rsid w:val="00EC739D"/>
    <w:rsid w:val="00E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3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73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73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73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C739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39D"/>
    <w:rPr>
      <w:rFonts w:asciiTheme="minorHAnsi" w:eastAsiaTheme="minorEastAsia" w:hAnsiTheme="minorHAnsi" w:cstheme="minorBid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739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39D"/>
    <w:rPr>
      <w:rFonts w:asciiTheme="minorHAnsi" w:eastAsiaTheme="minorEastAsia" w:hAnsiTheme="minorHAnsi" w:cstheme="minorBidi"/>
      <w:szCs w:val="24"/>
    </w:rPr>
  </w:style>
  <w:style w:type="paragraph" w:styleId="Akapitzlist">
    <w:name w:val="List Paragraph"/>
    <w:basedOn w:val="Normalny"/>
    <w:uiPriority w:val="34"/>
    <w:qFormat/>
    <w:rsid w:val="00EC7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39D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EC739D"/>
    <w:pPr>
      <w:spacing w:after="200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EC739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ny"/>
    <w:link w:val="EndNoteBibliographyTitleChar"/>
    <w:rsid w:val="00EC739D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EC739D"/>
    <w:rPr>
      <w:rFonts w:eastAsiaTheme="minorEastAsia"/>
      <w:noProof/>
      <w:szCs w:val="24"/>
    </w:rPr>
  </w:style>
  <w:style w:type="paragraph" w:customStyle="1" w:styleId="EndNoteBibliography">
    <w:name w:val="EndNote Bibliography"/>
    <w:basedOn w:val="Normalny"/>
    <w:link w:val="EndNoteBibliographyChar"/>
    <w:rsid w:val="00EC739D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EC739D"/>
    <w:rPr>
      <w:rFonts w:eastAsiaTheme="minorEastAsia"/>
      <w:noProof/>
      <w:szCs w:val="24"/>
    </w:rPr>
  </w:style>
  <w:style w:type="paragraph" w:styleId="Bibliografia">
    <w:name w:val="Bibliography"/>
    <w:basedOn w:val="Normalny"/>
    <w:next w:val="Normalny"/>
    <w:uiPriority w:val="37"/>
    <w:unhideWhenUsed/>
    <w:rsid w:val="00EC739D"/>
  </w:style>
  <w:style w:type="paragraph" w:styleId="Tekstdymka">
    <w:name w:val="Balloon Text"/>
    <w:basedOn w:val="Normalny"/>
    <w:link w:val="TekstdymkaZnak"/>
    <w:uiPriority w:val="99"/>
    <w:semiHidden/>
    <w:unhideWhenUsed/>
    <w:rsid w:val="00EC73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9D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C739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7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739D"/>
    <w:rPr>
      <w:rFonts w:asciiTheme="minorHAnsi" w:eastAsiaTheme="minorEastAsia" w:hAnsiTheme="minorHAnsi" w:cstheme="minorBid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39D"/>
    <w:rPr>
      <w:rFonts w:asciiTheme="minorHAnsi" w:eastAsiaTheme="minorEastAsia" w:hAnsiTheme="minorHAnsi" w:cstheme="minorBidi"/>
      <w:b/>
      <w:bCs/>
      <w:sz w:val="20"/>
    </w:rPr>
  </w:style>
  <w:style w:type="character" w:styleId="Uwydatnienie">
    <w:name w:val="Emphasis"/>
    <w:qFormat/>
    <w:rsid w:val="00EC739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3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39D"/>
    <w:rPr>
      <w:rFonts w:asciiTheme="minorHAnsi" w:eastAsiaTheme="minorEastAsia" w:hAnsiTheme="minorHAnsi" w:cstheme="minorBid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39D"/>
    <w:rPr>
      <w:vertAlign w:val="superscript"/>
    </w:rPr>
  </w:style>
  <w:style w:type="paragraph" w:customStyle="1" w:styleId="AuthorList">
    <w:name w:val="Author List"/>
    <w:basedOn w:val="Normalny"/>
    <w:rsid w:val="00EC739D"/>
    <w:pPr>
      <w:keepLines/>
      <w:suppressAutoHyphens/>
      <w:spacing w:line="480" w:lineRule="auto"/>
      <w:jc w:val="center"/>
    </w:pPr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EC739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39D"/>
    <w:rPr>
      <w:rFonts w:asciiTheme="minorHAnsi" w:eastAsiaTheme="minorEastAsia" w:hAnsiTheme="minorHAnsi" w:cstheme="minorBidi"/>
      <w:sz w:val="22"/>
      <w:szCs w:val="22"/>
    </w:rPr>
  </w:style>
  <w:style w:type="table" w:customStyle="1" w:styleId="PlainTable31">
    <w:name w:val="Plain Table 31"/>
    <w:basedOn w:val="Standardowy"/>
    <w:uiPriority w:val="43"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rdowy"/>
    <w:uiPriority w:val="44"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Standardowy"/>
    <w:uiPriority w:val="40"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C739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EC73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omylnaczcionkaakapitu"/>
    <w:rsid w:val="00EC739D"/>
  </w:style>
  <w:style w:type="character" w:customStyle="1" w:styleId="highlight">
    <w:name w:val="highlight"/>
    <w:basedOn w:val="Domylnaczcionkaakapitu"/>
    <w:rsid w:val="00EC7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73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73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73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73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C739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39D"/>
    <w:rPr>
      <w:rFonts w:asciiTheme="minorHAnsi" w:eastAsiaTheme="minorEastAsia" w:hAnsiTheme="minorHAnsi" w:cstheme="minorBid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739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39D"/>
    <w:rPr>
      <w:rFonts w:asciiTheme="minorHAnsi" w:eastAsiaTheme="minorEastAsia" w:hAnsiTheme="minorHAnsi" w:cstheme="minorBidi"/>
      <w:szCs w:val="24"/>
    </w:rPr>
  </w:style>
  <w:style w:type="paragraph" w:styleId="Akapitzlist">
    <w:name w:val="List Paragraph"/>
    <w:basedOn w:val="Normalny"/>
    <w:uiPriority w:val="34"/>
    <w:qFormat/>
    <w:rsid w:val="00EC7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39D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EC739D"/>
    <w:pPr>
      <w:spacing w:after="200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EC739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ny"/>
    <w:link w:val="EndNoteBibliographyTitleChar"/>
    <w:rsid w:val="00EC739D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omylnaczcionkaakapitu"/>
    <w:link w:val="EndNoteBibliographyTitle"/>
    <w:rsid w:val="00EC739D"/>
    <w:rPr>
      <w:rFonts w:eastAsiaTheme="minorEastAsia"/>
      <w:noProof/>
      <w:szCs w:val="24"/>
    </w:rPr>
  </w:style>
  <w:style w:type="paragraph" w:customStyle="1" w:styleId="EndNoteBibliography">
    <w:name w:val="EndNote Bibliography"/>
    <w:basedOn w:val="Normalny"/>
    <w:link w:val="EndNoteBibliographyChar"/>
    <w:rsid w:val="00EC739D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omylnaczcionkaakapitu"/>
    <w:link w:val="EndNoteBibliography"/>
    <w:rsid w:val="00EC739D"/>
    <w:rPr>
      <w:rFonts w:eastAsiaTheme="minorEastAsia"/>
      <w:noProof/>
      <w:szCs w:val="24"/>
    </w:rPr>
  </w:style>
  <w:style w:type="paragraph" w:styleId="Bibliografia">
    <w:name w:val="Bibliography"/>
    <w:basedOn w:val="Normalny"/>
    <w:next w:val="Normalny"/>
    <w:uiPriority w:val="37"/>
    <w:unhideWhenUsed/>
    <w:rsid w:val="00EC739D"/>
  </w:style>
  <w:style w:type="paragraph" w:styleId="Tekstdymka">
    <w:name w:val="Balloon Text"/>
    <w:basedOn w:val="Normalny"/>
    <w:link w:val="TekstdymkaZnak"/>
    <w:uiPriority w:val="99"/>
    <w:semiHidden/>
    <w:unhideWhenUsed/>
    <w:rsid w:val="00EC73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39D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C739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7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739D"/>
    <w:rPr>
      <w:rFonts w:asciiTheme="minorHAnsi" w:eastAsiaTheme="minorEastAsia" w:hAnsiTheme="minorHAnsi" w:cstheme="minorBid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39D"/>
    <w:rPr>
      <w:rFonts w:asciiTheme="minorHAnsi" w:eastAsiaTheme="minorEastAsia" w:hAnsiTheme="minorHAnsi" w:cstheme="minorBidi"/>
      <w:b/>
      <w:bCs/>
      <w:sz w:val="20"/>
    </w:rPr>
  </w:style>
  <w:style w:type="character" w:styleId="Uwydatnienie">
    <w:name w:val="Emphasis"/>
    <w:qFormat/>
    <w:rsid w:val="00EC739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3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39D"/>
    <w:rPr>
      <w:rFonts w:asciiTheme="minorHAnsi" w:eastAsiaTheme="minorEastAsia" w:hAnsiTheme="minorHAnsi" w:cstheme="minorBid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39D"/>
    <w:rPr>
      <w:vertAlign w:val="superscript"/>
    </w:rPr>
  </w:style>
  <w:style w:type="paragraph" w:customStyle="1" w:styleId="AuthorList">
    <w:name w:val="Author List"/>
    <w:basedOn w:val="Normalny"/>
    <w:rsid w:val="00EC739D"/>
    <w:pPr>
      <w:keepLines/>
      <w:suppressAutoHyphens/>
      <w:spacing w:line="480" w:lineRule="auto"/>
      <w:jc w:val="center"/>
    </w:pPr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EC739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39D"/>
    <w:rPr>
      <w:rFonts w:asciiTheme="minorHAnsi" w:eastAsiaTheme="minorEastAsia" w:hAnsiTheme="minorHAnsi" w:cstheme="minorBidi"/>
      <w:sz w:val="22"/>
      <w:szCs w:val="22"/>
    </w:rPr>
  </w:style>
  <w:style w:type="table" w:customStyle="1" w:styleId="PlainTable31">
    <w:name w:val="Plain Table 31"/>
    <w:basedOn w:val="Standardowy"/>
    <w:uiPriority w:val="43"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rdowy"/>
    <w:uiPriority w:val="44"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Standardowy"/>
    <w:uiPriority w:val="40"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C739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rsid w:val="00EC73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EC739D"/>
    <w:pPr>
      <w:spacing w:after="0"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apple-converted-space">
    <w:name w:val="apple-converted-space"/>
    <w:basedOn w:val="Domylnaczcionkaakapitu"/>
    <w:rsid w:val="00EC739D"/>
  </w:style>
  <w:style w:type="character" w:customStyle="1" w:styleId="highlight">
    <w:name w:val="highlight"/>
    <w:basedOn w:val="Domylnaczcionkaakapitu"/>
    <w:rsid w:val="00EC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1324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Amraotkar, Alok Ravindra</dc:creator>
  <cp:lastModifiedBy>Joanna Niezgoda</cp:lastModifiedBy>
  <cp:revision>3</cp:revision>
  <dcterms:created xsi:type="dcterms:W3CDTF">2017-01-14T16:09:00Z</dcterms:created>
  <dcterms:modified xsi:type="dcterms:W3CDTF">2017-01-16T07:23:00Z</dcterms:modified>
</cp:coreProperties>
</file>