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B289" w14:textId="212952F7" w:rsidR="00F71643" w:rsidRDefault="00686796" w:rsidP="00042E28">
      <w:pPr>
        <w:spacing w:after="0" w:line="48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Supplemental </w:t>
      </w:r>
      <w:r w:rsidR="00F71643" w:rsidRPr="00AD76A3">
        <w:rPr>
          <w:rFonts w:ascii="Times New Roman" w:hAnsi="Times New Roman"/>
          <w:b/>
          <w:sz w:val="24"/>
          <w:szCs w:val="24"/>
        </w:rPr>
        <w:t xml:space="preserve">Table </w:t>
      </w:r>
      <w:r w:rsidR="002641D4">
        <w:rPr>
          <w:rFonts w:ascii="Times New Roman" w:hAnsi="Times New Roman"/>
          <w:b/>
          <w:sz w:val="24"/>
          <w:szCs w:val="24"/>
        </w:rPr>
        <w:t>1</w:t>
      </w:r>
      <w:r w:rsidR="00F71643" w:rsidRPr="00AD76A3">
        <w:rPr>
          <w:rFonts w:ascii="Times New Roman" w:hAnsi="Times New Roman"/>
          <w:b/>
          <w:sz w:val="24"/>
          <w:szCs w:val="24"/>
        </w:rPr>
        <w:t xml:space="preserve">. </w:t>
      </w:r>
      <w:r w:rsidR="009B1C92">
        <w:rPr>
          <w:rFonts w:ascii="Times New Roman" w:hAnsi="Times New Roman"/>
          <w:b/>
          <w:sz w:val="24"/>
          <w:szCs w:val="24"/>
        </w:rPr>
        <w:t>Independent factors for the presence of CVS</w:t>
      </w:r>
      <w:r w:rsidR="005C0E95">
        <w:rPr>
          <w:rFonts w:ascii="Times New Roman" w:hAnsi="Times New Roman"/>
          <w:b/>
          <w:sz w:val="24"/>
          <w:szCs w:val="24"/>
        </w:rPr>
        <w:t xml:space="preserve"> (a multivariable logistic regression analysis of datasets from both group</w:t>
      </w:r>
      <w:r w:rsidR="000B721F">
        <w:rPr>
          <w:rFonts w:ascii="Times New Roman" w:hAnsi="Times New Roman" w:hint="eastAsia"/>
          <w:b/>
          <w:sz w:val="24"/>
          <w:szCs w:val="24"/>
        </w:rPr>
        <w:t>s</w:t>
      </w:r>
      <w:r w:rsidR="005C0E95">
        <w:rPr>
          <w:rFonts w:ascii="Times New Roman" w:hAnsi="Times New Roman"/>
          <w:b/>
          <w:sz w:val="24"/>
          <w:szCs w:val="24"/>
        </w:rPr>
        <w:t xml:space="preserve"> A and B)</w:t>
      </w:r>
    </w:p>
    <w:tbl>
      <w:tblPr>
        <w:tblStyle w:val="2"/>
        <w:tblW w:w="10720" w:type="dxa"/>
        <w:tblLook w:val="04A0" w:firstRow="1" w:lastRow="0" w:firstColumn="1" w:lastColumn="0" w:noHBand="0" w:noVBand="1"/>
      </w:tblPr>
      <w:tblGrid>
        <w:gridCol w:w="3680"/>
        <w:gridCol w:w="2480"/>
        <w:gridCol w:w="1040"/>
        <w:gridCol w:w="2480"/>
        <w:gridCol w:w="1040"/>
      </w:tblGrid>
      <w:tr w:rsidR="002641D4" w:rsidRPr="002641D4" w14:paraId="727AD03D" w14:textId="77777777" w:rsidTr="00042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vMerge w:val="restart"/>
            <w:hideMark/>
          </w:tcPr>
          <w:p w14:paraId="50326F5E" w14:textId="77777777" w:rsidR="002641D4" w:rsidRPr="002641D4" w:rsidRDefault="002641D4" w:rsidP="00042E28">
            <w:pPr>
              <w:widowControl/>
              <w:spacing w:line="480" w:lineRule="auto"/>
              <w:jc w:val="left"/>
              <w:rPr>
                <w:rFonts w:eastAsia="맑은 고딕" w:cs="굴림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eastAsia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0" w:type="dxa"/>
            <w:gridSpan w:val="2"/>
            <w:hideMark/>
          </w:tcPr>
          <w:p w14:paraId="39E74A08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Univariable analysis</w:t>
            </w:r>
          </w:p>
        </w:tc>
        <w:tc>
          <w:tcPr>
            <w:tcW w:w="3520" w:type="dxa"/>
            <w:gridSpan w:val="2"/>
            <w:hideMark/>
          </w:tcPr>
          <w:p w14:paraId="790FE96C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Multivariable analysis</w:t>
            </w:r>
          </w:p>
        </w:tc>
      </w:tr>
      <w:tr w:rsidR="002641D4" w:rsidRPr="002641D4" w14:paraId="18AC92E8" w14:textId="77777777" w:rsidTr="0004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vMerge/>
            <w:hideMark/>
          </w:tcPr>
          <w:p w14:paraId="6C93A5AD" w14:textId="77777777" w:rsidR="002641D4" w:rsidRPr="002641D4" w:rsidRDefault="002641D4" w:rsidP="00042E28">
            <w:pPr>
              <w:widowControl/>
              <w:spacing w:line="480" w:lineRule="auto"/>
              <w:jc w:val="left"/>
              <w:rPr>
                <w:rFonts w:eastAsia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14:paraId="7747BEE0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  <w:t>OR (95% CI)</w:t>
            </w:r>
          </w:p>
        </w:tc>
        <w:tc>
          <w:tcPr>
            <w:tcW w:w="1040" w:type="dxa"/>
            <w:hideMark/>
          </w:tcPr>
          <w:p w14:paraId="1672A046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2480" w:type="dxa"/>
            <w:hideMark/>
          </w:tcPr>
          <w:p w14:paraId="467B4B83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  <w:t>OR (95% CI)</w:t>
            </w:r>
          </w:p>
        </w:tc>
        <w:tc>
          <w:tcPr>
            <w:tcW w:w="1040" w:type="dxa"/>
            <w:hideMark/>
          </w:tcPr>
          <w:p w14:paraId="030CAF45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  <w:t>P-value</w:t>
            </w:r>
          </w:p>
        </w:tc>
      </w:tr>
      <w:tr w:rsidR="002641D4" w:rsidRPr="002641D4" w14:paraId="3C52388A" w14:textId="77777777" w:rsidTr="00042E2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0" w:type="dxa"/>
            <w:gridSpan w:val="5"/>
            <w:hideMark/>
          </w:tcPr>
          <w:p w14:paraId="2F8C8189" w14:textId="77777777" w:rsidR="002641D4" w:rsidRPr="002641D4" w:rsidRDefault="002641D4" w:rsidP="00042E28">
            <w:pPr>
              <w:widowControl/>
              <w:spacing w:line="480" w:lineRule="auto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Demographics</w:t>
            </w:r>
          </w:p>
        </w:tc>
      </w:tr>
      <w:tr w:rsidR="002641D4" w:rsidRPr="002641D4" w14:paraId="483518F8" w14:textId="77777777" w:rsidTr="0004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94FE2D2" w14:textId="77777777" w:rsidR="002641D4" w:rsidRPr="002641D4" w:rsidRDefault="002641D4" w:rsidP="00042E28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Age ≥65 years</w:t>
            </w:r>
          </w:p>
        </w:tc>
        <w:tc>
          <w:tcPr>
            <w:tcW w:w="2480" w:type="dxa"/>
            <w:hideMark/>
          </w:tcPr>
          <w:p w14:paraId="48BD6037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1.194 (0.414-3.440)</w:t>
            </w:r>
          </w:p>
        </w:tc>
        <w:tc>
          <w:tcPr>
            <w:tcW w:w="1040" w:type="dxa"/>
            <w:hideMark/>
          </w:tcPr>
          <w:p w14:paraId="2420F43A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0.742 </w:t>
            </w:r>
          </w:p>
        </w:tc>
        <w:tc>
          <w:tcPr>
            <w:tcW w:w="2480" w:type="dxa"/>
            <w:hideMark/>
          </w:tcPr>
          <w:p w14:paraId="1F460B2C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5D275001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41D4" w:rsidRPr="002641D4" w14:paraId="71ABBB02" w14:textId="77777777" w:rsidTr="00042E2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80BBD6F" w14:textId="77777777" w:rsidR="002641D4" w:rsidRPr="002641D4" w:rsidRDefault="002641D4" w:rsidP="00042E28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Male gender</w:t>
            </w:r>
          </w:p>
        </w:tc>
        <w:tc>
          <w:tcPr>
            <w:tcW w:w="2480" w:type="dxa"/>
            <w:hideMark/>
          </w:tcPr>
          <w:p w14:paraId="356F0EE9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1.691 (0.884-3.232)</w:t>
            </w:r>
          </w:p>
        </w:tc>
        <w:tc>
          <w:tcPr>
            <w:tcW w:w="1040" w:type="dxa"/>
            <w:hideMark/>
          </w:tcPr>
          <w:p w14:paraId="009BD458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0.112 </w:t>
            </w:r>
          </w:p>
        </w:tc>
        <w:tc>
          <w:tcPr>
            <w:tcW w:w="2480" w:type="dxa"/>
            <w:hideMark/>
          </w:tcPr>
          <w:p w14:paraId="752DE352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1.847 (1.054-3.235)</w:t>
            </w:r>
          </w:p>
        </w:tc>
        <w:tc>
          <w:tcPr>
            <w:tcW w:w="1040" w:type="dxa"/>
            <w:hideMark/>
          </w:tcPr>
          <w:p w14:paraId="7C76B932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0.032</w:t>
            </w:r>
          </w:p>
        </w:tc>
      </w:tr>
      <w:tr w:rsidR="002641D4" w:rsidRPr="002641D4" w14:paraId="38759675" w14:textId="77777777" w:rsidTr="0004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643221B4" w14:textId="77777777" w:rsidR="002641D4" w:rsidRPr="002641D4" w:rsidRDefault="002641D4" w:rsidP="00042E28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Smoking history</w:t>
            </w:r>
          </w:p>
        </w:tc>
        <w:tc>
          <w:tcPr>
            <w:tcW w:w="2480" w:type="dxa"/>
            <w:hideMark/>
          </w:tcPr>
          <w:p w14:paraId="7243D878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1.352 (0.674-2.713)</w:t>
            </w:r>
          </w:p>
        </w:tc>
        <w:tc>
          <w:tcPr>
            <w:tcW w:w="1040" w:type="dxa"/>
            <w:hideMark/>
          </w:tcPr>
          <w:p w14:paraId="2FD46AE2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0.395 </w:t>
            </w:r>
          </w:p>
        </w:tc>
        <w:tc>
          <w:tcPr>
            <w:tcW w:w="2480" w:type="dxa"/>
            <w:hideMark/>
          </w:tcPr>
          <w:p w14:paraId="03151A2D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5B99DB0E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41D4" w:rsidRPr="002641D4" w14:paraId="13D62F11" w14:textId="77777777" w:rsidTr="00042E2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1219E657" w14:textId="77777777" w:rsidR="002641D4" w:rsidRPr="002641D4" w:rsidRDefault="002641D4" w:rsidP="00042E28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BMI ≥ 25 kg/m</w:t>
            </w: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0" w:type="dxa"/>
            <w:hideMark/>
          </w:tcPr>
          <w:p w14:paraId="06A6574C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1.399 (0.778-2.516)</w:t>
            </w:r>
          </w:p>
        </w:tc>
        <w:tc>
          <w:tcPr>
            <w:tcW w:w="1040" w:type="dxa"/>
            <w:hideMark/>
          </w:tcPr>
          <w:p w14:paraId="366FC139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0.262 </w:t>
            </w:r>
          </w:p>
        </w:tc>
        <w:tc>
          <w:tcPr>
            <w:tcW w:w="2480" w:type="dxa"/>
            <w:hideMark/>
          </w:tcPr>
          <w:p w14:paraId="78546D89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59FB2C0F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41D4" w:rsidRPr="002641D4" w14:paraId="7977305C" w14:textId="77777777" w:rsidTr="0004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0" w:type="dxa"/>
            <w:gridSpan w:val="5"/>
            <w:noWrap/>
            <w:hideMark/>
          </w:tcPr>
          <w:p w14:paraId="1AD85D12" w14:textId="77777777" w:rsidR="002641D4" w:rsidRPr="002641D4" w:rsidRDefault="002641D4" w:rsidP="00042E28">
            <w:pPr>
              <w:widowControl/>
              <w:spacing w:line="480" w:lineRule="auto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Past medical history</w:t>
            </w:r>
          </w:p>
        </w:tc>
      </w:tr>
      <w:tr w:rsidR="002641D4" w:rsidRPr="002641D4" w14:paraId="26857270" w14:textId="77777777" w:rsidTr="00042E2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6C873BCB" w14:textId="77777777" w:rsidR="002641D4" w:rsidRPr="002641D4" w:rsidRDefault="002641D4" w:rsidP="00042E28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2480" w:type="dxa"/>
            <w:hideMark/>
          </w:tcPr>
          <w:p w14:paraId="1B0DDD0D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2.532 (1.199-5.349)</w:t>
            </w:r>
          </w:p>
        </w:tc>
        <w:tc>
          <w:tcPr>
            <w:tcW w:w="1040" w:type="dxa"/>
            <w:hideMark/>
          </w:tcPr>
          <w:p w14:paraId="7DE5EA66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  <w:tc>
          <w:tcPr>
            <w:tcW w:w="2480" w:type="dxa"/>
            <w:hideMark/>
          </w:tcPr>
          <w:p w14:paraId="785E5179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2.408 (1.211-4.790)</w:t>
            </w:r>
          </w:p>
        </w:tc>
        <w:tc>
          <w:tcPr>
            <w:tcW w:w="1040" w:type="dxa"/>
            <w:hideMark/>
          </w:tcPr>
          <w:p w14:paraId="55688A10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0.012</w:t>
            </w:r>
          </w:p>
        </w:tc>
      </w:tr>
      <w:tr w:rsidR="002641D4" w:rsidRPr="002641D4" w14:paraId="501F4406" w14:textId="77777777" w:rsidTr="0004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6883F85E" w14:textId="77777777" w:rsidR="002641D4" w:rsidRPr="002641D4" w:rsidRDefault="002641D4" w:rsidP="00042E28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Diabetes mellitus</w:t>
            </w:r>
          </w:p>
        </w:tc>
        <w:tc>
          <w:tcPr>
            <w:tcW w:w="2480" w:type="dxa"/>
            <w:hideMark/>
          </w:tcPr>
          <w:p w14:paraId="29DC2B81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0.577 (0.215-1.548)</w:t>
            </w:r>
          </w:p>
        </w:tc>
        <w:tc>
          <w:tcPr>
            <w:tcW w:w="1040" w:type="dxa"/>
            <w:hideMark/>
          </w:tcPr>
          <w:p w14:paraId="7E7DC947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0.275 </w:t>
            </w:r>
          </w:p>
        </w:tc>
        <w:tc>
          <w:tcPr>
            <w:tcW w:w="2480" w:type="dxa"/>
            <w:hideMark/>
          </w:tcPr>
          <w:p w14:paraId="3A9FABB1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1A8A8BBB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41D4" w:rsidRPr="002641D4" w14:paraId="5CD23270" w14:textId="77777777" w:rsidTr="00042E2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5A8171C5" w14:textId="77777777" w:rsidR="002641D4" w:rsidRPr="002641D4" w:rsidRDefault="002641D4" w:rsidP="00042E28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Dyslipidemia</w:t>
            </w:r>
          </w:p>
        </w:tc>
        <w:tc>
          <w:tcPr>
            <w:tcW w:w="2480" w:type="dxa"/>
            <w:hideMark/>
          </w:tcPr>
          <w:p w14:paraId="32F6795F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1.183 (0.351-3.981)</w:t>
            </w:r>
          </w:p>
        </w:tc>
        <w:tc>
          <w:tcPr>
            <w:tcW w:w="1040" w:type="dxa"/>
            <w:hideMark/>
          </w:tcPr>
          <w:p w14:paraId="349AED15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0.787 </w:t>
            </w:r>
          </w:p>
        </w:tc>
        <w:tc>
          <w:tcPr>
            <w:tcW w:w="2480" w:type="dxa"/>
            <w:hideMark/>
          </w:tcPr>
          <w:p w14:paraId="3686019E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4DF8CCB6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41D4" w:rsidRPr="002641D4" w14:paraId="600F9F8E" w14:textId="77777777" w:rsidTr="0004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06E5E81B" w14:textId="37697C8A" w:rsidR="002641D4" w:rsidRPr="002641D4" w:rsidRDefault="002641D4" w:rsidP="00042E28">
            <w:pPr>
              <w:widowControl/>
              <w:spacing w:line="480" w:lineRule="auto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  CVA</w:t>
            </w:r>
          </w:p>
        </w:tc>
        <w:tc>
          <w:tcPr>
            <w:tcW w:w="2480" w:type="dxa"/>
            <w:hideMark/>
          </w:tcPr>
          <w:p w14:paraId="3D05F920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1.000 (0.092-10.853)</w:t>
            </w:r>
          </w:p>
        </w:tc>
        <w:tc>
          <w:tcPr>
            <w:tcW w:w="1040" w:type="dxa"/>
            <w:hideMark/>
          </w:tcPr>
          <w:p w14:paraId="293305A3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2480" w:type="dxa"/>
            <w:hideMark/>
          </w:tcPr>
          <w:p w14:paraId="256BFCDB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3AD031B4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41D4" w:rsidRPr="002641D4" w14:paraId="2E75DC9E" w14:textId="77777777" w:rsidTr="00042E2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5268EA45" w14:textId="77777777" w:rsidR="002641D4" w:rsidRPr="002641D4" w:rsidRDefault="002641D4" w:rsidP="00042E28">
            <w:pPr>
              <w:widowControl/>
              <w:spacing w:line="480" w:lineRule="auto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Presence of myocardial necrosis</w:t>
            </w:r>
          </w:p>
        </w:tc>
        <w:tc>
          <w:tcPr>
            <w:tcW w:w="2480" w:type="dxa"/>
            <w:hideMark/>
          </w:tcPr>
          <w:p w14:paraId="1DF0312F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1.000 (0.416-2.407)</w:t>
            </w:r>
          </w:p>
        </w:tc>
        <w:tc>
          <w:tcPr>
            <w:tcW w:w="1040" w:type="dxa"/>
            <w:hideMark/>
          </w:tcPr>
          <w:p w14:paraId="229BA2EE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2480" w:type="dxa"/>
            <w:hideMark/>
          </w:tcPr>
          <w:p w14:paraId="47C6498B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1D004578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41D4" w:rsidRPr="002641D4" w14:paraId="37360542" w14:textId="77777777" w:rsidTr="0004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7A9D72EF" w14:textId="77777777" w:rsidR="002641D4" w:rsidRPr="002641D4" w:rsidRDefault="002641D4" w:rsidP="00042E28">
            <w:pPr>
              <w:widowControl/>
              <w:spacing w:line="480" w:lineRule="auto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LVEF &lt;40%</w:t>
            </w:r>
          </w:p>
        </w:tc>
        <w:tc>
          <w:tcPr>
            <w:tcW w:w="2480" w:type="dxa"/>
            <w:hideMark/>
          </w:tcPr>
          <w:p w14:paraId="054F3D5A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14:paraId="4BF1695B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480" w:type="dxa"/>
            <w:hideMark/>
          </w:tcPr>
          <w:p w14:paraId="0763A2BA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146664CF" w14:textId="77777777" w:rsidR="002641D4" w:rsidRPr="002641D4" w:rsidRDefault="002641D4" w:rsidP="00042E28">
            <w:pPr>
              <w:widowControl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2641D4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AA45A22" w14:textId="12881B8C" w:rsidR="00F71643" w:rsidRPr="00F71643" w:rsidRDefault="00B13941" w:rsidP="00042E28">
      <w:pPr>
        <w:widowControl/>
        <w:spacing w:after="0" w:line="480" w:lineRule="auto"/>
        <w:contextualSpacing/>
      </w:pPr>
      <w:bookmarkStart w:id="0" w:name="_Hlk146902879"/>
      <w:r>
        <w:rPr>
          <w:rFonts w:ascii="Times New Roman" w:hAnsi="Times New Roman"/>
          <w:color w:val="000000"/>
          <w:sz w:val="24"/>
          <w:szCs w:val="24"/>
        </w:rPr>
        <w:lastRenderedPageBreak/>
        <w:t>BMI</w:t>
      </w:r>
      <w:r w:rsidR="00CA19A1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body mass index; </w:t>
      </w:r>
      <w:r w:rsidR="00F06AE9">
        <w:rPr>
          <w:rFonts w:ascii="Times New Roman" w:hAnsi="Times New Roman"/>
          <w:color w:val="000000" w:themeColor="text1"/>
          <w:sz w:val="24"/>
          <w:szCs w:val="24"/>
        </w:rPr>
        <w:t>CI=</w:t>
      </w:r>
      <w:r w:rsidR="00F06AE9" w:rsidRPr="00744D9C">
        <w:rPr>
          <w:rFonts w:ascii="Times New Roman" w:hAnsi="Times New Roman"/>
          <w:color w:val="000000" w:themeColor="text1"/>
          <w:sz w:val="24"/>
          <w:szCs w:val="24"/>
        </w:rPr>
        <w:t>confidence interval;</w:t>
      </w:r>
      <w:r w:rsidR="00F06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CVA</w:t>
      </w:r>
      <w:r w:rsidR="00CA19A1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cerebrovascular accident</w:t>
      </w:r>
      <w:r w:rsidR="00006EB0">
        <w:rPr>
          <w:rFonts w:ascii="Times New Roman" w:hAnsi="Times New Roman"/>
          <w:color w:val="000000"/>
          <w:sz w:val="24"/>
          <w:szCs w:val="24"/>
        </w:rPr>
        <w:t>;</w:t>
      </w:r>
      <w:r w:rsidR="00F06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C1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VEF</w:t>
      </w:r>
      <w:r w:rsidR="00CA19A1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left ventricular ejection fraction; </w:t>
      </w:r>
      <w:r w:rsidR="00CE48A9">
        <w:rPr>
          <w:rFonts w:ascii="Times New Roman" w:hAnsi="Times New Roman"/>
          <w:color w:val="000000"/>
          <w:sz w:val="24"/>
          <w:szCs w:val="24"/>
        </w:rPr>
        <w:t>OR</w:t>
      </w:r>
      <w:r w:rsidR="00CA19A1">
        <w:rPr>
          <w:rFonts w:ascii="Times New Roman" w:hAnsi="Times New Roman"/>
          <w:color w:val="000000"/>
          <w:sz w:val="24"/>
          <w:szCs w:val="24"/>
        </w:rPr>
        <w:t>=</w:t>
      </w:r>
      <w:r w:rsidR="00CE48A9">
        <w:rPr>
          <w:rFonts w:ascii="Times New Roman" w:hAnsi="Times New Roman"/>
          <w:color w:val="000000"/>
          <w:sz w:val="24"/>
          <w:szCs w:val="24"/>
        </w:rPr>
        <w:t>odds ratio.</w:t>
      </w:r>
      <w:bookmarkEnd w:id="0"/>
    </w:p>
    <w:sectPr w:rsidR="00F71643" w:rsidRPr="00F71643" w:rsidSect="00F71643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041E" w14:textId="77777777" w:rsidR="00915B26" w:rsidRDefault="00915B26" w:rsidP="00771939">
      <w:pPr>
        <w:spacing w:after="0" w:line="240" w:lineRule="auto"/>
      </w:pPr>
      <w:r>
        <w:separator/>
      </w:r>
    </w:p>
  </w:endnote>
  <w:endnote w:type="continuationSeparator" w:id="0">
    <w:p w14:paraId="4CF15100" w14:textId="77777777" w:rsidR="00915B26" w:rsidRDefault="00915B26" w:rsidP="0077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A65C" w14:textId="77777777" w:rsidR="00915B26" w:rsidRDefault="00915B26" w:rsidP="00771939">
      <w:pPr>
        <w:spacing w:after="0" w:line="240" w:lineRule="auto"/>
      </w:pPr>
      <w:r>
        <w:separator/>
      </w:r>
    </w:p>
  </w:footnote>
  <w:footnote w:type="continuationSeparator" w:id="0">
    <w:p w14:paraId="403769EF" w14:textId="77777777" w:rsidR="00915B26" w:rsidRDefault="00915B26" w:rsidP="00771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43"/>
    <w:rsid w:val="00003760"/>
    <w:rsid w:val="00006EB0"/>
    <w:rsid w:val="00014A6A"/>
    <w:rsid w:val="000177B1"/>
    <w:rsid w:val="00025641"/>
    <w:rsid w:val="00042E28"/>
    <w:rsid w:val="00071B85"/>
    <w:rsid w:val="00080429"/>
    <w:rsid w:val="000A7E33"/>
    <w:rsid w:val="000B721F"/>
    <w:rsid w:val="000D5EF4"/>
    <w:rsid w:val="000E2567"/>
    <w:rsid w:val="00122C36"/>
    <w:rsid w:val="00124442"/>
    <w:rsid w:val="0014512B"/>
    <w:rsid w:val="001632F0"/>
    <w:rsid w:val="001A0EA7"/>
    <w:rsid w:val="001C2A65"/>
    <w:rsid w:val="001C542D"/>
    <w:rsid w:val="001D4E30"/>
    <w:rsid w:val="0021769C"/>
    <w:rsid w:val="002511AF"/>
    <w:rsid w:val="002641D4"/>
    <w:rsid w:val="00293014"/>
    <w:rsid w:val="002B6303"/>
    <w:rsid w:val="002B7485"/>
    <w:rsid w:val="00356FA4"/>
    <w:rsid w:val="003A2B1E"/>
    <w:rsid w:val="003A6A49"/>
    <w:rsid w:val="003A7C6A"/>
    <w:rsid w:val="003E48B9"/>
    <w:rsid w:val="00463B0B"/>
    <w:rsid w:val="00467D7E"/>
    <w:rsid w:val="004D1778"/>
    <w:rsid w:val="004F1768"/>
    <w:rsid w:val="005060DD"/>
    <w:rsid w:val="0051763E"/>
    <w:rsid w:val="005940EB"/>
    <w:rsid w:val="0059652D"/>
    <w:rsid w:val="005A39EF"/>
    <w:rsid w:val="005C0E95"/>
    <w:rsid w:val="00606046"/>
    <w:rsid w:val="00606187"/>
    <w:rsid w:val="00653CCC"/>
    <w:rsid w:val="0065567F"/>
    <w:rsid w:val="00664DFF"/>
    <w:rsid w:val="0066785C"/>
    <w:rsid w:val="00686796"/>
    <w:rsid w:val="006920C1"/>
    <w:rsid w:val="006C05F3"/>
    <w:rsid w:val="006E24BC"/>
    <w:rsid w:val="006E36FA"/>
    <w:rsid w:val="006E4B38"/>
    <w:rsid w:val="00727620"/>
    <w:rsid w:val="0074502A"/>
    <w:rsid w:val="00771939"/>
    <w:rsid w:val="00773E5E"/>
    <w:rsid w:val="007A4ED0"/>
    <w:rsid w:val="008372F6"/>
    <w:rsid w:val="008C1A39"/>
    <w:rsid w:val="008D69D7"/>
    <w:rsid w:val="008E26DF"/>
    <w:rsid w:val="00911006"/>
    <w:rsid w:val="00913A84"/>
    <w:rsid w:val="00915B26"/>
    <w:rsid w:val="009218A0"/>
    <w:rsid w:val="009257EA"/>
    <w:rsid w:val="00981168"/>
    <w:rsid w:val="009868F1"/>
    <w:rsid w:val="00991ADF"/>
    <w:rsid w:val="009939B2"/>
    <w:rsid w:val="00997708"/>
    <w:rsid w:val="009A628F"/>
    <w:rsid w:val="009B1C92"/>
    <w:rsid w:val="00A11CF0"/>
    <w:rsid w:val="00A3638E"/>
    <w:rsid w:val="00A47729"/>
    <w:rsid w:val="00A93FAB"/>
    <w:rsid w:val="00AB2553"/>
    <w:rsid w:val="00AE3A09"/>
    <w:rsid w:val="00B12580"/>
    <w:rsid w:val="00B13941"/>
    <w:rsid w:val="00B23924"/>
    <w:rsid w:val="00B35058"/>
    <w:rsid w:val="00B4179C"/>
    <w:rsid w:val="00B42E1E"/>
    <w:rsid w:val="00B620EA"/>
    <w:rsid w:val="00B76D72"/>
    <w:rsid w:val="00B83533"/>
    <w:rsid w:val="00B94EC7"/>
    <w:rsid w:val="00BA4D0C"/>
    <w:rsid w:val="00BA5E5D"/>
    <w:rsid w:val="00BE0E21"/>
    <w:rsid w:val="00BE6D5E"/>
    <w:rsid w:val="00C1635A"/>
    <w:rsid w:val="00C3083A"/>
    <w:rsid w:val="00C708EB"/>
    <w:rsid w:val="00C83AD5"/>
    <w:rsid w:val="00C902A1"/>
    <w:rsid w:val="00CA19A1"/>
    <w:rsid w:val="00CB0455"/>
    <w:rsid w:val="00CC0027"/>
    <w:rsid w:val="00CE48A9"/>
    <w:rsid w:val="00D15F51"/>
    <w:rsid w:val="00D173B8"/>
    <w:rsid w:val="00D435E5"/>
    <w:rsid w:val="00D45FAA"/>
    <w:rsid w:val="00D74682"/>
    <w:rsid w:val="00D75FA6"/>
    <w:rsid w:val="00DC6578"/>
    <w:rsid w:val="00E10A24"/>
    <w:rsid w:val="00E23404"/>
    <w:rsid w:val="00E30CF9"/>
    <w:rsid w:val="00E50F79"/>
    <w:rsid w:val="00E67EFF"/>
    <w:rsid w:val="00E855DE"/>
    <w:rsid w:val="00E85FDA"/>
    <w:rsid w:val="00E87E2A"/>
    <w:rsid w:val="00E97333"/>
    <w:rsid w:val="00EB1A2F"/>
    <w:rsid w:val="00ED73A1"/>
    <w:rsid w:val="00F06AE9"/>
    <w:rsid w:val="00F44390"/>
    <w:rsid w:val="00F50D10"/>
    <w:rsid w:val="00F71643"/>
    <w:rsid w:val="00F97D8A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BB304"/>
  <w15:chartTrackingRefBased/>
  <w15:docId w15:val="{14F81ED4-3D56-4FF0-81B5-AB151AA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643"/>
    <w:pPr>
      <w:widowControl w:val="0"/>
    </w:pPr>
    <w:rPr>
      <w:rFonts w:ascii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9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71939"/>
    <w:rPr>
      <w:rFonts w:ascii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7719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71939"/>
    <w:rPr>
      <w:rFonts w:ascii="맑은 고딕" w:hAnsi="맑은 고딕" w:cs="Times New Roman"/>
    </w:rPr>
  </w:style>
  <w:style w:type="table" w:styleId="2">
    <w:name w:val="Plain Table 2"/>
    <w:basedOn w:val="a1"/>
    <w:uiPriority w:val="42"/>
    <w:rsid w:val="00B42E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오석</dc:creator>
  <cp:keywords/>
  <dc:description/>
  <cp:lastModifiedBy>Seok Oh</cp:lastModifiedBy>
  <cp:revision>16</cp:revision>
  <dcterms:created xsi:type="dcterms:W3CDTF">2023-09-27T15:47:00Z</dcterms:created>
  <dcterms:modified xsi:type="dcterms:W3CDTF">2024-10-03T13:09:00Z</dcterms:modified>
</cp:coreProperties>
</file>