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6674" w:rsidRPr="008020F6" w:rsidRDefault="00F86674" w:rsidP="00F86674">
      <w:pPr>
        <w:rPr>
          <w:lang w:val="en-US"/>
        </w:rPr>
      </w:pPr>
      <w:bookmarkStart w:id="0" w:name="_GoBack"/>
      <w:bookmarkEnd w:id="0"/>
      <w:r w:rsidRPr="009461C9">
        <w:rPr>
          <w:b/>
          <w:bCs/>
          <w:lang w:val="en-US"/>
        </w:rPr>
        <w:t>Table S1.</w:t>
      </w:r>
      <w:r w:rsidRPr="008020F6">
        <w:rPr>
          <w:lang w:val="en-US"/>
        </w:rPr>
        <w:t xml:space="preserve"> </w:t>
      </w:r>
      <w:r>
        <w:rPr>
          <w:lang w:val="en-US"/>
        </w:rPr>
        <w:t>Methodology characteristics of included trials.</w:t>
      </w:r>
    </w:p>
    <w:tbl>
      <w:tblPr>
        <w:tblStyle w:val="Tabela-Siatka"/>
        <w:tblW w:w="0" w:type="auto"/>
        <w:tblLook w:val="04A0" w:firstRow="1" w:lastRow="0" w:firstColumn="1" w:lastColumn="0" w:noHBand="0" w:noVBand="1"/>
      </w:tblPr>
      <w:tblGrid>
        <w:gridCol w:w="2254"/>
        <w:gridCol w:w="1569"/>
        <w:gridCol w:w="1701"/>
        <w:gridCol w:w="2126"/>
        <w:gridCol w:w="2126"/>
        <w:gridCol w:w="4220"/>
      </w:tblGrid>
      <w:tr w:rsidR="00F86674" w:rsidRPr="00C369AA" w:rsidTr="003C1C54">
        <w:tc>
          <w:tcPr>
            <w:tcW w:w="2254" w:type="dxa"/>
            <w:vAlign w:val="center"/>
          </w:tcPr>
          <w:p w:rsidR="00F86674" w:rsidRPr="00C369AA" w:rsidRDefault="00F86674" w:rsidP="003C1C54">
            <w:pPr>
              <w:jc w:val="center"/>
              <w:rPr>
                <w:b/>
                <w:bCs/>
                <w:sz w:val="20"/>
                <w:szCs w:val="20"/>
                <w:lang w:val="en-US"/>
              </w:rPr>
            </w:pPr>
            <w:r w:rsidRPr="00C369AA">
              <w:rPr>
                <w:b/>
                <w:bCs/>
                <w:sz w:val="20"/>
                <w:szCs w:val="20"/>
                <w:lang w:val="en-US"/>
              </w:rPr>
              <w:t>Study</w:t>
            </w:r>
          </w:p>
        </w:tc>
        <w:tc>
          <w:tcPr>
            <w:tcW w:w="1569" w:type="dxa"/>
            <w:vAlign w:val="center"/>
          </w:tcPr>
          <w:p w:rsidR="00F86674" w:rsidRPr="00C369AA" w:rsidRDefault="00F86674" w:rsidP="003C1C54">
            <w:pPr>
              <w:jc w:val="center"/>
              <w:rPr>
                <w:b/>
                <w:bCs/>
                <w:sz w:val="20"/>
                <w:szCs w:val="20"/>
                <w:lang w:val="en-US"/>
              </w:rPr>
            </w:pPr>
            <w:r w:rsidRPr="00C369AA">
              <w:rPr>
                <w:b/>
                <w:bCs/>
                <w:sz w:val="20"/>
                <w:szCs w:val="20"/>
                <w:lang w:val="en-US"/>
              </w:rPr>
              <w:t>Time period – Before pandemic group</w:t>
            </w:r>
          </w:p>
        </w:tc>
        <w:tc>
          <w:tcPr>
            <w:tcW w:w="1701" w:type="dxa"/>
            <w:vAlign w:val="center"/>
          </w:tcPr>
          <w:p w:rsidR="00F86674" w:rsidRPr="00C369AA" w:rsidRDefault="00F86674" w:rsidP="003C1C54">
            <w:pPr>
              <w:jc w:val="center"/>
              <w:rPr>
                <w:b/>
                <w:bCs/>
                <w:sz w:val="20"/>
                <w:szCs w:val="20"/>
                <w:lang w:val="en-US"/>
              </w:rPr>
            </w:pPr>
            <w:r w:rsidRPr="00C369AA">
              <w:rPr>
                <w:b/>
                <w:bCs/>
                <w:sz w:val="20"/>
                <w:szCs w:val="20"/>
                <w:lang w:val="en-US"/>
              </w:rPr>
              <w:t>Time period – During pandemic group</w:t>
            </w:r>
          </w:p>
        </w:tc>
        <w:tc>
          <w:tcPr>
            <w:tcW w:w="2126" w:type="dxa"/>
            <w:vAlign w:val="center"/>
          </w:tcPr>
          <w:p w:rsidR="00F86674" w:rsidRPr="00C369AA" w:rsidRDefault="00F86674" w:rsidP="003C1C54">
            <w:pPr>
              <w:jc w:val="center"/>
              <w:rPr>
                <w:b/>
                <w:bCs/>
                <w:sz w:val="20"/>
                <w:szCs w:val="20"/>
                <w:lang w:val="en-US"/>
              </w:rPr>
            </w:pPr>
            <w:r w:rsidRPr="00C369AA">
              <w:rPr>
                <w:b/>
                <w:bCs/>
                <w:sz w:val="20"/>
                <w:szCs w:val="20"/>
                <w:lang w:val="en-US"/>
              </w:rPr>
              <w:t>Inclusion criteria</w:t>
            </w:r>
          </w:p>
        </w:tc>
        <w:tc>
          <w:tcPr>
            <w:tcW w:w="2126" w:type="dxa"/>
            <w:vAlign w:val="center"/>
          </w:tcPr>
          <w:p w:rsidR="00F86674" w:rsidRPr="00C369AA" w:rsidRDefault="00F86674" w:rsidP="003C1C54">
            <w:pPr>
              <w:jc w:val="center"/>
              <w:rPr>
                <w:b/>
                <w:bCs/>
                <w:sz w:val="20"/>
                <w:szCs w:val="20"/>
                <w:lang w:val="en-US"/>
              </w:rPr>
            </w:pPr>
            <w:r w:rsidRPr="00C369AA">
              <w:rPr>
                <w:b/>
                <w:bCs/>
                <w:sz w:val="20"/>
                <w:szCs w:val="20"/>
                <w:lang w:val="en-US"/>
              </w:rPr>
              <w:t>Exclusion criteria</w:t>
            </w:r>
          </w:p>
        </w:tc>
        <w:tc>
          <w:tcPr>
            <w:tcW w:w="4220" w:type="dxa"/>
            <w:vAlign w:val="center"/>
          </w:tcPr>
          <w:p w:rsidR="00F86674" w:rsidRPr="00C369AA" w:rsidRDefault="00F86674" w:rsidP="003C1C54">
            <w:pPr>
              <w:jc w:val="center"/>
              <w:rPr>
                <w:b/>
                <w:bCs/>
                <w:sz w:val="20"/>
                <w:szCs w:val="20"/>
                <w:lang w:val="en-US"/>
              </w:rPr>
            </w:pPr>
            <w:r w:rsidRPr="00C369AA">
              <w:rPr>
                <w:b/>
                <w:bCs/>
                <w:sz w:val="20"/>
                <w:szCs w:val="20"/>
                <w:lang w:val="en-US"/>
              </w:rPr>
              <w:t>Findings</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Baldi et al., 2020</w:t>
            </w:r>
          </w:p>
        </w:tc>
        <w:tc>
          <w:tcPr>
            <w:tcW w:w="1569" w:type="dxa"/>
          </w:tcPr>
          <w:p w:rsidR="00F86674" w:rsidRPr="00C369AA" w:rsidRDefault="00F86674" w:rsidP="003C1C54">
            <w:pPr>
              <w:jc w:val="center"/>
              <w:rPr>
                <w:sz w:val="20"/>
                <w:szCs w:val="20"/>
                <w:lang w:val="en-US"/>
              </w:rPr>
            </w:pPr>
            <w:r w:rsidRPr="00C369AA">
              <w:rPr>
                <w:sz w:val="20"/>
                <w:szCs w:val="20"/>
                <w:lang w:val="en-US"/>
              </w:rPr>
              <w:t>21.02.2019 – 31.05.2019</w:t>
            </w:r>
          </w:p>
        </w:tc>
        <w:tc>
          <w:tcPr>
            <w:tcW w:w="1701" w:type="dxa"/>
          </w:tcPr>
          <w:p w:rsidR="00F86674" w:rsidRPr="00C369AA" w:rsidRDefault="00F86674" w:rsidP="003C1C54">
            <w:pPr>
              <w:jc w:val="center"/>
              <w:rPr>
                <w:sz w:val="20"/>
                <w:szCs w:val="20"/>
                <w:lang w:val="en-US"/>
              </w:rPr>
            </w:pPr>
            <w:r w:rsidRPr="00C369AA">
              <w:rPr>
                <w:sz w:val="20"/>
                <w:szCs w:val="20"/>
                <w:lang w:val="en-US"/>
              </w:rPr>
              <w:t>21.02.2020 – 30.05.2020</w:t>
            </w:r>
          </w:p>
        </w:tc>
        <w:tc>
          <w:tcPr>
            <w:tcW w:w="2126" w:type="dxa"/>
          </w:tcPr>
          <w:p w:rsidR="00F86674" w:rsidRPr="00C369AA" w:rsidRDefault="00F86674" w:rsidP="003C1C54">
            <w:pPr>
              <w:rPr>
                <w:sz w:val="20"/>
                <w:szCs w:val="20"/>
                <w:lang w:val="en-US"/>
              </w:rPr>
            </w:pPr>
            <w:r w:rsidRPr="00C369AA">
              <w:rPr>
                <w:sz w:val="20"/>
                <w:szCs w:val="20"/>
                <w:lang w:val="en-US"/>
              </w:rPr>
              <w:t>OHCA adult patients.</w:t>
            </w:r>
          </w:p>
        </w:tc>
        <w:tc>
          <w:tcPr>
            <w:tcW w:w="2126" w:type="dxa"/>
          </w:tcPr>
          <w:p w:rsidR="00F86674" w:rsidRPr="00C369AA" w:rsidRDefault="00F86674" w:rsidP="003C1C54">
            <w:pPr>
              <w:rPr>
                <w:sz w:val="20"/>
                <w:szCs w:val="20"/>
                <w:lang w:val="en-US"/>
              </w:rPr>
            </w:pPr>
            <w:r w:rsidRPr="00C369AA">
              <w:rPr>
                <w:sz w:val="20"/>
                <w:szCs w:val="20"/>
                <w:lang w:val="en-US"/>
              </w:rPr>
              <w:t>Not meet inclusion criteria.</w:t>
            </w:r>
          </w:p>
        </w:tc>
        <w:tc>
          <w:tcPr>
            <w:tcW w:w="4220" w:type="dxa"/>
          </w:tcPr>
          <w:p w:rsidR="00F86674" w:rsidRPr="00C369AA" w:rsidRDefault="00F86674" w:rsidP="003C1C54">
            <w:pPr>
              <w:jc w:val="both"/>
              <w:rPr>
                <w:sz w:val="20"/>
                <w:szCs w:val="20"/>
                <w:lang w:val="en-US"/>
              </w:rPr>
            </w:pPr>
            <w:r w:rsidRPr="00C369AA">
              <w:rPr>
                <w:sz w:val="20"/>
                <w:szCs w:val="20"/>
                <w:lang w:val="en-US"/>
              </w:rPr>
              <w:t>Compared to 2019, during the 2020 COVID-19 outbreak we observed a lower attitude of lay- people to start CPR, while resuscitation attempts by BLS and ALS staff were not influenced by suspected or confirmed infection, even at univariable analysis.</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Baldi et al., 2021</w:t>
            </w:r>
          </w:p>
        </w:tc>
        <w:tc>
          <w:tcPr>
            <w:tcW w:w="1569" w:type="dxa"/>
          </w:tcPr>
          <w:p w:rsidR="00F86674" w:rsidRPr="00C369AA" w:rsidRDefault="00F86674" w:rsidP="003C1C54">
            <w:pPr>
              <w:jc w:val="center"/>
              <w:rPr>
                <w:sz w:val="20"/>
                <w:szCs w:val="20"/>
                <w:lang w:val="en-US"/>
              </w:rPr>
            </w:pPr>
            <w:r w:rsidRPr="00C369AA">
              <w:rPr>
                <w:sz w:val="20"/>
                <w:szCs w:val="20"/>
                <w:lang w:val="en-US"/>
              </w:rPr>
              <w:t>25.02.2019 – 30.04.2019</w:t>
            </w:r>
          </w:p>
        </w:tc>
        <w:tc>
          <w:tcPr>
            <w:tcW w:w="1701" w:type="dxa"/>
          </w:tcPr>
          <w:p w:rsidR="00F86674" w:rsidRPr="00C369AA" w:rsidRDefault="00F86674" w:rsidP="003C1C54">
            <w:pPr>
              <w:jc w:val="center"/>
              <w:rPr>
                <w:sz w:val="20"/>
                <w:szCs w:val="20"/>
                <w:lang w:val="en-US"/>
              </w:rPr>
            </w:pPr>
            <w:r w:rsidRPr="00C369AA">
              <w:rPr>
                <w:sz w:val="20"/>
                <w:szCs w:val="20"/>
                <w:lang w:val="en-US"/>
              </w:rPr>
              <w:t>25.02.2020 – 30.04.2020</w:t>
            </w:r>
          </w:p>
        </w:tc>
        <w:tc>
          <w:tcPr>
            <w:tcW w:w="2126" w:type="dxa"/>
            <w:shd w:val="clear" w:color="auto" w:fill="auto"/>
          </w:tcPr>
          <w:p w:rsidR="00F86674" w:rsidRPr="00C369AA" w:rsidRDefault="00F86674" w:rsidP="003C1C54">
            <w:pPr>
              <w:rPr>
                <w:sz w:val="20"/>
                <w:szCs w:val="20"/>
                <w:lang w:val="en-US"/>
              </w:rPr>
            </w:pPr>
            <w:r w:rsidRPr="00C369AA">
              <w:rPr>
                <w:sz w:val="20"/>
                <w:szCs w:val="20"/>
                <w:lang w:val="en-US"/>
              </w:rPr>
              <w:t>OHCA adult patients.</w:t>
            </w:r>
          </w:p>
        </w:tc>
        <w:tc>
          <w:tcPr>
            <w:tcW w:w="2126" w:type="dxa"/>
            <w:shd w:val="clear" w:color="auto" w:fill="auto"/>
          </w:tcPr>
          <w:p w:rsidR="00F86674" w:rsidRPr="00C369AA" w:rsidRDefault="00F86674" w:rsidP="003C1C54">
            <w:pPr>
              <w:rPr>
                <w:sz w:val="20"/>
                <w:szCs w:val="20"/>
                <w:lang w:val="en-US"/>
              </w:rPr>
            </w:pPr>
            <w:r w:rsidRPr="00C369AA">
              <w:rPr>
                <w:sz w:val="20"/>
                <w:szCs w:val="20"/>
                <w:lang w:val="en-US"/>
              </w:rPr>
              <w:t>Not meet inclusion criteria.</w:t>
            </w:r>
          </w:p>
        </w:tc>
        <w:tc>
          <w:tcPr>
            <w:tcW w:w="4220" w:type="dxa"/>
          </w:tcPr>
          <w:p w:rsidR="00F86674" w:rsidRPr="00C369AA" w:rsidRDefault="00F86674" w:rsidP="003C1C54">
            <w:pPr>
              <w:jc w:val="both"/>
              <w:rPr>
                <w:sz w:val="20"/>
                <w:szCs w:val="20"/>
                <w:lang w:val="en-US"/>
              </w:rPr>
            </w:pPr>
            <w:r w:rsidRPr="00C369AA">
              <w:rPr>
                <w:sz w:val="20"/>
                <w:szCs w:val="20"/>
                <w:lang w:val="en-US"/>
              </w:rPr>
              <w:t>During the COVID-19 pandemic in Switzerland mortality increased in Cantons with high-incidence of infection, whilst not in the low- incidence ones. OHCA occurrence followed an opposite trend showing how variables related to the health-system and EMS organization deeply influence OHCA occurrence during a pandemic.</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Ball et al., 2020</w:t>
            </w:r>
          </w:p>
        </w:tc>
        <w:tc>
          <w:tcPr>
            <w:tcW w:w="1569" w:type="dxa"/>
          </w:tcPr>
          <w:p w:rsidR="00F86674" w:rsidRPr="00C369AA" w:rsidRDefault="00F86674" w:rsidP="003C1C54">
            <w:pPr>
              <w:jc w:val="center"/>
              <w:rPr>
                <w:sz w:val="20"/>
                <w:szCs w:val="20"/>
                <w:lang w:val="en-US"/>
              </w:rPr>
            </w:pPr>
            <w:r w:rsidRPr="00C369AA">
              <w:rPr>
                <w:sz w:val="20"/>
                <w:szCs w:val="20"/>
                <w:lang w:val="en-US"/>
              </w:rPr>
              <w:t>16.03.2017 – 12.05 - 2019</w:t>
            </w:r>
          </w:p>
        </w:tc>
        <w:tc>
          <w:tcPr>
            <w:tcW w:w="1701" w:type="dxa"/>
          </w:tcPr>
          <w:p w:rsidR="00F86674" w:rsidRPr="00C369AA" w:rsidRDefault="00F86674" w:rsidP="003C1C54">
            <w:pPr>
              <w:jc w:val="center"/>
              <w:rPr>
                <w:sz w:val="20"/>
                <w:szCs w:val="20"/>
                <w:lang w:val="en-US"/>
              </w:rPr>
            </w:pPr>
            <w:r w:rsidRPr="00C369AA">
              <w:rPr>
                <w:sz w:val="20"/>
                <w:szCs w:val="20"/>
                <w:lang w:val="en-US"/>
              </w:rPr>
              <w:t>16.03.2020 – 12.05.2020</w:t>
            </w:r>
          </w:p>
        </w:tc>
        <w:tc>
          <w:tcPr>
            <w:tcW w:w="2126" w:type="dxa"/>
          </w:tcPr>
          <w:p w:rsidR="00F86674" w:rsidRPr="00C369AA" w:rsidRDefault="00F86674" w:rsidP="003C1C54">
            <w:pPr>
              <w:rPr>
                <w:sz w:val="20"/>
                <w:szCs w:val="20"/>
                <w:lang w:val="en-US"/>
              </w:rPr>
            </w:pPr>
            <w:r w:rsidRPr="00C369AA">
              <w:rPr>
                <w:sz w:val="20"/>
                <w:szCs w:val="20"/>
                <w:lang w:val="en-US"/>
              </w:rPr>
              <w:t>Adult OHCA patients (aged&gt;15 years).</w:t>
            </w:r>
          </w:p>
        </w:tc>
        <w:tc>
          <w:tcPr>
            <w:tcW w:w="2126" w:type="dxa"/>
          </w:tcPr>
          <w:p w:rsidR="00F86674" w:rsidRPr="00C369AA" w:rsidRDefault="00F86674" w:rsidP="003C1C54">
            <w:pPr>
              <w:rPr>
                <w:sz w:val="20"/>
                <w:szCs w:val="20"/>
                <w:lang w:val="en-US"/>
              </w:rPr>
            </w:pPr>
            <w:r w:rsidRPr="00C369AA">
              <w:rPr>
                <w:sz w:val="20"/>
                <w:szCs w:val="20"/>
                <w:lang w:val="en-US"/>
              </w:rPr>
              <w:t>EMS witnessed OHCA events and patients for whom a Do-Not-Resuscitate order/Advanced Care Directive was in place.</w:t>
            </w:r>
          </w:p>
        </w:tc>
        <w:tc>
          <w:tcPr>
            <w:tcW w:w="4220" w:type="dxa"/>
          </w:tcPr>
          <w:p w:rsidR="00F86674" w:rsidRPr="00C369AA" w:rsidRDefault="00F86674" w:rsidP="003C1C54">
            <w:pPr>
              <w:jc w:val="both"/>
              <w:rPr>
                <w:sz w:val="20"/>
                <w:szCs w:val="20"/>
              </w:rPr>
            </w:pPr>
            <w:r w:rsidRPr="00C369AA">
              <w:rPr>
                <w:sz w:val="20"/>
                <w:szCs w:val="20"/>
                <w:lang w:val="en-US"/>
              </w:rPr>
              <w:t xml:space="preserve">The COVID-19 pandemic period did not influence OHCA incidence but appears to have disrupted the system-of-care in Australia. </w:t>
            </w:r>
            <w:r w:rsidRPr="00C369AA">
              <w:rPr>
                <w:sz w:val="20"/>
                <w:szCs w:val="20"/>
              </w:rPr>
              <w:t>However, this could not completely explain reductions in survival.</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Biskupski et al., 2022</w:t>
            </w:r>
          </w:p>
        </w:tc>
        <w:tc>
          <w:tcPr>
            <w:tcW w:w="1569" w:type="dxa"/>
          </w:tcPr>
          <w:p w:rsidR="00F86674" w:rsidRPr="00C369AA" w:rsidRDefault="00F86674" w:rsidP="003C1C54">
            <w:pPr>
              <w:jc w:val="center"/>
              <w:rPr>
                <w:sz w:val="20"/>
                <w:szCs w:val="20"/>
                <w:lang w:val="en-US"/>
              </w:rPr>
            </w:pPr>
            <w:r w:rsidRPr="00C369AA">
              <w:rPr>
                <w:sz w:val="20"/>
                <w:szCs w:val="20"/>
                <w:lang w:val="en-US"/>
              </w:rPr>
              <w:t>09.2019 – 02.2020</w:t>
            </w:r>
          </w:p>
        </w:tc>
        <w:tc>
          <w:tcPr>
            <w:tcW w:w="1701" w:type="dxa"/>
          </w:tcPr>
          <w:p w:rsidR="00F86674" w:rsidRPr="00C369AA" w:rsidRDefault="00F86674" w:rsidP="003C1C54">
            <w:pPr>
              <w:jc w:val="center"/>
              <w:rPr>
                <w:sz w:val="20"/>
                <w:szCs w:val="20"/>
                <w:lang w:val="en-US"/>
              </w:rPr>
            </w:pPr>
            <w:r w:rsidRPr="00C369AA">
              <w:rPr>
                <w:sz w:val="20"/>
                <w:szCs w:val="20"/>
                <w:lang w:val="en-US"/>
              </w:rPr>
              <w:t>03.2020 – 06.2021</w:t>
            </w:r>
          </w:p>
        </w:tc>
        <w:tc>
          <w:tcPr>
            <w:tcW w:w="2126" w:type="dxa"/>
          </w:tcPr>
          <w:p w:rsidR="00F86674" w:rsidRPr="00C369AA" w:rsidRDefault="00F86674" w:rsidP="003C1C54">
            <w:pPr>
              <w:rPr>
                <w:sz w:val="20"/>
                <w:szCs w:val="20"/>
                <w:lang w:val="en-US"/>
              </w:rPr>
            </w:pPr>
            <w:r w:rsidRPr="00C369AA">
              <w:rPr>
                <w:sz w:val="20"/>
                <w:szCs w:val="20"/>
                <w:lang w:val="en-US"/>
              </w:rPr>
              <w:t>All non-traumatic OHCA adult (18 years or older) patients.</w:t>
            </w:r>
          </w:p>
        </w:tc>
        <w:tc>
          <w:tcPr>
            <w:tcW w:w="2126" w:type="dxa"/>
          </w:tcPr>
          <w:p w:rsidR="00F86674" w:rsidRPr="00C369AA" w:rsidRDefault="00F86674" w:rsidP="003C1C54">
            <w:pPr>
              <w:rPr>
                <w:sz w:val="20"/>
                <w:szCs w:val="20"/>
                <w:lang w:val="en-US"/>
              </w:rPr>
            </w:pPr>
            <w:r w:rsidRPr="00C369AA">
              <w:rPr>
                <w:sz w:val="20"/>
                <w:szCs w:val="20"/>
                <w:lang w:val="en-US"/>
              </w:rPr>
              <w:t>Traumatic OHCA, pediatric and inpatient cardiac arrests.</w:t>
            </w:r>
          </w:p>
        </w:tc>
        <w:tc>
          <w:tcPr>
            <w:tcW w:w="4220" w:type="dxa"/>
          </w:tcPr>
          <w:p w:rsidR="00F86674" w:rsidRPr="00C369AA" w:rsidRDefault="00F86674" w:rsidP="003C1C54">
            <w:pPr>
              <w:jc w:val="both"/>
              <w:rPr>
                <w:sz w:val="20"/>
                <w:szCs w:val="20"/>
                <w:lang w:val="en-US"/>
              </w:rPr>
            </w:pPr>
            <w:r w:rsidRPr="00C369AA">
              <w:rPr>
                <w:sz w:val="20"/>
                <w:szCs w:val="20"/>
                <w:lang w:val="en-US"/>
              </w:rPr>
              <w:t>There was a non-significant difference in ROSC, bystander CPR and survival to discharge in non-traumatic OHCA prior to and during the COVID-19 pandemic in the South Bronx. There was a significant difference in witnessed vs unwitnessed OHCA prior to and during the COVID-19 pandemic.</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Breglia et al., 2022</w:t>
            </w:r>
          </w:p>
        </w:tc>
        <w:tc>
          <w:tcPr>
            <w:tcW w:w="1569" w:type="dxa"/>
          </w:tcPr>
          <w:p w:rsidR="00F86674" w:rsidRPr="00C369AA" w:rsidRDefault="00F86674" w:rsidP="003C1C54">
            <w:pPr>
              <w:jc w:val="center"/>
              <w:rPr>
                <w:sz w:val="20"/>
                <w:szCs w:val="20"/>
                <w:lang w:val="en-US"/>
              </w:rPr>
            </w:pPr>
            <w:r w:rsidRPr="00C369AA">
              <w:rPr>
                <w:sz w:val="20"/>
                <w:szCs w:val="20"/>
                <w:lang w:val="en-US"/>
              </w:rPr>
              <w:t>01.2019 – 01.2020</w:t>
            </w:r>
          </w:p>
        </w:tc>
        <w:tc>
          <w:tcPr>
            <w:tcW w:w="1701" w:type="dxa"/>
          </w:tcPr>
          <w:p w:rsidR="00F86674" w:rsidRPr="00C369AA" w:rsidRDefault="00F86674" w:rsidP="003C1C54">
            <w:pPr>
              <w:jc w:val="center"/>
              <w:rPr>
                <w:sz w:val="20"/>
                <w:szCs w:val="20"/>
                <w:lang w:val="en-US"/>
              </w:rPr>
            </w:pPr>
            <w:r w:rsidRPr="00C369AA">
              <w:rPr>
                <w:sz w:val="20"/>
                <w:szCs w:val="20"/>
                <w:lang w:val="en-US"/>
              </w:rPr>
              <w:t>03.2020 – 03.2021</w:t>
            </w:r>
          </w:p>
        </w:tc>
        <w:tc>
          <w:tcPr>
            <w:tcW w:w="2126" w:type="dxa"/>
          </w:tcPr>
          <w:p w:rsidR="00F86674" w:rsidRPr="00C369AA" w:rsidRDefault="00F86674" w:rsidP="003C1C54">
            <w:pPr>
              <w:rPr>
                <w:sz w:val="20"/>
                <w:szCs w:val="20"/>
                <w:lang w:val="en-US"/>
              </w:rPr>
            </w:pPr>
            <w:r w:rsidRPr="00C369AA">
              <w:rPr>
                <w:sz w:val="20"/>
                <w:szCs w:val="20"/>
                <w:lang w:val="en-US"/>
              </w:rPr>
              <w:t>Subjects older than 18 years old who underwent CPR performed by the pre-hospital medical emergency service .</w:t>
            </w:r>
          </w:p>
        </w:tc>
        <w:tc>
          <w:tcPr>
            <w:tcW w:w="2126" w:type="dxa"/>
          </w:tcPr>
          <w:p w:rsidR="00F86674" w:rsidRPr="00C369AA" w:rsidRDefault="00F86674" w:rsidP="003C1C54">
            <w:pPr>
              <w:rPr>
                <w:sz w:val="20"/>
                <w:szCs w:val="20"/>
                <w:lang w:val="en-US"/>
              </w:rPr>
            </w:pPr>
            <w:r w:rsidRPr="00C369AA">
              <w:rPr>
                <w:sz w:val="20"/>
                <w:szCs w:val="20"/>
                <w:lang w:val="en-US"/>
              </w:rPr>
              <w:t>Subjects who did not undergo CPR by the emergency medical service team.</w:t>
            </w:r>
          </w:p>
        </w:tc>
        <w:tc>
          <w:tcPr>
            <w:tcW w:w="4220" w:type="dxa"/>
          </w:tcPr>
          <w:p w:rsidR="00F86674" w:rsidRPr="00C369AA" w:rsidRDefault="00F86674" w:rsidP="003C1C54">
            <w:pPr>
              <w:jc w:val="both"/>
              <w:rPr>
                <w:sz w:val="20"/>
                <w:szCs w:val="20"/>
                <w:lang w:val="en-US"/>
              </w:rPr>
            </w:pPr>
            <w:r w:rsidRPr="00C369AA">
              <w:rPr>
                <w:sz w:val="20"/>
                <w:szCs w:val="20"/>
                <w:lang w:val="en-US"/>
              </w:rPr>
              <w:t>The higher percentage of presenting shockable rhythm reinforces the importance of bystander rule and of short time to start CPR.</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lastRenderedPageBreak/>
              <w:t>Chavez et al., 2022</w:t>
            </w:r>
          </w:p>
        </w:tc>
        <w:tc>
          <w:tcPr>
            <w:tcW w:w="1569" w:type="dxa"/>
          </w:tcPr>
          <w:p w:rsidR="00F86674" w:rsidRPr="00C369AA" w:rsidRDefault="00F86674" w:rsidP="003C1C54">
            <w:pPr>
              <w:jc w:val="center"/>
              <w:rPr>
                <w:sz w:val="20"/>
                <w:szCs w:val="20"/>
                <w:lang w:val="en-US"/>
              </w:rPr>
            </w:pPr>
            <w:r w:rsidRPr="00C369AA">
              <w:rPr>
                <w:sz w:val="20"/>
                <w:szCs w:val="20"/>
                <w:lang w:val="en-US"/>
              </w:rPr>
              <w:t>11.03.2019 – 31.12.2019</w:t>
            </w:r>
          </w:p>
        </w:tc>
        <w:tc>
          <w:tcPr>
            <w:tcW w:w="1701" w:type="dxa"/>
          </w:tcPr>
          <w:p w:rsidR="00F86674" w:rsidRPr="00C369AA" w:rsidRDefault="00F86674" w:rsidP="003C1C54">
            <w:pPr>
              <w:jc w:val="center"/>
              <w:rPr>
                <w:sz w:val="20"/>
                <w:szCs w:val="20"/>
                <w:lang w:val="en-US"/>
              </w:rPr>
            </w:pPr>
            <w:r w:rsidRPr="00C369AA">
              <w:rPr>
                <w:sz w:val="20"/>
                <w:szCs w:val="20"/>
                <w:lang w:val="en-US"/>
              </w:rPr>
              <w:t>11.03.2020 – 31.12.2020</w:t>
            </w:r>
          </w:p>
        </w:tc>
        <w:tc>
          <w:tcPr>
            <w:tcW w:w="2126" w:type="dxa"/>
          </w:tcPr>
          <w:p w:rsidR="00F86674" w:rsidRPr="00C369AA" w:rsidRDefault="00F86674" w:rsidP="003C1C54">
            <w:pPr>
              <w:rPr>
                <w:sz w:val="20"/>
                <w:szCs w:val="20"/>
                <w:lang w:val="en-US"/>
              </w:rPr>
            </w:pPr>
            <w:r w:rsidRPr="00C369AA">
              <w:rPr>
                <w:sz w:val="20"/>
                <w:szCs w:val="20"/>
                <w:lang w:val="en-US"/>
              </w:rPr>
              <w:t>Adult OHCA patients.</w:t>
            </w:r>
          </w:p>
        </w:tc>
        <w:tc>
          <w:tcPr>
            <w:tcW w:w="2126" w:type="dxa"/>
          </w:tcPr>
          <w:p w:rsidR="00F86674" w:rsidRPr="00C369AA" w:rsidRDefault="00F86674" w:rsidP="003C1C54">
            <w:pPr>
              <w:rPr>
                <w:sz w:val="20"/>
                <w:szCs w:val="20"/>
                <w:lang w:val="en-US"/>
              </w:rPr>
            </w:pPr>
            <w:r w:rsidRPr="00C369AA">
              <w:rPr>
                <w:sz w:val="20"/>
                <w:szCs w:val="20"/>
                <w:lang w:val="en-US"/>
              </w:rPr>
              <w:t>Cases witnessed by 9–1-1 responders, arrests occur- ring at healthcare facilities and pediatric cases (&lt;18 years old). 2 EMS agencies who did not participate in CARES for the entire study period, representing 0.003% of the original data set.</w:t>
            </w:r>
          </w:p>
        </w:tc>
        <w:tc>
          <w:tcPr>
            <w:tcW w:w="4220" w:type="dxa"/>
          </w:tcPr>
          <w:p w:rsidR="00F86674" w:rsidRPr="00C369AA" w:rsidRDefault="00F86674" w:rsidP="003C1C54">
            <w:pPr>
              <w:jc w:val="both"/>
              <w:rPr>
                <w:sz w:val="20"/>
                <w:szCs w:val="20"/>
                <w:lang w:val="en-US"/>
              </w:rPr>
            </w:pPr>
            <w:r w:rsidRPr="00C369AA">
              <w:rPr>
                <w:sz w:val="20"/>
                <w:szCs w:val="20"/>
                <w:lang w:val="en-US"/>
              </w:rPr>
              <w:t>Our study adds state-wide evidence to the national phenomenon of long-term increased OHCA incidence during COVID-19, worsening rates of BCPR, PAD use and survival outcomes.</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Chugh et al., 2022</w:t>
            </w:r>
          </w:p>
        </w:tc>
        <w:tc>
          <w:tcPr>
            <w:tcW w:w="1569" w:type="dxa"/>
          </w:tcPr>
          <w:p w:rsidR="00F86674" w:rsidRPr="00C369AA" w:rsidRDefault="00F86674" w:rsidP="003C1C54">
            <w:pPr>
              <w:jc w:val="center"/>
              <w:rPr>
                <w:sz w:val="20"/>
                <w:szCs w:val="20"/>
                <w:lang w:val="en-US"/>
              </w:rPr>
            </w:pPr>
            <w:r w:rsidRPr="00C369AA">
              <w:rPr>
                <w:sz w:val="20"/>
                <w:szCs w:val="20"/>
                <w:lang w:val="en-US"/>
              </w:rPr>
              <w:t>01.02.2015 – 28.02.2020</w:t>
            </w:r>
          </w:p>
        </w:tc>
        <w:tc>
          <w:tcPr>
            <w:tcW w:w="1701" w:type="dxa"/>
          </w:tcPr>
          <w:p w:rsidR="00F86674" w:rsidRPr="00C369AA" w:rsidRDefault="00F86674" w:rsidP="003C1C54">
            <w:pPr>
              <w:jc w:val="center"/>
              <w:rPr>
                <w:sz w:val="20"/>
                <w:szCs w:val="20"/>
                <w:lang w:val="en-US"/>
              </w:rPr>
            </w:pPr>
            <w:r w:rsidRPr="00C369AA">
              <w:rPr>
                <w:sz w:val="20"/>
                <w:szCs w:val="20"/>
                <w:lang w:val="en-US"/>
              </w:rPr>
              <w:t>01.03.2020 – 28.02.2022</w:t>
            </w:r>
          </w:p>
        </w:tc>
        <w:tc>
          <w:tcPr>
            <w:tcW w:w="2126" w:type="dxa"/>
          </w:tcPr>
          <w:p w:rsidR="00F86674" w:rsidRPr="00C369AA" w:rsidRDefault="00F86674" w:rsidP="003C1C54">
            <w:pPr>
              <w:rPr>
                <w:sz w:val="20"/>
                <w:szCs w:val="20"/>
                <w:lang w:val="en-US"/>
              </w:rPr>
            </w:pPr>
            <w:r w:rsidRPr="00C369AA">
              <w:rPr>
                <w:sz w:val="20"/>
                <w:szCs w:val="20"/>
                <w:lang w:val="en-US"/>
              </w:rPr>
              <w:t>Incident cases of presumed SCA requiring cardiopulmonary resuscitation and/or defibrillation.</w:t>
            </w:r>
          </w:p>
        </w:tc>
        <w:tc>
          <w:tcPr>
            <w:tcW w:w="2126" w:type="dxa"/>
          </w:tcPr>
          <w:p w:rsidR="00F86674" w:rsidRPr="00C369AA" w:rsidRDefault="00F86674" w:rsidP="003C1C54">
            <w:pPr>
              <w:rPr>
                <w:sz w:val="20"/>
                <w:szCs w:val="20"/>
                <w:lang w:val="en-US"/>
              </w:rPr>
            </w:pPr>
            <w:r w:rsidRPr="00C369AA">
              <w:rPr>
                <w:sz w:val="20"/>
                <w:szCs w:val="20"/>
                <w:lang w:val="en-US"/>
              </w:rPr>
              <w:t>All cases with an identifiable non-cardiac etiology were excluded, such as trauma, drug overdose, and chronic terminal illness (e.g., malignancy not in remission).</w:t>
            </w:r>
          </w:p>
        </w:tc>
        <w:tc>
          <w:tcPr>
            <w:tcW w:w="4220" w:type="dxa"/>
          </w:tcPr>
          <w:p w:rsidR="00F86674" w:rsidRPr="00C369AA" w:rsidRDefault="00F86674" w:rsidP="003C1C54">
            <w:pPr>
              <w:pStyle w:val="NormalnyWeb"/>
              <w:jc w:val="both"/>
              <w:rPr>
                <w:sz w:val="20"/>
                <w:szCs w:val="20"/>
                <w:lang w:val="en-US"/>
              </w:rPr>
            </w:pPr>
            <w:r w:rsidRPr="00C369AA">
              <w:rPr>
                <w:rFonts w:ascii="Helvetica" w:hAnsi="Helvetica"/>
                <w:color w:val="333333"/>
                <w:sz w:val="20"/>
                <w:szCs w:val="20"/>
                <w:lang w:val="en-US"/>
              </w:rPr>
              <w:t xml:space="preserve">Hispanic residents experienced higher SCA rates during the pandemic with less favorable resuscitation profiles. These findings </w:t>
            </w:r>
            <w:r w:rsidRPr="00C369AA">
              <w:rPr>
                <w:rFonts w:ascii="Helvetica" w:hAnsi="Helvetica"/>
                <w:sz w:val="20"/>
                <w:szCs w:val="20"/>
                <w:lang w:val="en-US"/>
              </w:rPr>
              <w:t xml:space="preserve">implicate potential ethnicity-specific barriers to acute care and represent an urgent call to action at the community and health-system levels. </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Fothergill et al., 2021</w:t>
            </w:r>
          </w:p>
        </w:tc>
        <w:tc>
          <w:tcPr>
            <w:tcW w:w="1569" w:type="dxa"/>
          </w:tcPr>
          <w:p w:rsidR="00F86674" w:rsidRPr="00C369AA" w:rsidRDefault="00F86674" w:rsidP="003C1C54">
            <w:pPr>
              <w:jc w:val="center"/>
              <w:rPr>
                <w:sz w:val="20"/>
                <w:szCs w:val="20"/>
                <w:lang w:val="en-US"/>
              </w:rPr>
            </w:pPr>
            <w:r w:rsidRPr="00C369AA">
              <w:rPr>
                <w:sz w:val="20"/>
                <w:szCs w:val="20"/>
                <w:lang w:val="en-US"/>
              </w:rPr>
              <w:t>01.03.2019 – 30.04.2019</w:t>
            </w:r>
          </w:p>
        </w:tc>
        <w:tc>
          <w:tcPr>
            <w:tcW w:w="1701" w:type="dxa"/>
          </w:tcPr>
          <w:p w:rsidR="00F86674" w:rsidRPr="00C369AA" w:rsidRDefault="00F86674" w:rsidP="003C1C54">
            <w:pPr>
              <w:jc w:val="center"/>
              <w:rPr>
                <w:sz w:val="20"/>
                <w:szCs w:val="20"/>
                <w:lang w:val="en-US"/>
              </w:rPr>
            </w:pPr>
            <w:r w:rsidRPr="00C369AA">
              <w:rPr>
                <w:sz w:val="20"/>
                <w:szCs w:val="20"/>
                <w:lang w:val="en-US"/>
              </w:rPr>
              <w:t>01.03.2020 – 30.04.2020</w:t>
            </w:r>
          </w:p>
        </w:tc>
        <w:tc>
          <w:tcPr>
            <w:tcW w:w="2126" w:type="dxa"/>
          </w:tcPr>
          <w:p w:rsidR="00F86674" w:rsidRPr="00C369AA" w:rsidRDefault="00F86674" w:rsidP="003C1C54">
            <w:pPr>
              <w:rPr>
                <w:sz w:val="20"/>
                <w:szCs w:val="20"/>
                <w:lang w:val="en-US"/>
              </w:rPr>
            </w:pPr>
            <w:r w:rsidRPr="00C369AA">
              <w:rPr>
                <w:sz w:val="20"/>
                <w:szCs w:val="20"/>
                <w:lang w:val="en-US"/>
              </w:rPr>
              <w:t>All OHCA patients who, during the study periods, received an EMS response from LAS (irrespective of whether a resuscitation attempt was made)</w:t>
            </w:r>
          </w:p>
        </w:tc>
        <w:tc>
          <w:tcPr>
            <w:tcW w:w="2126" w:type="dxa"/>
          </w:tcPr>
          <w:p w:rsidR="00F86674" w:rsidRPr="00C369AA" w:rsidRDefault="00F86674" w:rsidP="003C1C54">
            <w:pPr>
              <w:rPr>
                <w:sz w:val="20"/>
                <w:szCs w:val="20"/>
                <w:lang w:val="en-US"/>
              </w:rPr>
            </w:pPr>
            <w:r w:rsidRPr="00C369AA">
              <w:rPr>
                <w:sz w:val="20"/>
                <w:szCs w:val="20"/>
                <w:lang w:val="en-US"/>
              </w:rPr>
              <w:t>Those who were successfully resuscitated prior to EMS arrival and so did not receive resuscitation from our clinicians.</w:t>
            </w:r>
          </w:p>
        </w:tc>
        <w:tc>
          <w:tcPr>
            <w:tcW w:w="4220" w:type="dxa"/>
          </w:tcPr>
          <w:p w:rsidR="00F86674" w:rsidRPr="00C369AA" w:rsidRDefault="00F86674" w:rsidP="003C1C54">
            <w:pPr>
              <w:jc w:val="both"/>
              <w:rPr>
                <w:sz w:val="20"/>
                <w:szCs w:val="20"/>
                <w:lang w:val="en-US"/>
              </w:rPr>
            </w:pPr>
            <w:r w:rsidRPr="00C369AA">
              <w:rPr>
                <w:sz w:val="20"/>
                <w:szCs w:val="20"/>
                <w:lang w:val="en-US"/>
              </w:rPr>
              <w:t>During the first wave of the COVID-19 pandemic in London, we saw a dramatic rise in the incidence of OHCA, accompanied by a significant reduction in survival. The pattern of increased incidence and mortality closely reflected the rise in confirmed COVID-19 infections in the city.</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Hosomi et al., 2022</w:t>
            </w:r>
          </w:p>
        </w:tc>
        <w:tc>
          <w:tcPr>
            <w:tcW w:w="1569" w:type="dxa"/>
          </w:tcPr>
          <w:p w:rsidR="00F86674" w:rsidRPr="00C369AA" w:rsidRDefault="00F86674" w:rsidP="003C1C54">
            <w:pPr>
              <w:jc w:val="center"/>
              <w:rPr>
                <w:sz w:val="20"/>
                <w:szCs w:val="20"/>
                <w:lang w:val="en-US"/>
              </w:rPr>
            </w:pPr>
            <w:r w:rsidRPr="00C369AA">
              <w:rPr>
                <w:sz w:val="20"/>
                <w:szCs w:val="20"/>
                <w:lang w:val="en-US"/>
              </w:rPr>
              <w:t>01.01.2005 – 31.12.2019</w:t>
            </w:r>
          </w:p>
        </w:tc>
        <w:tc>
          <w:tcPr>
            <w:tcW w:w="1701" w:type="dxa"/>
          </w:tcPr>
          <w:p w:rsidR="00F86674" w:rsidRPr="00C369AA" w:rsidRDefault="00F86674" w:rsidP="003C1C54">
            <w:pPr>
              <w:jc w:val="center"/>
              <w:rPr>
                <w:sz w:val="20"/>
                <w:szCs w:val="20"/>
                <w:lang w:val="en-US"/>
              </w:rPr>
            </w:pPr>
            <w:r w:rsidRPr="00C369AA">
              <w:rPr>
                <w:sz w:val="20"/>
                <w:szCs w:val="20"/>
                <w:lang w:val="en-US"/>
              </w:rPr>
              <w:t>07.04.2020 - 31.12.2020</w:t>
            </w:r>
          </w:p>
        </w:tc>
        <w:tc>
          <w:tcPr>
            <w:tcW w:w="2126" w:type="dxa"/>
          </w:tcPr>
          <w:p w:rsidR="00F86674" w:rsidRPr="00C369AA" w:rsidRDefault="00F86674" w:rsidP="003C1C54">
            <w:pPr>
              <w:rPr>
                <w:sz w:val="20"/>
                <w:szCs w:val="20"/>
                <w:lang w:val="en-US"/>
              </w:rPr>
            </w:pPr>
            <w:r w:rsidRPr="00C369AA">
              <w:rPr>
                <w:sz w:val="20"/>
                <w:szCs w:val="20"/>
                <w:lang w:val="en-US"/>
              </w:rPr>
              <w:t xml:space="preserve">Older adults (aged =&gt; 65 years) with bystander-witnessed OHCA of cardiac or noncardiac origin in whom resuscitation was attempted by </w:t>
            </w:r>
            <w:r w:rsidRPr="00C369AA">
              <w:rPr>
                <w:sz w:val="20"/>
                <w:szCs w:val="20"/>
                <w:lang w:val="en-US"/>
              </w:rPr>
              <w:lastRenderedPageBreak/>
              <w:t>citizens or emergency medical ser- vice (EMS), and who were transported to medical institutions.</w:t>
            </w:r>
          </w:p>
        </w:tc>
        <w:tc>
          <w:tcPr>
            <w:tcW w:w="2126" w:type="dxa"/>
          </w:tcPr>
          <w:p w:rsidR="00F86674" w:rsidRPr="00C369AA" w:rsidRDefault="00F86674" w:rsidP="003C1C54">
            <w:pPr>
              <w:rPr>
                <w:sz w:val="20"/>
                <w:szCs w:val="20"/>
                <w:lang w:val="en-US"/>
              </w:rPr>
            </w:pPr>
            <w:r w:rsidRPr="00C369AA">
              <w:rPr>
                <w:sz w:val="20"/>
                <w:szCs w:val="20"/>
                <w:lang w:val="en-US"/>
              </w:rPr>
              <w:lastRenderedPageBreak/>
              <w:t xml:space="preserve">EMS- witnessed and non-witnessed cases and children. Also excluded cases with missing outcomes or variables required for </w:t>
            </w:r>
            <w:r w:rsidRPr="00C369AA">
              <w:rPr>
                <w:sz w:val="20"/>
                <w:szCs w:val="20"/>
                <w:lang w:val="en-US"/>
              </w:rPr>
              <w:lastRenderedPageBreak/>
              <w:t>the multivariable logistic regression.</w:t>
            </w:r>
          </w:p>
        </w:tc>
        <w:tc>
          <w:tcPr>
            <w:tcW w:w="4220" w:type="dxa"/>
          </w:tcPr>
          <w:p w:rsidR="00F86674" w:rsidRPr="00C369AA" w:rsidRDefault="00F86674" w:rsidP="003C1C54">
            <w:pPr>
              <w:jc w:val="both"/>
              <w:rPr>
                <w:sz w:val="20"/>
                <w:szCs w:val="20"/>
                <w:lang w:val="en-US"/>
              </w:rPr>
            </w:pPr>
            <w:r w:rsidRPr="00C369AA">
              <w:rPr>
                <w:sz w:val="20"/>
                <w:szCs w:val="20"/>
                <w:lang w:val="en-US"/>
              </w:rPr>
              <w:lastRenderedPageBreak/>
              <w:t>In this population-focused, bystander-witnessed study regarding OHCA, the analysis of nationwide registry data revealed that the COVID-19 pandemic was associated with reduced survival among older adults with OHCA in Japan.</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Kim et al., 2023</w:t>
            </w:r>
          </w:p>
        </w:tc>
        <w:tc>
          <w:tcPr>
            <w:tcW w:w="1569" w:type="dxa"/>
          </w:tcPr>
          <w:p w:rsidR="00F86674" w:rsidRPr="00C369AA" w:rsidRDefault="00F86674" w:rsidP="003C1C54">
            <w:pPr>
              <w:jc w:val="center"/>
              <w:rPr>
                <w:sz w:val="20"/>
                <w:szCs w:val="20"/>
                <w:lang w:val="en-US"/>
              </w:rPr>
            </w:pPr>
            <w:r w:rsidRPr="00C369AA">
              <w:rPr>
                <w:sz w:val="20"/>
                <w:szCs w:val="20"/>
                <w:lang w:val="en-US"/>
              </w:rPr>
              <w:t>19.01.2019 – 19.01.2020</w:t>
            </w:r>
          </w:p>
        </w:tc>
        <w:tc>
          <w:tcPr>
            <w:tcW w:w="1701" w:type="dxa"/>
          </w:tcPr>
          <w:p w:rsidR="00F86674" w:rsidRPr="00C369AA" w:rsidRDefault="00F86674" w:rsidP="003C1C54">
            <w:pPr>
              <w:jc w:val="center"/>
              <w:rPr>
                <w:sz w:val="20"/>
                <w:szCs w:val="20"/>
                <w:lang w:val="en-US"/>
              </w:rPr>
            </w:pPr>
            <w:r w:rsidRPr="00C369AA">
              <w:rPr>
                <w:sz w:val="20"/>
                <w:szCs w:val="20"/>
                <w:lang w:val="en-US"/>
              </w:rPr>
              <w:t>20.01.2020 – 21.01.2021</w:t>
            </w:r>
          </w:p>
        </w:tc>
        <w:tc>
          <w:tcPr>
            <w:tcW w:w="2126" w:type="dxa"/>
          </w:tcPr>
          <w:p w:rsidR="00F86674" w:rsidRPr="00C369AA" w:rsidRDefault="00F86674" w:rsidP="003C1C54">
            <w:pPr>
              <w:rPr>
                <w:sz w:val="20"/>
                <w:szCs w:val="20"/>
                <w:lang w:val="en-US"/>
              </w:rPr>
            </w:pPr>
            <w:r w:rsidRPr="00C369AA">
              <w:rPr>
                <w:sz w:val="20"/>
                <w:szCs w:val="20"/>
                <w:lang w:val="en-US"/>
              </w:rPr>
              <w:t>All patients aged ≥ 18 years in whom resuscitation was attempted by an EMS provider.</w:t>
            </w:r>
          </w:p>
        </w:tc>
        <w:tc>
          <w:tcPr>
            <w:tcW w:w="2126" w:type="dxa"/>
          </w:tcPr>
          <w:p w:rsidR="00F86674" w:rsidRPr="00C369AA" w:rsidRDefault="00F86674" w:rsidP="003C1C54">
            <w:pPr>
              <w:rPr>
                <w:sz w:val="20"/>
                <w:szCs w:val="20"/>
                <w:lang w:val="en-US"/>
              </w:rPr>
            </w:pPr>
            <w:r w:rsidRPr="00C369AA">
              <w:rPr>
                <w:sz w:val="20"/>
                <w:szCs w:val="20"/>
                <w:lang w:val="en-US"/>
              </w:rPr>
              <w:t>Patients with do-not-resuscitate order, with signs of obvious death (arrest with signs of rigor mortis), and unknown EMS time interval information.</w:t>
            </w:r>
          </w:p>
        </w:tc>
        <w:tc>
          <w:tcPr>
            <w:tcW w:w="4220" w:type="dxa"/>
          </w:tcPr>
          <w:p w:rsidR="00F86674" w:rsidRPr="00C369AA" w:rsidRDefault="00F86674" w:rsidP="003C1C54">
            <w:pPr>
              <w:jc w:val="both"/>
              <w:rPr>
                <w:sz w:val="20"/>
                <w:szCs w:val="20"/>
                <w:lang w:val="en-US"/>
              </w:rPr>
            </w:pPr>
            <w:r w:rsidRPr="00C369AA">
              <w:rPr>
                <w:sz w:val="20"/>
                <w:szCs w:val="20"/>
                <w:lang w:val="en-US"/>
              </w:rPr>
              <w:t>This study found that the proportion of prehospital ROSC was lower during the COVID-19 period than during the non-COVID-19 period; however, there was no statistical significance when adjusting for potential confounders.</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Lai et al., 2020</w:t>
            </w:r>
          </w:p>
        </w:tc>
        <w:tc>
          <w:tcPr>
            <w:tcW w:w="1569" w:type="dxa"/>
          </w:tcPr>
          <w:p w:rsidR="00F86674" w:rsidRPr="00C369AA" w:rsidRDefault="00F86674" w:rsidP="003C1C54">
            <w:pPr>
              <w:jc w:val="center"/>
              <w:rPr>
                <w:sz w:val="20"/>
                <w:szCs w:val="20"/>
                <w:lang w:val="en-US"/>
              </w:rPr>
            </w:pPr>
            <w:r w:rsidRPr="00C369AA">
              <w:rPr>
                <w:sz w:val="20"/>
                <w:szCs w:val="20"/>
                <w:lang w:val="en-US"/>
              </w:rPr>
              <w:t>01.03.2019 – 25.04.2019</w:t>
            </w:r>
          </w:p>
        </w:tc>
        <w:tc>
          <w:tcPr>
            <w:tcW w:w="1701" w:type="dxa"/>
          </w:tcPr>
          <w:p w:rsidR="00F86674" w:rsidRPr="00C369AA" w:rsidRDefault="00F86674" w:rsidP="003C1C54">
            <w:pPr>
              <w:jc w:val="center"/>
              <w:rPr>
                <w:sz w:val="20"/>
                <w:szCs w:val="20"/>
                <w:lang w:val="en-US"/>
              </w:rPr>
            </w:pPr>
            <w:r w:rsidRPr="00C369AA">
              <w:rPr>
                <w:sz w:val="20"/>
                <w:szCs w:val="20"/>
                <w:lang w:val="en-US"/>
              </w:rPr>
              <w:t>01.03.2020 – 25.04.2020</w:t>
            </w:r>
          </w:p>
        </w:tc>
        <w:tc>
          <w:tcPr>
            <w:tcW w:w="2126" w:type="dxa"/>
          </w:tcPr>
          <w:p w:rsidR="00F86674" w:rsidRPr="00C369AA" w:rsidRDefault="00F86674" w:rsidP="003C1C54">
            <w:pPr>
              <w:rPr>
                <w:sz w:val="20"/>
                <w:szCs w:val="20"/>
                <w:lang w:val="en-US"/>
              </w:rPr>
            </w:pPr>
            <w:r w:rsidRPr="00C369AA">
              <w:rPr>
                <w:sz w:val="20"/>
                <w:szCs w:val="20"/>
                <w:lang w:val="en-US"/>
              </w:rPr>
              <w:t>Patients 18 years or older with out-of-hospital cardiac arrest who received EMS resuscitation.</w:t>
            </w:r>
          </w:p>
        </w:tc>
        <w:tc>
          <w:tcPr>
            <w:tcW w:w="2126" w:type="dxa"/>
          </w:tcPr>
          <w:p w:rsidR="00F86674" w:rsidRPr="00C369AA" w:rsidRDefault="00F86674" w:rsidP="003C1C54">
            <w:pPr>
              <w:rPr>
                <w:sz w:val="20"/>
                <w:szCs w:val="20"/>
                <w:lang w:val="en-US"/>
              </w:rPr>
            </w:pPr>
            <w:r w:rsidRPr="00C369AA">
              <w:rPr>
                <w:sz w:val="20"/>
                <w:szCs w:val="20"/>
                <w:lang w:val="en-US"/>
              </w:rPr>
              <w:t>Patients who did not undergo prehospital CPR owing to obvious signs of death or had a valid do-not- resuscitate order present at the time of arrest</w:t>
            </w:r>
          </w:p>
        </w:tc>
        <w:tc>
          <w:tcPr>
            <w:tcW w:w="4220" w:type="dxa"/>
          </w:tcPr>
          <w:p w:rsidR="00F86674" w:rsidRPr="00C369AA" w:rsidRDefault="00F86674" w:rsidP="003C1C54">
            <w:pPr>
              <w:jc w:val="both"/>
              <w:rPr>
                <w:sz w:val="20"/>
                <w:szCs w:val="20"/>
                <w:lang w:val="en-US"/>
              </w:rPr>
            </w:pPr>
            <w:r w:rsidRPr="00C369AA">
              <w:rPr>
                <w:sz w:val="20"/>
                <w:szCs w:val="20"/>
                <w:lang w:val="en-US"/>
              </w:rPr>
              <w:t>In this population-based, cross-sectional study, out-of-hospital cardiac arrests and deaths during the COVID-19 pandemic significantly increased compared with the same period the previous year and were associated with older age, nonwhite race/ethnicity, hypertension, diabetes, physical limitations, and nonshockable presenting rhythms.</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Leung et al., 2023</w:t>
            </w:r>
          </w:p>
        </w:tc>
        <w:tc>
          <w:tcPr>
            <w:tcW w:w="1569" w:type="dxa"/>
          </w:tcPr>
          <w:p w:rsidR="00F86674" w:rsidRPr="00C369AA" w:rsidRDefault="00F86674" w:rsidP="003C1C54">
            <w:pPr>
              <w:jc w:val="center"/>
              <w:rPr>
                <w:sz w:val="20"/>
                <w:szCs w:val="20"/>
                <w:lang w:val="en-US"/>
              </w:rPr>
            </w:pPr>
            <w:r w:rsidRPr="00C369AA">
              <w:rPr>
                <w:sz w:val="20"/>
                <w:szCs w:val="20"/>
                <w:lang w:val="en-US"/>
              </w:rPr>
              <w:t>01.2018 – 12.2019</w:t>
            </w:r>
          </w:p>
        </w:tc>
        <w:tc>
          <w:tcPr>
            <w:tcW w:w="1701" w:type="dxa"/>
          </w:tcPr>
          <w:p w:rsidR="00F86674" w:rsidRPr="00C369AA" w:rsidRDefault="00F86674" w:rsidP="003C1C54">
            <w:pPr>
              <w:jc w:val="center"/>
              <w:rPr>
                <w:sz w:val="20"/>
                <w:szCs w:val="20"/>
                <w:lang w:val="en-US"/>
              </w:rPr>
            </w:pPr>
            <w:r w:rsidRPr="00C369AA">
              <w:rPr>
                <w:sz w:val="20"/>
                <w:szCs w:val="20"/>
                <w:lang w:val="en-US"/>
              </w:rPr>
              <w:t>01.2020 – 03.2022</w:t>
            </w:r>
          </w:p>
        </w:tc>
        <w:tc>
          <w:tcPr>
            <w:tcW w:w="2126" w:type="dxa"/>
          </w:tcPr>
          <w:p w:rsidR="00F86674" w:rsidRPr="00C369AA" w:rsidRDefault="00F86674" w:rsidP="003C1C54">
            <w:pPr>
              <w:rPr>
                <w:sz w:val="20"/>
                <w:szCs w:val="20"/>
                <w:lang w:val="en-US"/>
              </w:rPr>
            </w:pPr>
            <w:r w:rsidRPr="00C369AA">
              <w:rPr>
                <w:sz w:val="20"/>
                <w:szCs w:val="20"/>
                <w:lang w:val="en-US"/>
              </w:rPr>
              <w:t>All patients who presented to the ED in one of the three regional hospitals in New Territories West Cluster with cardiac arrests.</w:t>
            </w:r>
          </w:p>
        </w:tc>
        <w:tc>
          <w:tcPr>
            <w:tcW w:w="2126" w:type="dxa"/>
          </w:tcPr>
          <w:p w:rsidR="00F86674" w:rsidRPr="00C369AA" w:rsidRDefault="00F86674" w:rsidP="003C1C54">
            <w:pPr>
              <w:rPr>
                <w:sz w:val="20"/>
                <w:szCs w:val="20"/>
                <w:lang w:val="en-US"/>
              </w:rPr>
            </w:pPr>
            <w:r w:rsidRPr="00C369AA">
              <w:rPr>
                <w:sz w:val="20"/>
                <w:szCs w:val="20"/>
                <w:lang w:val="en-US"/>
              </w:rPr>
              <w:t>Patients with traumatic cardiac arrests, postmortem changes, and those who developed in-hospital arrest in the ED</w:t>
            </w:r>
          </w:p>
        </w:tc>
        <w:tc>
          <w:tcPr>
            <w:tcW w:w="4220" w:type="dxa"/>
          </w:tcPr>
          <w:p w:rsidR="00F86674" w:rsidRPr="00C369AA" w:rsidRDefault="00F86674" w:rsidP="003C1C54">
            <w:pPr>
              <w:jc w:val="both"/>
              <w:rPr>
                <w:sz w:val="20"/>
                <w:szCs w:val="20"/>
                <w:lang w:val="en-US"/>
              </w:rPr>
            </w:pPr>
            <w:r w:rsidRPr="00C369AA">
              <w:rPr>
                <w:sz w:val="20"/>
                <w:szCs w:val="20"/>
                <w:lang w:val="en-US"/>
              </w:rPr>
              <w:t>The increase in COVID-19 incidence had an exposure–response relationship with an increased incidence of OHCA and worsened survival outcomes.</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Li et al., 2023</w:t>
            </w:r>
          </w:p>
        </w:tc>
        <w:tc>
          <w:tcPr>
            <w:tcW w:w="1569" w:type="dxa"/>
          </w:tcPr>
          <w:p w:rsidR="00F86674" w:rsidRPr="00C369AA" w:rsidRDefault="00F86674" w:rsidP="003C1C54">
            <w:pPr>
              <w:jc w:val="center"/>
              <w:rPr>
                <w:sz w:val="20"/>
                <w:szCs w:val="20"/>
                <w:lang w:val="en-US"/>
              </w:rPr>
            </w:pPr>
            <w:r w:rsidRPr="00C369AA">
              <w:rPr>
                <w:sz w:val="20"/>
                <w:szCs w:val="20"/>
                <w:lang w:val="en-US"/>
              </w:rPr>
              <w:t>01.01.2018 – 31.12.2019</w:t>
            </w:r>
          </w:p>
        </w:tc>
        <w:tc>
          <w:tcPr>
            <w:tcW w:w="1701" w:type="dxa"/>
          </w:tcPr>
          <w:p w:rsidR="00F86674" w:rsidRPr="00C369AA" w:rsidRDefault="00F86674" w:rsidP="003C1C54">
            <w:pPr>
              <w:jc w:val="center"/>
              <w:rPr>
                <w:sz w:val="20"/>
                <w:szCs w:val="20"/>
                <w:lang w:val="en-US"/>
              </w:rPr>
            </w:pPr>
            <w:r w:rsidRPr="00C369AA">
              <w:rPr>
                <w:sz w:val="20"/>
                <w:szCs w:val="20"/>
                <w:lang w:val="en-US"/>
              </w:rPr>
              <w:t>01.01.2020 – 31.05.2022</w:t>
            </w:r>
          </w:p>
        </w:tc>
        <w:tc>
          <w:tcPr>
            <w:tcW w:w="2126" w:type="dxa"/>
          </w:tcPr>
          <w:p w:rsidR="00F86674" w:rsidRPr="00C369AA" w:rsidRDefault="00F86674" w:rsidP="003C1C54">
            <w:pPr>
              <w:rPr>
                <w:sz w:val="20"/>
                <w:szCs w:val="20"/>
                <w:lang w:val="en-US"/>
              </w:rPr>
            </w:pPr>
            <w:r w:rsidRPr="00C369AA">
              <w:rPr>
                <w:sz w:val="20"/>
                <w:szCs w:val="20"/>
                <w:lang w:val="en-US"/>
              </w:rPr>
              <w:t>All adult patients with OHCA.</w:t>
            </w:r>
          </w:p>
        </w:tc>
        <w:tc>
          <w:tcPr>
            <w:tcW w:w="2126" w:type="dxa"/>
          </w:tcPr>
          <w:p w:rsidR="00F86674" w:rsidRPr="00C369AA" w:rsidRDefault="00F86674" w:rsidP="003C1C54">
            <w:pPr>
              <w:rPr>
                <w:sz w:val="20"/>
                <w:szCs w:val="20"/>
                <w:lang w:val="en-US"/>
              </w:rPr>
            </w:pPr>
            <w:r w:rsidRPr="00C369AA">
              <w:rPr>
                <w:sz w:val="20"/>
                <w:szCs w:val="20"/>
                <w:lang w:val="en-US"/>
              </w:rPr>
              <w:t>Data were missing for their sex, age, EMS arrival time or initial cardiac rhythm.</w:t>
            </w:r>
          </w:p>
        </w:tc>
        <w:tc>
          <w:tcPr>
            <w:tcW w:w="4220" w:type="dxa"/>
          </w:tcPr>
          <w:p w:rsidR="00F86674" w:rsidRPr="00C369AA" w:rsidRDefault="00F86674" w:rsidP="003C1C54">
            <w:pPr>
              <w:jc w:val="both"/>
              <w:rPr>
                <w:sz w:val="20"/>
                <w:szCs w:val="20"/>
                <w:lang w:val="en-US"/>
              </w:rPr>
            </w:pPr>
            <w:r w:rsidRPr="00C369AA">
              <w:rPr>
                <w:sz w:val="20"/>
                <w:szCs w:val="20"/>
                <w:lang w:val="en-US"/>
              </w:rPr>
              <w:t>The monthly number of OHCAs doubled during the Omicron epidemic in Shanghai, and it remained elevated for another two months. OHCA affected individuals with cardiovascular and cerebrovascular diseases more during and after the epidemic than before it.</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Lim et al., 2021</w:t>
            </w:r>
          </w:p>
        </w:tc>
        <w:tc>
          <w:tcPr>
            <w:tcW w:w="1569" w:type="dxa"/>
          </w:tcPr>
          <w:p w:rsidR="00F86674" w:rsidRPr="00C369AA" w:rsidRDefault="00F86674" w:rsidP="003C1C54">
            <w:pPr>
              <w:jc w:val="center"/>
              <w:rPr>
                <w:sz w:val="20"/>
                <w:szCs w:val="20"/>
                <w:lang w:val="en-US"/>
              </w:rPr>
            </w:pPr>
            <w:r w:rsidRPr="00C369AA">
              <w:rPr>
                <w:sz w:val="20"/>
                <w:szCs w:val="20"/>
                <w:lang w:val="en-US"/>
              </w:rPr>
              <w:t>01.11.2019 – 31.01.2020</w:t>
            </w:r>
          </w:p>
        </w:tc>
        <w:tc>
          <w:tcPr>
            <w:tcW w:w="1701" w:type="dxa"/>
          </w:tcPr>
          <w:p w:rsidR="00F86674" w:rsidRPr="00C369AA" w:rsidRDefault="00F86674" w:rsidP="003C1C54">
            <w:pPr>
              <w:jc w:val="center"/>
              <w:rPr>
                <w:sz w:val="20"/>
                <w:szCs w:val="20"/>
                <w:lang w:val="en-US"/>
              </w:rPr>
            </w:pPr>
            <w:r w:rsidRPr="00C369AA">
              <w:rPr>
                <w:sz w:val="20"/>
                <w:szCs w:val="20"/>
                <w:lang w:val="en-US"/>
              </w:rPr>
              <w:t>01.11.2020 – 31.01.2021</w:t>
            </w:r>
          </w:p>
        </w:tc>
        <w:tc>
          <w:tcPr>
            <w:tcW w:w="2126" w:type="dxa"/>
          </w:tcPr>
          <w:p w:rsidR="00F86674" w:rsidRPr="00C369AA" w:rsidRDefault="00F86674" w:rsidP="003C1C54">
            <w:pPr>
              <w:rPr>
                <w:sz w:val="20"/>
                <w:szCs w:val="20"/>
                <w:lang w:val="en-US"/>
              </w:rPr>
            </w:pPr>
            <w:r w:rsidRPr="00C369AA">
              <w:rPr>
                <w:sz w:val="20"/>
                <w:szCs w:val="20"/>
                <w:lang w:val="en-US"/>
              </w:rPr>
              <w:t>All patients with OHCA during the study periods.</w:t>
            </w:r>
          </w:p>
        </w:tc>
        <w:tc>
          <w:tcPr>
            <w:tcW w:w="2126" w:type="dxa"/>
          </w:tcPr>
          <w:p w:rsidR="00F86674" w:rsidRPr="00C369AA" w:rsidRDefault="00F86674" w:rsidP="003C1C54">
            <w:pPr>
              <w:rPr>
                <w:sz w:val="20"/>
                <w:szCs w:val="20"/>
                <w:lang w:val="en-US"/>
              </w:rPr>
            </w:pPr>
            <w:r w:rsidRPr="00C369AA">
              <w:rPr>
                <w:sz w:val="20"/>
                <w:szCs w:val="20"/>
                <w:lang w:val="en-US"/>
              </w:rPr>
              <w:t xml:space="preserve">Less than 18 years old, if resuscitation was not attempted due to </w:t>
            </w:r>
            <w:r w:rsidRPr="00C369AA">
              <w:rPr>
                <w:sz w:val="20"/>
                <w:szCs w:val="20"/>
                <w:lang w:val="en-US"/>
              </w:rPr>
              <w:lastRenderedPageBreak/>
              <w:t>obvious signs of death or if they had a valid do-not-resuscitate order. Patients who were pulseless because of trauma, intoxication, or drowning.</w:t>
            </w:r>
          </w:p>
        </w:tc>
        <w:tc>
          <w:tcPr>
            <w:tcW w:w="4220" w:type="dxa"/>
          </w:tcPr>
          <w:p w:rsidR="00F86674" w:rsidRPr="00C369AA" w:rsidRDefault="00F86674" w:rsidP="003C1C54">
            <w:pPr>
              <w:jc w:val="both"/>
              <w:rPr>
                <w:sz w:val="20"/>
                <w:szCs w:val="20"/>
                <w:lang w:val="en-US"/>
              </w:rPr>
            </w:pPr>
            <w:r w:rsidRPr="00C369AA">
              <w:rPr>
                <w:sz w:val="20"/>
                <w:szCs w:val="20"/>
                <w:lang w:val="en-US"/>
              </w:rPr>
              <w:lastRenderedPageBreak/>
              <w:t xml:space="preserve">During the COVID-19 period, there were significant changes in the EMS responses to OHCA. These changes are considered to be partly </w:t>
            </w:r>
            <w:r w:rsidRPr="00C369AA">
              <w:rPr>
                <w:sz w:val="20"/>
                <w:szCs w:val="20"/>
                <w:lang w:val="en-US"/>
              </w:rPr>
              <w:lastRenderedPageBreak/>
              <w:t>due to social distancing measures. As a result, the proportion of patients with an initial shockable rhythm in the COVID-19 period was greater than that in the pre-COVID-19 period, but the final survival rate and favorable neurological outcome were lower.</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lastRenderedPageBreak/>
              <w:t>Liu et al., 2023</w:t>
            </w:r>
          </w:p>
        </w:tc>
        <w:tc>
          <w:tcPr>
            <w:tcW w:w="1569" w:type="dxa"/>
          </w:tcPr>
          <w:p w:rsidR="00F86674" w:rsidRPr="00C369AA" w:rsidRDefault="00F86674" w:rsidP="003C1C54">
            <w:pPr>
              <w:jc w:val="center"/>
              <w:rPr>
                <w:sz w:val="20"/>
                <w:szCs w:val="20"/>
                <w:lang w:val="en-US"/>
              </w:rPr>
            </w:pPr>
            <w:r w:rsidRPr="00C369AA">
              <w:rPr>
                <w:sz w:val="20"/>
                <w:szCs w:val="20"/>
                <w:lang w:val="en-US"/>
              </w:rPr>
              <w:t>01.01.2018 – 31.12.2019</w:t>
            </w:r>
          </w:p>
        </w:tc>
        <w:tc>
          <w:tcPr>
            <w:tcW w:w="1701" w:type="dxa"/>
          </w:tcPr>
          <w:p w:rsidR="00F86674" w:rsidRPr="00C369AA" w:rsidRDefault="00F86674" w:rsidP="003C1C54">
            <w:pPr>
              <w:jc w:val="center"/>
              <w:rPr>
                <w:sz w:val="20"/>
                <w:szCs w:val="20"/>
                <w:lang w:val="en-US"/>
              </w:rPr>
            </w:pPr>
            <w:r w:rsidRPr="00C369AA">
              <w:rPr>
                <w:sz w:val="20"/>
                <w:szCs w:val="20"/>
                <w:lang w:val="en-US"/>
              </w:rPr>
              <w:t>01.01.2020 - 31.12.2021</w:t>
            </w:r>
          </w:p>
        </w:tc>
        <w:tc>
          <w:tcPr>
            <w:tcW w:w="2126" w:type="dxa"/>
          </w:tcPr>
          <w:p w:rsidR="00F86674" w:rsidRPr="00C369AA" w:rsidRDefault="00F86674" w:rsidP="003C1C54">
            <w:pPr>
              <w:rPr>
                <w:sz w:val="20"/>
                <w:szCs w:val="20"/>
                <w:lang w:val="en-US"/>
              </w:rPr>
            </w:pPr>
            <w:r w:rsidRPr="00C369AA">
              <w:rPr>
                <w:sz w:val="20"/>
                <w:szCs w:val="20"/>
                <w:lang w:val="en-US"/>
              </w:rPr>
              <w:t>Nontraumatic OHCA among persons aged 18 years or older attended by emergency medical services (EMS).</w:t>
            </w:r>
          </w:p>
        </w:tc>
        <w:tc>
          <w:tcPr>
            <w:tcW w:w="2126" w:type="dxa"/>
          </w:tcPr>
          <w:p w:rsidR="00F86674" w:rsidRPr="00C369AA" w:rsidRDefault="00F86674" w:rsidP="003C1C54">
            <w:pPr>
              <w:rPr>
                <w:sz w:val="20"/>
                <w:szCs w:val="20"/>
                <w:lang w:val="en-US"/>
              </w:rPr>
            </w:pPr>
            <w:r w:rsidRPr="00C369AA">
              <w:rPr>
                <w:sz w:val="20"/>
                <w:szCs w:val="20"/>
                <w:lang w:val="en-US"/>
              </w:rPr>
              <w:t>Not meet inclusion criteria.</w:t>
            </w:r>
          </w:p>
        </w:tc>
        <w:tc>
          <w:tcPr>
            <w:tcW w:w="4220" w:type="dxa"/>
          </w:tcPr>
          <w:p w:rsidR="00F86674" w:rsidRPr="00C369AA" w:rsidRDefault="00F86674" w:rsidP="003C1C54">
            <w:pPr>
              <w:jc w:val="both"/>
              <w:rPr>
                <w:sz w:val="20"/>
                <w:szCs w:val="20"/>
                <w:lang w:val="en-US"/>
              </w:rPr>
            </w:pPr>
            <w:r w:rsidRPr="00C369AA">
              <w:rPr>
                <w:sz w:val="20"/>
                <w:szCs w:val="20"/>
                <w:lang w:val="en-US"/>
              </w:rPr>
              <w:t>In this cohort study of COVID-19 and OHCA, a substantial proportion of the higher OHCA incidence and lower survival during the pandemic was not directly due to SARS-CoV-2 infection but indirect factors that challenged OHCA prevention and treatment.</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Liu et al., 2023b</w:t>
            </w:r>
          </w:p>
        </w:tc>
        <w:tc>
          <w:tcPr>
            <w:tcW w:w="1569" w:type="dxa"/>
          </w:tcPr>
          <w:p w:rsidR="00F86674" w:rsidRPr="00C369AA" w:rsidRDefault="00F86674" w:rsidP="003C1C54">
            <w:pPr>
              <w:jc w:val="center"/>
              <w:rPr>
                <w:sz w:val="20"/>
                <w:szCs w:val="20"/>
                <w:lang w:val="en-US"/>
              </w:rPr>
            </w:pPr>
            <w:r w:rsidRPr="00C369AA">
              <w:rPr>
                <w:sz w:val="20"/>
                <w:szCs w:val="20"/>
                <w:lang w:val="en-US"/>
              </w:rPr>
              <w:t>01.2018 – 12.2019</w:t>
            </w:r>
          </w:p>
        </w:tc>
        <w:tc>
          <w:tcPr>
            <w:tcW w:w="1701" w:type="dxa"/>
          </w:tcPr>
          <w:p w:rsidR="00F86674" w:rsidRPr="00C369AA" w:rsidRDefault="00F86674" w:rsidP="003C1C54">
            <w:pPr>
              <w:jc w:val="center"/>
              <w:rPr>
                <w:sz w:val="20"/>
                <w:szCs w:val="20"/>
                <w:lang w:val="en-US"/>
              </w:rPr>
            </w:pPr>
            <w:r w:rsidRPr="00C369AA">
              <w:rPr>
                <w:sz w:val="20"/>
                <w:szCs w:val="20"/>
                <w:lang w:val="en-US"/>
              </w:rPr>
              <w:t>01.2020 – 12.2021</w:t>
            </w:r>
          </w:p>
        </w:tc>
        <w:tc>
          <w:tcPr>
            <w:tcW w:w="2126" w:type="dxa"/>
          </w:tcPr>
          <w:p w:rsidR="00F86674" w:rsidRPr="00C369AA" w:rsidRDefault="00F86674" w:rsidP="003C1C54">
            <w:pPr>
              <w:rPr>
                <w:sz w:val="20"/>
                <w:szCs w:val="20"/>
                <w:lang w:val="en-US"/>
              </w:rPr>
            </w:pPr>
            <w:r w:rsidRPr="00C369AA">
              <w:rPr>
                <w:sz w:val="20"/>
                <w:szCs w:val="20"/>
                <w:lang w:val="en-US"/>
              </w:rPr>
              <w:t xml:space="preserve">OHCA patients. </w:t>
            </w:r>
          </w:p>
        </w:tc>
        <w:tc>
          <w:tcPr>
            <w:tcW w:w="2126" w:type="dxa"/>
          </w:tcPr>
          <w:p w:rsidR="00F86674" w:rsidRPr="00C369AA" w:rsidRDefault="00F86674" w:rsidP="003C1C54">
            <w:pPr>
              <w:rPr>
                <w:sz w:val="20"/>
                <w:szCs w:val="20"/>
                <w:lang w:val="en-US"/>
              </w:rPr>
            </w:pPr>
            <w:r w:rsidRPr="00C369AA">
              <w:rPr>
                <w:sz w:val="20"/>
                <w:szCs w:val="20"/>
                <w:lang w:val="en-US"/>
              </w:rPr>
              <w:t>OHCA patients aged &lt;20 years, with effective orders of do-not-resuscitate (DNR) without transfer to the hospital for any reason, and with trauma.</w:t>
            </w:r>
          </w:p>
        </w:tc>
        <w:tc>
          <w:tcPr>
            <w:tcW w:w="4220" w:type="dxa"/>
          </w:tcPr>
          <w:p w:rsidR="00F86674" w:rsidRPr="00C369AA" w:rsidRDefault="00F86674" w:rsidP="003C1C54">
            <w:pPr>
              <w:rPr>
                <w:sz w:val="20"/>
                <w:szCs w:val="20"/>
                <w:lang w:val="en-US"/>
              </w:rPr>
            </w:pPr>
            <w:r w:rsidRPr="00C369AA">
              <w:rPr>
                <w:sz w:val="20"/>
                <w:szCs w:val="20"/>
                <w:lang w:val="en-US"/>
              </w:rPr>
              <w:t>The overall impact of longer EMS rescue times on survival outcomes during the pandemic was not significant, with an exception of the specific group that experienced prolonged rescue times (total EMS time &gt; 21 min).</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Marijon et al., 2020</w:t>
            </w:r>
          </w:p>
        </w:tc>
        <w:tc>
          <w:tcPr>
            <w:tcW w:w="1569" w:type="dxa"/>
          </w:tcPr>
          <w:p w:rsidR="00F86674" w:rsidRPr="00C369AA" w:rsidRDefault="00F86674" w:rsidP="003C1C54">
            <w:pPr>
              <w:jc w:val="center"/>
              <w:rPr>
                <w:sz w:val="20"/>
                <w:szCs w:val="20"/>
                <w:lang w:val="en-US"/>
              </w:rPr>
            </w:pPr>
            <w:r w:rsidRPr="00C369AA">
              <w:rPr>
                <w:sz w:val="20"/>
                <w:szCs w:val="20"/>
                <w:lang w:val="en-US"/>
              </w:rPr>
              <w:t>2011-2019</w:t>
            </w:r>
          </w:p>
        </w:tc>
        <w:tc>
          <w:tcPr>
            <w:tcW w:w="1701" w:type="dxa"/>
          </w:tcPr>
          <w:p w:rsidR="00F86674" w:rsidRPr="00C369AA" w:rsidRDefault="00F86674" w:rsidP="003C1C54">
            <w:pPr>
              <w:jc w:val="center"/>
              <w:rPr>
                <w:sz w:val="20"/>
                <w:szCs w:val="20"/>
                <w:lang w:val="en-US"/>
              </w:rPr>
            </w:pPr>
            <w:r w:rsidRPr="00C369AA">
              <w:rPr>
                <w:sz w:val="20"/>
                <w:szCs w:val="20"/>
                <w:lang w:val="en-US"/>
              </w:rPr>
              <w:t>16.03.2020 – 26.04.2020</w:t>
            </w:r>
          </w:p>
        </w:tc>
        <w:tc>
          <w:tcPr>
            <w:tcW w:w="2126" w:type="dxa"/>
          </w:tcPr>
          <w:p w:rsidR="00F86674" w:rsidRPr="00C369AA" w:rsidRDefault="00F86674" w:rsidP="003C1C54">
            <w:pPr>
              <w:rPr>
                <w:sz w:val="20"/>
                <w:szCs w:val="20"/>
                <w:lang w:val="en-US"/>
              </w:rPr>
            </w:pPr>
            <w:r w:rsidRPr="00C369AA">
              <w:rPr>
                <w:sz w:val="20"/>
                <w:szCs w:val="20"/>
                <w:lang w:val="en-US"/>
              </w:rPr>
              <w:t>Non-traumatic OHCA.</w:t>
            </w:r>
          </w:p>
        </w:tc>
        <w:tc>
          <w:tcPr>
            <w:tcW w:w="2126" w:type="dxa"/>
          </w:tcPr>
          <w:p w:rsidR="00F86674" w:rsidRPr="00C369AA" w:rsidRDefault="00F86674" w:rsidP="003C1C54">
            <w:pPr>
              <w:rPr>
                <w:sz w:val="20"/>
                <w:szCs w:val="20"/>
                <w:lang w:val="en-US"/>
              </w:rPr>
            </w:pPr>
            <w:r w:rsidRPr="00C369AA">
              <w:rPr>
                <w:sz w:val="20"/>
                <w:szCs w:val="20"/>
                <w:lang w:val="en-US"/>
              </w:rPr>
              <w:t>Cases with obvious accidental causes, irrespective of whether resuscitation was attempted or not.</w:t>
            </w:r>
          </w:p>
        </w:tc>
        <w:tc>
          <w:tcPr>
            <w:tcW w:w="4220" w:type="dxa"/>
          </w:tcPr>
          <w:p w:rsidR="00F86674" w:rsidRPr="00C369AA" w:rsidRDefault="00F86674" w:rsidP="003C1C54">
            <w:pPr>
              <w:jc w:val="both"/>
              <w:rPr>
                <w:sz w:val="20"/>
                <w:szCs w:val="20"/>
                <w:lang w:val="en-US"/>
              </w:rPr>
            </w:pPr>
            <w:r w:rsidRPr="00C369AA">
              <w:rPr>
                <w:sz w:val="20"/>
                <w:szCs w:val="20"/>
                <w:lang w:val="en-US"/>
              </w:rPr>
              <w:t>A transient two-times increase in OHCA incidence, coupled with a reduction in survival, was observed during the specified time period of the pandemic when compared with the equivalent time period in previous years with no pandemic. Although this result might be partly related to COVID-19 infections, indirect effects associated with lockdown and adjustment of health-care services to the pandemic are probable. Therefore, these factors should be taken into account when considering mortality data and public health strategies.</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Ortiz et al., 2020</w:t>
            </w:r>
          </w:p>
        </w:tc>
        <w:tc>
          <w:tcPr>
            <w:tcW w:w="1569" w:type="dxa"/>
          </w:tcPr>
          <w:p w:rsidR="00F86674" w:rsidRPr="00C369AA" w:rsidRDefault="00F86674" w:rsidP="003C1C54">
            <w:pPr>
              <w:jc w:val="center"/>
              <w:rPr>
                <w:sz w:val="20"/>
                <w:szCs w:val="20"/>
                <w:lang w:val="en-US"/>
              </w:rPr>
            </w:pPr>
            <w:r w:rsidRPr="00C369AA">
              <w:rPr>
                <w:sz w:val="20"/>
                <w:szCs w:val="20"/>
                <w:lang w:val="en-US"/>
              </w:rPr>
              <w:t>01.04.2017 – 31.03.2018</w:t>
            </w:r>
          </w:p>
        </w:tc>
        <w:tc>
          <w:tcPr>
            <w:tcW w:w="1701" w:type="dxa"/>
          </w:tcPr>
          <w:p w:rsidR="00F86674" w:rsidRPr="00C369AA" w:rsidRDefault="00F86674" w:rsidP="003C1C54">
            <w:pPr>
              <w:jc w:val="center"/>
              <w:rPr>
                <w:sz w:val="20"/>
                <w:szCs w:val="20"/>
                <w:lang w:val="en-US"/>
              </w:rPr>
            </w:pPr>
            <w:r w:rsidRPr="00C369AA">
              <w:rPr>
                <w:sz w:val="20"/>
                <w:szCs w:val="20"/>
                <w:lang w:val="en-US"/>
              </w:rPr>
              <w:t>01.02.2020 – 30.04.2020</w:t>
            </w:r>
          </w:p>
        </w:tc>
        <w:tc>
          <w:tcPr>
            <w:tcW w:w="2126" w:type="dxa"/>
          </w:tcPr>
          <w:p w:rsidR="00F86674" w:rsidRPr="00C369AA" w:rsidRDefault="00F86674" w:rsidP="003C1C54">
            <w:pPr>
              <w:rPr>
                <w:sz w:val="20"/>
                <w:szCs w:val="20"/>
                <w:lang w:val="en-US"/>
              </w:rPr>
            </w:pPr>
            <w:r w:rsidRPr="00C369AA">
              <w:rPr>
                <w:sz w:val="20"/>
                <w:szCs w:val="20"/>
                <w:lang w:val="en-US"/>
              </w:rPr>
              <w:t xml:space="preserve">All consecutive OHCA cases in which an emergency team performed </w:t>
            </w:r>
            <w:r w:rsidRPr="00C369AA">
              <w:rPr>
                <w:sz w:val="20"/>
                <w:szCs w:val="20"/>
                <w:lang w:val="en-US"/>
              </w:rPr>
              <w:lastRenderedPageBreak/>
              <w:t>resuscitation maneuvers or post- resuscitation care following cardiopulmonary resuscitation (CPR) attempts by a first responder.</w:t>
            </w:r>
          </w:p>
        </w:tc>
        <w:tc>
          <w:tcPr>
            <w:tcW w:w="2126" w:type="dxa"/>
          </w:tcPr>
          <w:p w:rsidR="00F86674" w:rsidRPr="00C369AA" w:rsidRDefault="00F86674" w:rsidP="003C1C54">
            <w:pPr>
              <w:rPr>
                <w:sz w:val="20"/>
                <w:szCs w:val="20"/>
                <w:lang w:val="en-US"/>
              </w:rPr>
            </w:pPr>
            <w:r w:rsidRPr="00C369AA">
              <w:rPr>
                <w:sz w:val="20"/>
                <w:szCs w:val="20"/>
                <w:lang w:val="en-US"/>
              </w:rPr>
              <w:lastRenderedPageBreak/>
              <w:t xml:space="preserve">The emergency team suspended resuscitation on-site due to confirmation of </w:t>
            </w:r>
            <w:r w:rsidRPr="00C369AA">
              <w:rPr>
                <w:sz w:val="20"/>
                <w:szCs w:val="20"/>
                <w:lang w:val="en-US"/>
              </w:rPr>
              <w:lastRenderedPageBreak/>
              <w:t>futility criteria during resuscitation. An attempt at CPR was considered futile when new data during resuscitation showed that.</w:t>
            </w:r>
          </w:p>
        </w:tc>
        <w:tc>
          <w:tcPr>
            <w:tcW w:w="4220" w:type="dxa"/>
          </w:tcPr>
          <w:p w:rsidR="00F86674" w:rsidRPr="00C369AA" w:rsidRDefault="00F86674" w:rsidP="003C1C54">
            <w:pPr>
              <w:jc w:val="both"/>
              <w:rPr>
                <w:sz w:val="20"/>
                <w:szCs w:val="20"/>
                <w:lang w:val="en-US"/>
              </w:rPr>
            </w:pPr>
            <w:r w:rsidRPr="00C369AA">
              <w:rPr>
                <w:sz w:val="20"/>
                <w:szCs w:val="20"/>
                <w:lang w:val="en-US"/>
              </w:rPr>
              <w:lastRenderedPageBreak/>
              <w:t xml:space="preserve">The pandemic, irrespective of its incidence, seems to have particularly impeded the pre-hospital phase of OHCA care. Present findings call for the </w:t>
            </w:r>
            <w:r w:rsidRPr="00C369AA">
              <w:rPr>
                <w:sz w:val="20"/>
                <w:szCs w:val="20"/>
                <w:lang w:val="en-US"/>
              </w:rPr>
              <w:lastRenderedPageBreak/>
              <w:t>need to adapt out-of-hospital care for periods of serious infection risk.</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lastRenderedPageBreak/>
              <w:t>Phattharapornjaroen  et al., 2022</w:t>
            </w:r>
          </w:p>
        </w:tc>
        <w:tc>
          <w:tcPr>
            <w:tcW w:w="1569" w:type="dxa"/>
          </w:tcPr>
          <w:p w:rsidR="00F86674" w:rsidRPr="00C369AA" w:rsidRDefault="00F86674" w:rsidP="003C1C54">
            <w:pPr>
              <w:jc w:val="center"/>
              <w:rPr>
                <w:sz w:val="20"/>
                <w:szCs w:val="20"/>
                <w:lang w:val="en-US"/>
              </w:rPr>
            </w:pPr>
            <w:r w:rsidRPr="00C369AA">
              <w:rPr>
                <w:sz w:val="20"/>
                <w:szCs w:val="20"/>
                <w:lang w:val="en-US"/>
              </w:rPr>
              <w:t>03.2018 – 12.2018</w:t>
            </w:r>
          </w:p>
        </w:tc>
        <w:tc>
          <w:tcPr>
            <w:tcW w:w="1701" w:type="dxa"/>
          </w:tcPr>
          <w:p w:rsidR="00F86674" w:rsidRPr="00C369AA" w:rsidRDefault="00F86674" w:rsidP="003C1C54">
            <w:pPr>
              <w:jc w:val="center"/>
              <w:rPr>
                <w:sz w:val="20"/>
                <w:szCs w:val="20"/>
                <w:lang w:val="en-US"/>
              </w:rPr>
            </w:pPr>
            <w:r w:rsidRPr="00C369AA">
              <w:rPr>
                <w:sz w:val="20"/>
                <w:szCs w:val="20"/>
                <w:lang w:val="en-US"/>
              </w:rPr>
              <w:t>03.2020 – 12.2021</w:t>
            </w:r>
          </w:p>
        </w:tc>
        <w:tc>
          <w:tcPr>
            <w:tcW w:w="2126" w:type="dxa"/>
          </w:tcPr>
          <w:p w:rsidR="00F86674" w:rsidRPr="00C369AA" w:rsidRDefault="00F86674" w:rsidP="003C1C54">
            <w:pPr>
              <w:rPr>
                <w:sz w:val="20"/>
                <w:szCs w:val="20"/>
                <w:lang w:val="en-US"/>
              </w:rPr>
            </w:pPr>
            <w:r w:rsidRPr="00C369AA">
              <w:rPr>
                <w:sz w:val="20"/>
                <w:szCs w:val="20"/>
                <w:lang w:val="en-US"/>
              </w:rPr>
              <w:t>All OHCA patients 18 years of age or older who were brought to the emergency room at Ramathibodi Hospital.</w:t>
            </w:r>
          </w:p>
        </w:tc>
        <w:tc>
          <w:tcPr>
            <w:tcW w:w="2126" w:type="dxa"/>
          </w:tcPr>
          <w:p w:rsidR="00F86674" w:rsidRPr="00C369AA" w:rsidRDefault="00F86674" w:rsidP="003C1C54">
            <w:pPr>
              <w:rPr>
                <w:sz w:val="20"/>
                <w:szCs w:val="20"/>
                <w:lang w:val="en-US"/>
              </w:rPr>
            </w:pPr>
            <w:r w:rsidRPr="00C369AA">
              <w:rPr>
                <w:sz w:val="20"/>
                <w:szCs w:val="20"/>
                <w:lang w:val="en-US"/>
              </w:rPr>
              <w:t>Traumatic out-of-hospital cardiac arrest, evidence of irreversible death (e.g., rigor mortis, dependent lividity), EMS-treated patients whose CPR was initiated for a short period of time but converted to Do Not Resuscitation (DNR), and patients who had a valid do-not-resuscitate order.</w:t>
            </w:r>
          </w:p>
        </w:tc>
        <w:tc>
          <w:tcPr>
            <w:tcW w:w="4220" w:type="dxa"/>
          </w:tcPr>
          <w:p w:rsidR="00F86674" w:rsidRPr="00C369AA" w:rsidRDefault="00F86674" w:rsidP="003C1C54">
            <w:pPr>
              <w:jc w:val="both"/>
              <w:rPr>
                <w:sz w:val="20"/>
                <w:szCs w:val="20"/>
                <w:lang w:val="en-US"/>
              </w:rPr>
            </w:pPr>
            <w:r w:rsidRPr="00C369AA">
              <w:rPr>
                <w:sz w:val="20"/>
                <w:szCs w:val="20"/>
                <w:lang w:val="en-US"/>
              </w:rPr>
              <w:t>During the COVID-19 pandemic in Thailand, ED ROSC and survival to admission in out-of-hospital cardiac arrest patients were significantly reduced. Additionally, the witness responses and mode of chest compression were very different between the two groups.</w:t>
            </w:r>
          </w:p>
        </w:tc>
      </w:tr>
      <w:tr w:rsidR="00F86674" w:rsidRPr="00C369AA" w:rsidTr="003C1C54">
        <w:tc>
          <w:tcPr>
            <w:tcW w:w="2254" w:type="dxa"/>
          </w:tcPr>
          <w:p w:rsidR="00F86674" w:rsidRPr="00C369AA" w:rsidRDefault="00F86674" w:rsidP="003C1C54">
            <w:pPr>
              <w:rPr>
                <w:sz w:val="20"/>
                <w:szCs w:val="20"/>
                <w:lang w:val="en-US"/>
              </w:rPr>
            </w:pPr>
            <w:r w:rsidRPr="00C369AA">
              <w:rPr>
                <w:sz w:val="20"/>
                <w:szCs w:val="20"/>
                <w:lang w:val="en-US"/>
              </w:rPr>
              <w:t>Ristau et al., 2022</w:t>
            </w:r>
          </w:p>
        </w:tc>
        <w:tc>
          <w:tcPr>
            <w:tcW w:w="1569" w:type="dxa"/>
          </w:tcPr>
          <w:p w:rsidR="00F86674" w:rsidRPr="00C369AA" w:rsidRDefault="00F86674" w:rsidP="003C1C54">
            <w:pPr>
              <w:jc w:val="center"/>
              <w:rPr>
                <w:sz w:val="20"/>
                <w:szCs w:val="20"/>
                <w:lang w:val="en-US"/>
              </w:rPr>
            </w:pPr>
            <w:r w:rsidRPr="00C369AA">
              <w:rPr>
                <w:sz w:val="20"/>
                <w:szCs w:val="20"/>
                <w:lang w:val="en-US"/>
              </w:rPr>
              <w:t>01.03.2018 – 28.02.2019</w:t>
            </w:r>
          </w:p>
        </w:tc>
        <w:tc>
          <w:tcPr>
            <w:tcW w:w="1701" w:type="dxa"/>
          </w:tcPr>
          <w:p w:rsidR="00F86674" w:rsidRPr="00C369AA" w:rsidRDefault="00F86674" w:rsidP="003C1C54">
            <w:pPr>
              <w:jc w:val="center"/>
              <w:rPr>
                <w:sz w:val="20"/>
                <w:szCs w:val="20"/>
                <w:lang w:val="en-US"/>
              </w:rPr>
            </w:pPr>
            <w:r w:rsidRPr="00C369AA">
              <w:rPr>
                <w:sz w:val="20"/>
                <w:szCs w:val="20"/>
                <w:lang w:val="en-US"/>
              </w:rPr>
              <w:t>01.03.2020 – 28.02.2021</w:t>
            </w:r>
          </w:p>
        </w:tc>
        <w:tc>
          <w:tcPr>
            <w:tcW w:w="2126" w:type="dxa"/>
          </w:tcPr>
          <w:p w:rsidR="00F86674" w:rsidRPr="00C369AA" w:rsidRDefault="00F86674" w:rsidP="003C1C54">
            <w:pPr>
              <w:rPr>
                <w:sz w:val="20"/>
                <w:szCs w:val="20"/>
                <w:lang w:val="en-US"/>
              </w:rPr>
            </w:pPr>
            <w:r w:rsidRPr="00C369AA">
              <w:rPr>
                <w:sz w:val="20"/>
                <w:szCs w:val="20"/>
                <w:lang w:val="en-US"/>
              </w:rPr>
              <w:t>All cases of OHCA from the two comparison periods in EMS with high data quality in both periods.</w:t>
            </w:r>
          </w:p>
        </w:tc>
        <w:tc>
          <w:tcPr>
            <w:tcW w:w="2126" w:type="dxa"/>
          </w:tcPr>
          <w:p w:rsidR="00F86674" w:rsidRPr="00C369AA" w:rsidRDefault="00F86674" w:rsidP="003C1C54">
            <w:pPr>
              <w:rPr>
                <w:sz w:val="20"/>
                <w:szCs w:val="20"/>
                <w:lang w:val="en-US"/>
              </w:rPr>
            </w:pPr>
            <w:r w:rsidRPr="00C369AA">
              <w:rPr>
                <w:sz w:val="20"/>
                <w:szCs w:val="20"/>
                <w:lang w:val="en-US"/>
              </w:rPr>
              <w:t>Not meet inclusion criteria.</w:t>
            </w:r>
          </w:p>
        </w:tc>
        <w:tc>
          <w:tcPr>
            <w:tcW w:w="4220" w:type="dxa"/>
          </w:tcPr>
          <w:p w:rsidR="00F86674" w:rsidRPr="00C369AA" w:rsidRDefault="00F86674" w:rsidP="003C1C54">
            <w:pPr>
              <w:jc w:val="both"/>
              <w:rPr>
                <w:sz w:val="20"/>
                <w:szCs w:val="20"/>
                <w:lang w:val="en-US"/>
              </w:rPr>
            </w:pPr>
            <w:r w:rsidRPr="00C369AA">
              <w:rPr>
                <w:sz w:val="20"/>
                <w:szCs w:val="20"/>
                <w:lang w:val="en-US"/>
              </w:rPr>
              <w:t>Survival after OHCA significantly decreased while the bystander resuscitation rate remained stable. However, longer EMS arrival times and fewer cases of witnessed OHCA may have contributed to poorer survival. Any change to EMS systems in the care of OHCA should be critically evaluated as it may mean a real loss of life—regardless of the pandemic situation.</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Riyapan et al., 2022</w:t>
            </w:r>
          </w:p>
        </w:tc>
        <w:tc>
          <w:tcPr>
            <w:tcW w:w="1569" w:type="dxa"/>
          </w:tcPr>
          <w:p w:rsidR="00F86674" w:rsidRPr="00C369AA" w:rsidRDefault="00F86674" w:rsidP="003C1C54">
            <w:pPr>
              <w:jc w:val="center"/>
              <w:rPr>
                <w:sz w:val="20"/>
                <w:szCs w:val="20"/>
                <w:lang w:val="en-US"/>
              </w:rPr>
            </w:pPr>
            <w:r w:rsidRPr="00C369AA">
              <w:rPr>
                <w:sz w:val="20"/>
                <w:szCs w:val="20"/>
                <w:lang w:val="en-US"/>
              </w:rPr>
              <w:t xml:space="preserve">01.2019 – 09.2019 </w:t>
            </w:r>
          </w:p>
        </w:tc>
        <w:tc>
          <w:tcPr>
            <w:tcW w:w="1701" w:type="dxa"/>
          </w:tcPr>
          <w:p w:rsidR="00F86674" w:rsidRPr="00C369AA" w:rsidRDefault="00F86674" w:rsidP="003C1C54">
            <w:pPr>
              <w:jc w:val="center"/>
              <w:rPr>
                <w:sz w:val="20"/>
                <w:szCs w:val="20"/>
                <w:lang w:val="en-US"/>
              </w:rPr>
            </w:pPr>
            <w:r w:rsidRPr="00C369AA">
              <w:rPr>
                <w:sz w:val="20"/>
                <w:szCs w:val="20"/>
                <w:lang w:val="en-US"/>
              </w:rPr>
              <w:t>01.2020 – 09.2020</w:t>
            </w:r>
          </w:p>
        </w:tc>
        <w:tc>
          <w:tcPr>
            <w:tcW w:w="2126" w:type="dxa"/>
          </w:tcPr>
          <w:p w:rsidR="00F86674" w:rsidRPr="00C369AA" w:rsidRDefault="00F86674" w:rsidP="003C1C54">
            <w:pPr>
              <w:rPr>
                <w:sz w:val="20"/>
                <w:szCs w:val="20"/>
                <w:lang w:val="en-US"/>
              </w:rPr>
            </w:pPr>
            <w:r w:rsidRPr="00C369AA">
              <w:rPr>
                <w:sz w:val="20"/>
                <w:szCs w:val="20"/>
                <w:lang w:val="en-US"/>
              </w:rPr>
              <w:t>Adults (age ≥ 18 years) with non- traumatic OHCA</w:t>
            </w:r>
          </w:p>
        </w:tc>
        <w:tc>
          <w:tcPr>
            <w:tcW w:w="2126" w:type="dxa"/>
          </w:tcPr>
          <w:p w:rsidR="00F86674" w:rsidRPr="00C369AA" w:rsidRDefault="00F86674" w:rsidP="003C1C54">
            <w:pPr>
              <w:rPr>
                <w:sz w:val="20"/>
                <w:szCs w:val="20"/>
                <w:lang w:val="en-US"/>
              </w:rPr>
            </w:pPr>
            <w:r w:rsidRPr="00C369AA">
              <w:rPr>
                <w:sz w:val="20"/>
                <w:szCs w:val="20"/>
                <w:lang w:val="en-US"/>
              </w:rPr>
              <w:t>Patients who had Do Not Resuscitate orders.</w:t>
            </w:r>
          </w:p>
        </w:tc>
        <w:tc>
          <w:tcPr>
            <w:tcW w:w="4220" w:type="dxa"/>
          </w:tcPr>
          <w:p w:rsidR="00F86674" w:rsidRPr="00C369AA" w:rsidRDefault="00F86674" w:rsidP="003C1C54">
            <w:pPr>
              <w:jc w:val="both"/>
              <w:rPr>
                <w:sz w:val="20"/>
                <w:szCs w:val="20"/>
                <w:lang w:val="en-US"/>
              </w:rPr>
            </w:pPr>
            <w:r w:rsidRPr="00C369AA">
              <w:rPr>
                <w:sz w:val="20"/>
                <w:szCs w:val="20"/>
                <w:lang w:val="en-US"/>
              </w:rPr>
              <w:t xml:space="preserve">There was a significant decrease in the rate of survival to hospital discharge of patients with OHCA dur- ing the COVID-19 outbreak in Thailand. Maintaining the first responder response quality and encouraging prehospital advanced airway </w:t>
            </w:r>
            <w:r w:rsidRPr="00C369AA">
              <w:rPr>
                <w:sz w:val="20"/>
                <w:szCs w:val="20"/>
                <w:lang w:val="en-US"/>
              </w:rPr>
              <w:lastRenderedPageBreak/>
              <w:t>insertion might improve the survival rate during the COVID-19 outbreak.</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lastRenderedPageBreak/>
              <w:t>Sultanian et al., 2021</w:t>
            </w:r>
          </w:p>
        </w:tc>
        <w:tc>
          <w:tcPr>
            <w:tcW w:w="1569" w:type="dxa"/>
          </w:tcPr>
          <w:p w:rsidR="00F86674" w:rsidRPr="00C369AA" w:rsidRDefault="00F86674" w:rsidP="003C1C54">
            <w:pPr>
              <w:jc w:val="center"/>
              <w:rPr>
                <w:sz w:val="20"/>
                <w:szCs w:val="20"/>
                <w:lang w:val="en-US"/>
              </w:rPr>
            </w:pPr>
            <w:r w:rsidRPr="00C369AA">
              <w:rPr>
                <w:sz w:val="20"/>
                <w:szCs w:val="20"/>
                <w:lang w:val="en-US"/>
              </w:rPr>
              <w:t xml:space="preserve">01.01.2020 – 15.03.2020 </w:t>
            </w:r>
          </w:p>
        </w:tc>
        <w:tc>
          <w:tcPr>
            <w:tcW w:w="1701" w:type="dxa"/>
          </w:tcPr>
          <w:p w:rsidR="00F86674" w:rsidRPr="00C369AA" w:rsidRDefault="00F86674" w:rsidP="003C1C54">
            <w:pPr>
              <w:jc w:val="center"/>
              <w:rPr>
                <w:sz w:val="20"/>
                <w:szCs w:val="20"/>
                <w:lang w:val="en-US"/>
              </w:rPr>
            </w:pPr>
            <w:r w:rsidRPr="00C369AA">
              <w:rPr>
                <w:sz w:val="20"/>
                <w:szCs w:val="20"/>
                <w:lang w:val="en-US"/>
              </w:rPr>
              <w:t>16.03.2020 – 20.07.2020</w:t>
            </w:r>
          </w:p>
        </w:tc>
        <w:tc>
          <w:tcPr>
            <w:tcW w:w="2126" w:type="dxa"/>
          </w:tcPr>
          <w:p w:rsidR="00F86674" w:rsidRPr="00C369AA" w:rsidRDefault="00F86674" w:rsidP="003C1C54">
            <w:pPr>
              <w:rPr>
                <w:sz w:val="20"/>
                <w:szCs w:val="20"/>
                <w:lang w:val="en-US"/>
              </w:rPr>
            </w:pPr>
            <w:r w:rsidRPr="00C369AA">
              <w:rPr>
                <w:sz w:val="20"/>
                <w:szCs w:val="20"/>
                <w:lang w:val="en-US"/>
              </w:rPr>
              <w:t>All cases of OHCA and IHCA.</w:t>
            </w:r>
          </w:p>
        </w:tc>
        <w:tc>
          <w:tcPr>
            <w:tcW w:w="2126" w:type="dxa"/>
          </w:tcPr>
          <w:p w:rsidR="00F86674" w:rsidRPr="00C369AA" w:rsidRDefault="00F86674" w:rsidP="003C1C54">
            <w:pPr>
              <w:rPr>
                <w:sz w:val="20"/>
                <w:szCs w:val="20"/>
                <w:lang w:val="en-US"/>
              </w:rPr>
            </w:pPr>
            <w:r w:rsidRPr="00C369AA">
              <w:rPr>
                <w:sz w:val="20"/>
                <w:szCs w:val="20"/>
                <w:lang w:val="en-US"/>
              </w:rPr>
              <w:t>Not meet inclusion criteria.</w:t>
            </w:r>
          </w:p>
        </w:tc>
        <w:tc>
          <w:tcPr>
            <w:tcW w:w="4220" w:type="dxa"/>
          </w:tcPr>
          <w:p w:rsidR="00F86674" w:rsidRPr="00C369AA" w:rsidRDefault="00F86674" w:rsidP="003C1C54">
            <w:pPr>
              <w:jc w:val="both"/>
              <w:rPr>
                <w:sz w:val="20"/>
                <w:szCs w:val="20"/>
                <w:lang w:val="en-US"/>
              </w:rPr>
            </w:pPr>
            <w:r w:rsidRPr="00C369AA">
              <w:rPr>
                <w:sz w:val="20"/>
                <w:szCs w:val="20"/>
                <w:lang w:val="en-US"/>
              </w:rPr>
              <w:t>During the pandemic phase, COVID-19 was involved in at least 10% of all OHCAs and 16% of IHCAs, and, among COVID-19 cases, 30-day mortality was increased 3.4-fold in OHCA and 2.3-fold in IHCA.</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Talikowska et al., 2021</w:t>
            </w:r>
          </w:p>
        </w:tc>
        <w:tc>
          <w:tcPr>
            <w:tcW w:w="1569" w:type="dxa"/>
          </w:tcPr>
          <w:p w:rsidR="00F86674" w:rsidRPr="00C369AA" w:rsidRDefault="00F86674" w:rsidP="003C1C54">
            <w:pPr>
              <w:jc w:val="center"/>
              <w:rPr>
                <w:sz w:val="20"/>
                <w:szCs w:val="20"/>
                <w:lang w:val="en-US"/>
              </w:rPr>
            </w:pPr>
            <w:r w:rsidRPr="00C369AA">
              <w:rPr>
                <w:sz w:val="20"/>
                <w:szCs w:val="20"/>
                <w:lang w:val="en-US"/>
              </w:rPr>
              <w:t>16.03.2017 – 17.05.2019</w:t>
            </w:r>
          </w:p>
        </w:tc>
        <w:tc>
          <w:tcPr>
            <w:tcW w:w="1701" w:type="dxa"/>
          </w:tcPr>
          <w:p w:rsidR="00F86674" w:rsidRPr="00C369AA" w:rsidRDefault="00F86674" w:rsidP="003C1C54">
            <w:pPr>
              <w:jc w:val="center"/>
              <w:rPr>
                <w:sz w:val="20"/>
                <w:szCs w:val="20"/>
                <w:lang w:val="en-US"/>
              </w:rPr>
            </w:pPr>
            <w:r w:rsidRPr="00C369AA">
              <w:rPr>
                <w:sz w:val="20"/>
                <w:szCs w:val="20"/>
                <w:lang w:val="en-US"/>
              </w:rPr>
              <w:t>16.03.2020 – 17.05.2020</w:t>
            </w:r>
          </w:p>
        </w:tc>
        <w:tc>
          <w:tcPr>
            <w:tcW w:w="2126" w:type="dxa"/>
          </w:tcPr>
          <w:p w:rsidR="00F86674" w:rsidRPr="00C369AA" w:rsidRDefault="00F86674" w:rsidP="003C1C54">
            <w:pPr>
              <w:rPr>
                <w:sz w:val="20"/>
                <w:szCs w:val="20"/>
                <w:lang w:val="en-US"/>
              </w:rPr>
            </w:pPr>
            <w:r w:rsidRPr="00C369AA">
              <w:rPr>
                <w:sz w:val="20"/>
                <w:szCs w:val="20"/>
                <w:lang w:val="en-US"/>
              </w:rPr>
              <w:t>All OHCA cases.</w:t>
            </w:r>
          </w:p>
        </w:tc>
        <w:tc>
          <w:tcPr>
            <w:tcW w:w="2126" w:type="dxa"/>
          </w:tcPr>
          <w:p w:rsidR="00F86674" w:rsidRPr="00C369AA" w:rsidRDefault="00F86674" w:rsidP="003C1C54">
            <w:pPr>
              <w:rPr>
                <w:sz w:val="20"/>
                <w:szCs w:val="20"/>
                <w:lang w:val="en-US"/>
              </w:rPr>
            </w:pPr>
            <w:r w:rsidRPr="00C369AA">
              <w:rPr>
                <w:sz w:val="20"/>
                <w:szCs w:val="20"/>
                <w:lang w:val="en-US"/>
              </w:rPr>
              <w:t>Not meet inclusion criteria.</w:t>
            </w:r>
          </w:p>
        </w:tc>
        <w:tc>
          <w:tcPr>
            <w:tcW w:w="4220" w:type="dxa"/>
          </w:tcPr>
          <w:p w:rsidR="00F86674" w:rsidRPr="00C369AA" w:rsidRDefault="00F86674" w:rsidP="003C1C54">
            <w:pPr>
              <w:jc w:val="both"/>
              <w:rPr>
                <w:sz w:val="20"/>
                <w:szCs w:val="20"/>
                <w:lang w:val="en-US"/>
              </w:rPr>
            </w:pPr>
            <w:r w:rsidRPr="00C369AA">
              <w:rPr>
                <w:sz w:val="20"/>
                <w:szCs w:val="20"/>
                <w:lang w:val="en-US"/>
              </w:rPr>
              <w:t>In Western Australia, with a relatively low incidence of COVID-19, OHCA incidence and survival was not significantly dierent during the initial wave of the COVID-19 pandemic compared to the three previous years. Our study suggests that OHCA survival may be more closely related to the incidence of COVID-19 in the community, rather than COVID-19 restrictions per se.</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Uy-Evanado et al., 2020</w:t>
            </w:r>
          </w:p>
        </w:tc>
        <w:tc>
          <w:tcPr>
            <w:tcW w:w="1569" w:type="dxa"/>
          </w:tcPr>
          <w:p w:rsidR="00F86674" w:rsidRPr="00C369AA" w:rsidRDefault="00F86674" w:rsidP="003C1C54">
            <w:pPr>
              <w:jc w:val="center"/>
              <w:rPr>
                <w:sz w:val="20"/>
                <w:szCs w:val="20"/>
                <w:lang w:val="en-US"/>
              </w:rPr>
            </w:pPr>
            <w:r w:rsidRPr="00C369AA">
              <w:rPr>
                <w:sz w:val="20"/>
                <w:szCs w:val="20"/>
                <w:lang w:val="en-US"/>
              </w:rPr>
              <w:t>01.03.2019 – 31.05.2019</w:t>
            </w:r>
          </w:p>
        </w:tc>
        <w:tc>
          <w:tcPr>
            <w:tcW w:w="1701" w:type="dxa"/>
          </w:tcPr>
          <w:p w:rsidR="00F86674" w:rsidRPr="00C369AA" w:rsidRDefault="00F86674" w:rsidP="003C1C54">
            <w:pPr>
              <w:jc w:val="center"/>
              <w:rPr>
                <w:sz w:val="20"/>
                <w:szCs w:val="20"/>
                <w:lang w:val="en-US"/>
              </w:rPr>
            </w:pPr>
            <w:r w:rsidRPr="00C369AA">
              <w:rPr>
                <w:sz w:val="20"/>
                <w:szCs w:val="20"/>
                <w:lang w:val="en-US"/>
              </w:rPr>
              <w:t>01.03.2020 – 31.05.2020</w:t>
            </w:r>
          </w:p>
        </w:tc>
        <w:tc>
          <w:tcPr>
            <w:tcW w:w="2126" w:type="dxa"/>
          </w:tcPr>
          <w:p w:rsidR="00F86674" w:rsidRPr="00C369AA" w:rsidRDefault="00F86674" w:rsidP="003C1C54">
            <w:pPr>
              <w:rPr>
                <w:sz w:val="20"/>
                <w:szCs w:val="20"/>
                <w:lang w:val="en-US"/>
              </w:rPr>
            </w:pPr>
            <w:r w:rsidRPr="00C369AA">
              <w:rPr>
                <w:sz w:val="20"/>
                <w:szCs w:val="20"/>
                <w:lang w:val="en-US"/>
              </w:rPr>
              <w:t>All OHCA adult patients.</w:t>
            </w:r>
          </w:p>
        </w:tc>
        <w:tc>
          <w:tcPr>
            <w:tcW w:w="2126" w:type="dxa"/>
          </w:tcPr>
          <w:p w:rsidR="00F86674" w:rsidRPr="00C369AA" w:rsidRDefault="00F86674" w:rsidP="003C1C54">
            <w:pPr>
              <w:rPr>
                <w:sz w:val="20"/>
                <w:szCs w:val="20"/>
                <w:lang w:val="en-US"/>
              </w:rPr>
            </w:pPr>
            <w:r w:rsidRPr="00C369AA">
              <w:rPr>
                <w:sz w:val="20"/>
                <w:szCs w:val="20"/>
                <w:lang w:val="en-US"/>
              </w:rPr>
              <w:t>Not meet inclusion criteria.</w:t>
            </w:r>
          </w:p>
        </w:tc>
        <w:tc>
          <w:tcPr>
            <w:tcW w:w="4220" w:type="dxa"/>
          </w:tcPr>
          <w:p w:rsidR="00F86674" w:rsidRPr="00C369AA" w:rsidRDefault="00F86674" w:rsidP="003C1C54">
            <w:pPr>
              <w:jc w:val="both"/>
              <w:rPr>
                <w:sz w:val="20"/>
                <w:szCs w:val="20"/>
                <w:lang w:val="en-US"/>
              </w:rPr>
            </w:pPr>
            <w:r w:rsidRPr="00C369AA">
              <w:rPr>
                <w:sz w:val="20"/>
                <w:szCs w:val="20"/>
                <w:lang w:val="en-US"/>
              </w:rPr>
              <w:t>The community response to OHCA was altered from March to May 2020, with less bystander CPR, delays in EMS response time, and reduced survival from OHCA. These results highlight the pandemic’s indirect negative impact on OHCA, even in communities with relatively low incidence of COVID-19 infection, and point to potential opportunities for countering the impact.</w:t>
            </w:r>
          </w:p>
        </w:tc>
      </w:tr>
      <w:tr w:rsidR="00F86674" w:rsidRPr="00F86674" w:rsidTr="003C1C54">
        <w:tc>
          <w:tcPr>
            <w:tcW w:w="2254" w:type="dxa"/>
          </w:tcPr>
          <w:p w:rsidR="00F86674" w:rsidRPr="00C369AA" w:rsidRDefault="00F86674" w:rsidP="003C1C54">
            <w:pPr>
              <w:rPr>
                <w:sz w:val="20"/>
                <w:szCs w:val="20"/>
                <w:lang w:val="en-US"/>
              </w:rPr>
            </w:pPr>
            <w:r w:rsidRPr="00C369AA">
              <w:rPr>
                <w:sz w:val="20"/>
                <w:szCs w:val="20"/>
                <w:lang w:val="en-US"/>
              </w:rPr>
              <w:t>Yu et al., 2021</w:t>
            </w:r>
          </w:p>
        </w:tc>
        <w:tc>
          <w:tcPr>
            <w:tcW w:w="1569" w:type="dxa"/>
          </w:tcPr>
          <w:p w:rsidR="00F86674" w:rsidRPr="00C369AA" w:rsidRDefault="00F86674" w:rsidP="003C1C54">
            <w:pPr>
              <w:jc w:val="center"/>
              <w:rPr>
                <w:sz w:val="20"/>
                <w:szCs w:val="20"/>
                <w:lang w:val="en-US"/>
              </w:rPr>
            </w:pPr>
            <w:r w:rsidRPr="00C369AA">
              <w:rPr>
                <w:sz w:val="20"/>
                <w:szCs w:val="20"/>
                <w:lang w:val="en-US"/>
              </w:rPr>
              <w:t>01.02.2019 – 30.04.2019</w:t>
            </w:r>
          </w:p>
        </w:tc>
        <w:tc>
          <w:tcPr>
            <w:tcW w:w="1701" w:type="dxa"/>
          </w:tcPr>
          <w:p w:rsidR="00F86674" w:rsidRPr="00C369AA" w:rsidRDefault="00F86674" w:rsidP="003C1C54">
            <w:pPr>
              <w:jc w:val="center"/>
              <w:rPr>
                <w:sz w:val="20"/>
                <w:szCs w:val="20"/>
                <w:lang w:val="en-US"/>
              </w:rPr>
            </w:pPr>
            <w:r w:rsidRPr="00C369AA">
              <w:rPr>
                <w:sz w:val="20"/>
                <w:szCs w:val="20"/>
                <w:lang w:val="en-US"/>
              </w:rPr>
              <w:t>01.02.2020 – 30.04.2020</w:t>
            </w:r>
          </w:p>
        </w:tc>
        <w:tc>
          <w:tcPr>
            <w:tcW w:w="2126" w:type="dxa"/>
          </w:tcPr>
          <w:p w:rsidR="00F86674" w:rsidRPr="00C369AA" w:rsidRDefault="00F86674" w:rsidP="003C1C54">
            <w:pPr>
              <w:rPr>
                <w:sz w:val="20"/>
                <w:szCs w:val="20"/>
                <w:lang w:val="en-US"/>
              </w:rPr>
            </w:pPr>
            <w:r w:rsidRPr="00C369AA">
              <w:rPr>
                <w:sz w:val="20"/>
                <w:szCs w:val="20"/>
                <w:lang w:val="en-US"/>
              </w:rPr>
              <w:t>All patients with OHCA.</w:t>
            </w:r>
          </w:p>
        </w:tc>
        <w:tc>
          <w:tcPr>
            <w:tcW w:w="2126" w:type="dxa"/>
          </w:tcPr>
          <w:p w:rsidR="00F86674" w:rsidRPr="00C369AA" w:rsidRDefault="00F86674" w:rsidP="003C1C54">
            <w:pPr>
              <w:rPr>
                <w:sz w:val="20"/>
                <w:szCs w:val="20"/>
                <w:lang w:val="en-US"/>
              </w:rPr>
            </w:pPr>
            <w:r w:rsidRPr="00C369AA">
              <w:rPr>
                <w:sz w:val="20"/>
                <w:szCs w:val="20"/>
                <w:lang w:val="en-US"/>
              </w:rPr>
              <w:t>Patients for whom resuscitation was not attempted, those aged younger than 20 years and those with OHCA as a result of trauma.</w:t>
            </w:r>
          </w:p>
        </w:tc>
        <w:tc>
          <w:tcPr>
            <w:tcW w:w="4220" w:type="dxa"/>
          </w:tcPr>
          <w:p w:rsidR="00F86674" w:rsidRPr="00C369AA" w:rsidRDefault="00F86674" w:rsidP="003C1C54">
            <w:pPr>
              <w:jc w:val="both"/>
              <w:rPr>
                <w:sz w:val="20"/>
                <w:szCs w:val="20"/>
                <w:lang w:val="en-US"/>
              </w:rPr>
            </w:pPr>
            <w:r w:rsidRPr="00C369AA">
              <w:rPr>
                <w:sz w:val="20"/>
                <w:szCs w:val="20"/>
                <w:lang w:val="en-US"/>
              </w:rPr>
              <w:t>EMS response time for patients with OHCA was prolonged during the COVID-19 pandemic. Early advanced life support by EMS personnel remains crucial for patients with OHCA.</w:t>
            </w:r>
          </w:p>
        </w:tc>
      </w:tr>
    </w:tbl>
    <w:p w:rsidR="00F86674" w:rsidRPr="00754860" w:rsidRDefault="00F86674" w:rsidP="00F86674">
      <w:pPr>
        <w:jc w:val="both"/>
        <w:rPr>
          <w:lang w:val="en-US"/>
        </w:rPr>
      </w:pPr>
      <w:r w:rsidRPr="00F7072E">
        <w:rPr>
          <w:i/>
          <w:iCs/>
          <w:lang w:val="en-US"/>
        </w:rPr>
        <w:t xml:space="preserve">Legend: </w:t>
      </w:r>
      <w:r>
        <w:rPr>
          <w:i/>
          <w:iCs/>
          <w:lang w:val="en-US"/>
        </w:rPr>
        <w:t xml:space="preserve">ALS: advanced life support; BLS: basic life support; CARES: </w:t>
      </w:r>
      <w:r w:rsidRPr="00754860">
        <w:rPr>
          <w:i/>
          <w:iCs/>
          <w:lang w:val="en-US"/>
        </w:rPr>
        <w:t>Cardiac Arrest Registry to Enhance Survival</w:t>
      </w:r>
      <w:r>
        <w:rPr>
          <w:i/>
          <w:iCs/>
          <w:lang w:val="en-US"/>
        </w:rPr>
        <w:t>; CPR: cardiopulmonary resuscitation; ED: emergency department; EMS: emergency medical service; I</w:t>
      </w:r>
      <w:r w:rsidRPr="00F7072E">
        <w:rPr>
          <w:i/>
          <w:iCs/>
          <w:lang w:val="en-US"/>
        </w:rPr>
        <w:t xml:space="preserve">HCA: </w:t>
      </w:r>
      <w:r>
        <w:rPr>
          <w:i/>
          <w:iCs/>
          <w:lang w:val="en-US"/>
        </w:rPr>
        <w:t>in</w:t>
      </w:r>
      <w:r w:rsidRPr="00F7072E">
        <w:rPr>
          <w:i/>
          <w:iCs/>
          <w:lang w:val="en-US"/>
        </w:rPr>
        <w:t>-hospital cardiac arrest</w:t>
      </w:r>
      <w:r>
        <w:rPr>
          <w:i/>
          <w:iCs/>
          <w:lang w:val="en-US"/>
        </w:rPr>
        <w:t xml:space="preserve">; </w:t>
      </w:r>
      <w:r w:rsidRPr="00F7072E">
        <w:rPr>
          <w:i/>
          <w:iCs/>
          <w:lang w:val="en-US"/>
        </w:rPr>
        <w:t>OHCA: out-of-hospital cardiac arrest;</w:t>
      </w:r>
      <w:r>
        <w:rPr>
          <w:i/>
          <w:iCs/>
          <w:lang w:val="en-US"/>
        </w:rPr>
        <w:t xml:space="preserve"> SCA: sudden cardiac arrest.</w:t>
      </w:r>
    </w:p>
    <w:p w:rsidR="00F86674" w:rsidRPr="008020F6" w:rsidRDefault="00F86674" w:rsidP="00F86674">
      <w:pPr>
        <w:jc w:val="both"/>
        <w:rPr>
          <w:lang w:val="en-US"/>
        </w:rPr>
      </w:pPr>
    </w:p>
    <w:p w:rsidR="002266D2" w:rsidRPr="00F86674" w:rsidRDefault="002266D2">
      <w:pPr>
        <w:rPr>
          <w:lang w:val="en-US"/>
        </w:rPr>
      </w:pPr>
    </w:p>
    <w:sectPr w:rsidR="002266D2" w:rsidRPr="00F86674" w:rsidSect="00A74439">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74"/>
    <w:rsid w:val="00006811"/>
    <w:rsid w:val="0001118B"/>
    <w:rsid w:val="00012470"/>
    <w:rsid w:val="00015A21"/>
    <w:rsid w:val="00015A89"/>
    <w:rsid w:val="00030126"/>
    <w:rsid w:val="00034402"/>
    <w:rsid w:val="00034AA0"/>
    <w:rsid w:val="00043DD4"/>
    <w:rsid w:val="00044323"/>
    <w:rsid w:val="00051D12"/>
    <w:rsid w:val="00052E45"/>
    <w:rsid w:val="00055067"/>
    <w:rsid w:val="00055FFA"/>
    <w:rsid w:val="00061C4B"/>
    <w:rsid w:val="00064C51"/>
    <w:rsid w:val="0007284A"/>
    <w:rsid w:val="000759E6"/>
    <w:rsid w:val="000810E2"/>
    <w:rsid w:val="000A770C"/>
    <w:rsid w:val="000B22AC"/>
    <w:rsid w:val="000B35A2"/>
    <w:rsid w:val="000B41F8"/>
    <w:rsid w:val="000B4914"/>
    <w:rsid w:val="000B5FBF"/>
    <w:rsid w:val="000C2D2A"/>
    <w:rsid w:val="000C6684"/>
    <w:rsid w:val="000D379B"/>
    <w:rsid w:val="000D3B61"/>
    <w:rsid w:val="000E3469"/>
    <w:rsid w:val="000E745F"/>
    <w:rsid w:val="001004CF"/>
    <w:rsid w:val="00101BB3"/>
    <w:rsid w:val="00110F4B"/>
    <w:rsid w:val="001214E7"/>
    <w:rsid w:val="00132866"/>
    <w:rsid w:val="0013701A"/>
    <w:rsid w:val="0013747D"/>
    <w:rsid w:val="00155FCB"/>
    <w:rsid w:val="00166189"/>
    <w:rsid w:val="0017086C"/>
    <w:rsid w:val="0018333B"/>
    <w:rsid w:val="001907C1"/>
    <w:rsid w:val="001939AF"/>
    <w:rsid w:val="001D3C1E"/>
    <w:rsid w:val="001D785A"/>
    <w:rsid w:val="002266D2"/>
    <w:rsid w:val="00233FE9"/>
    <w:rsid w:val="00234397"/>
    <w:rsid w:val="0026254B"/>
    <w:rsid w:val="00266B68"/>
    <w:rsid w:val="00271B59"/>
    <w:rsid w:val="00282E80"/>
    <w:rsid w:val="002B016C"/>
    <w:rsid w:val="002B07FC"/>
    <w:rsid w:val="002B4C3B"/>
    <w:rsid w:val="002B6B57"/>
    <w:rsid w:val="002C3FA3"/>
    <w:rsid w:val="002C7A09"/>
    <w:rsid w:val="002D2497"/>
    <w:rsid w:val="002D36E5"/>
    <w:rsid w:val="002D6265"/>
    <w:rsid w:val="002E35E8"/>
    <w:rsid w:val="002F7044"/>
    <w:rsid w:val="00303750"/>
    <w:rsid w:val="00321778"/>
    <w:rsid w:val="00335A30"/>
    <w:rsid w:val="003756C4"/>
    <w:rsid w:val="00375BEA"/>
    <w:rsid w:val="003A489B"/>
    <w:rsid w:val="003A73E0"/>
    <w:rsid w:val="003B1712"/>
    <w:rsid w:val="003D13DD"/>
    <w:rsid w:val="003D4DF1"/>
    <w:rsid w:val="003D596D"/>
    <w:rsid w:val="003D59AF"/>
    <w:rsid w:val="004176A6"/>
    <w:rsid w:val="00422E6B"/>
    <w:rsid w:val="00435D2C"/>
    <w:rsid w:val="0045616E"/>
    <w:rsid w:val="00457019"/>
    <w:rsid w:val="00461C42"/>
    <w:rsid w:val="00476D75"/>
    <w:rsid w:val="00481250"/>
    <w:rsid w:val="00481F86"/>
    <w:rsid w:val="00485DB8"/>
    <w:rsid w:val="00494B82"/>
    <w:rsid w:val="004A4B8A"/>
    <w:rsid w:val="004D3BD2"/>
    <w:rsid w:val="004E0E2D"/>
    <w:rsid w:val="004F3FF6"/>
    <w:rsid w:val="004F7547"/>
    <w:rsid w:val="0050407A"/>
    <w:rsid w:val="00504B2D"/>
    <w:rsid w:val="005207C9"/>
    <w:rsid w:val="005550F4"/>
    <w:rsid w:val="00561327"/>
    <w:rsid w:val="005616CF"/>
    <w:rsid w:val="00565CD1"/>
    <w:rsid w:val="00567DDC"/>
    <w:rsid w:val="00573397"/>
    <w:rsid w:val="0057745D"/>
    <w:rsid w:val="00586C0C"/>
    <w:rsid w:val="00587A8F"/>
    <w:rsid w:val="00597553"/>
    <w:rsid w:val="005A13A7"/>
    <w:rsid w:val="005A1542"/>
    <w:rsid w:val="005A2D9E"/>
    <w:rsid w:val="005A525B"/>
    <w:rsid w:val="005B5C44"/>
    <w:rsid w:val="00604785"/>
    <w:rsid w:val="00606DA0"/>
    <w:rsid w:val="006305D7"/>
    <w:rsid w:val="00632F5D"/>
    <w:rsid w:val="006374BE"/>
    <w:rsid w:val="00645D12"/>
    <w:rsid w:val="00650678"/>
    <w:rsid w:val="00652800"/>
    <w:rsid w:val="00670A77"/>
    <w:rsid w:val="00681705"/>
    <w:rsid w:val="0068419F"/>
    <w:rsid w:val="00686E98"/>
    <w:rsid w:val="00687C39"/>
    <w:rsid w:val="00693F98"/>
    <w:rsid w:val="006A6E60"/>
    <w:rsid w:val="006C409B"/>
    <w:rsid w:val="006C525C"/>
    <w:rsid w:val="006D0E0F"/>
    <w:rsid w:val="006D2421"/>
    <w:rsid w:val="006D486F"/>
    <w:rsid w:val="006E77AE"/>
    <w:rsid w:val="006F0C73"/>
    <w:rsid w:val="006F1A0B"/>
    <w:rsid w:val="007001E6"/>
    <w:rsid w:val="00720705"/>
    <w:rsid w:val="00732053"/>
    <w:rsid w:val="00746B0D"/>
    <w:rsid w:val="00773BF0"/>
    <w:rsid w:val="00776580"/>
    <w:rsid w:val="00776938"/>
    <w:rsid w:val="007928D9"/>
    <w:rsid w:val="007B0804"/>
    <w:rsid w:val="007B5250"/>
    <w:rsid w:val="007C1D30"/>
    <w:rsid w:val="007D1450"/>
    <w:rsid w:val="007D4D56"/>
    <w:rsid w:val="007F18D4"/>
    <w:rsid w:val="007F42D6"/>
    <w:rsid w:val="008007B8"/>
    <w:rsid w:val="00812CAA"/>
    <w:rsid w:val="0084026A"/>
    <w:rsid w:val="00861FB3"/>
    <w:rsid w:val="00874D23"/>
    <w:rsid w:val="00890430"/>
    <w:rsid w:val="008A1699"/>
    <w:rsid w:val="008A544C"/>
    <w:rsid w:val="008C1C7A"/>
    <w:rsid w:val="008D21FF"/>
    <w:rsid w:val="008E3239"/>
    <w:rsid w:val="008F46F6"/>
    <w:rsid w:val="00910984"/>
    <w:rsid w:val="00911697"/>
    <w:rsid w:val="009135B8"/>
    <w:rsid w:val="00916A1A"/>
    <w:rsid w:val="0092221A"/>
    <w:rsid w:val="0092653D"/>
    <w:rsid w:val="009458BE"/>
    <w:rsid w:val="00953F09"/>
    <w:rsid w:val="00954359"/>
    <w:rsid w:val="00956CEA"/>
    <w:rsid w:val="00974564"/>
    <w:rsid w:val="0097524C"/>
    <w:rsid w:val="009775CB"/>
    <w:rsid w:val="009A236D"/>
    <w:rsid w:val="009A7686"/>
    <w:rsid w:val="009C2B31"/>
    <w:rsid w:val="009C3136"/>
    <w:rsid w:val="009C333D"/>
    <w:rsid w:val="009D400E"/>
    <w:rsid w:val="00A06E35"/>
    <w:rsid w:val="00A1238F"/>
    <w:rsid w:val="00A12E49"/>
    <w:rsid w:val="00A14BA0"/>
    <w:rsid w:val="00A15554"/>
    <w:rsid w:val="00A16ACE"/>
    <w:rsid w:val="00A24DB0"/>
    <w:rsid w:val="00A3033C"/>
    <w:rsid w:val="00A3248C"/>
    <w:rsid w:val="00A329DE"/>
    <w:rsid w:val="00A343A0"/>
    <w:rsid w:val="00A35124"/>
    <w:rsid w:val="00A56DA7"/>
    <w:rsid w:val="00A74439"/>
    <w:rsid w:val="00A7549E"/>
    <w:rsid w:val="00A75F56"/>
    <w:rsid w:val="00A77D59"/>
    <w:rsid w:val="00A96140"/>
    <w:rsid w:val="00AA1AD7"/>
    <w:rsid w:val="00AB3EC6"/>
    <w:rsid w:val="00AC6971"/>
    <w:rsid w:val="00AD0A9D"/>
    <w:rsid w:val="00AD10AF"/>
    <w:rsid w:val="00AE565E"/>
    <w:rsid w:val="00AE5F72"/>
    <w:rsid w:val="00AF2557"/>
    <w:rsid w:val="00B17B73"/>
    <w:rsid w:val="00B324E1"/>
    <w:rsid w:val="00B44D93"/>
    <w:rsid w:val="00B4653D"/>
    <w:rsid w:val="00B5571E"/>
    <w:rsid w:val="00B56D87"/>
    <w:rsid w:val="00B60C64"/>
    <w:rsid w:val="00B767B0"/>
    <w:rsid w:val="00BA4405"/>
    <w:rsid w:val="00BC0DA2"/>
    <w:rsid w:val="00BC1033"/>
    <w:rsid w:val="00BC17A6"/>
    <w:rsid w:val="00BC3BA3"/>
    <w:rsid w:val="00BD43F6"/>
    <w:rsid w:val="00BD50C7"/>
    <w:rsid w:val="00BE6B15"/>
    <w:rsid w:val="00BF5EF1"/>
    <w:rsid w:val="00BF72E9"/>
    <w:rsid w:val="00C029D0"/>
    <w:rsid w:val="00C10469"/>
    <w:rsid w:val="00C33B47"/>
    <w:rsid w:val="00C4723F"/>
    <w:rsid w:val="00C71B4D"/>
    <w:rsid w:val="00C728EA"/>
    <w:rsid w:val="00C73DED"/>
    <w:rsid w:val="00C7631F"/>
    <w:rsid w:val="00CA3B2B"/>
    <w:rsid w:val="00CB22D0"/>
    <w:rsid w:val="00CB5669"/>
    <w:rsid w:val="00CC7305"/>
    <w:rsid w:val="00CC7F75"/>
    <w:rsid w:val="00CE6B0C"/>
    <w:rsid w:val="00D064C5"/>
    <w:rsid w:val="00D263C0"/>
    <w:rsid w:val="00D333F8"/>
    <w:rsid w:val="00D55125"/>
    <w:rsid w:val="00D56DCC"/>
    <w:rsid w:val="00D644B2"/>
    <w:rsid w:val="00D72EE9"/>
    <w:rsid w:val="00D90EDF"/>
    <w:rsid w:val="00DB0090"/>
    <w:rsid w:val="00DB548A"/>
    <w:rsid w:val="00DC788A"/>
    <w:rsid w:val="00DF2610"/>
    <w:rsid w:val="00E01D04"/>
    <w:rsid w:val="00E0562C"/>
    <w:rsid w:val="00E17763"/>
    <w:rsid w:val="00E2032E"/>
    <w:rsid w:val="00E2364D"/>
    <w:rsid w:val="00E30A72"/>
    <w:rsid w:val="00E31CA4"/>
    <w:rsid w:val="00E4640C"/>
    <w:rsid w:val="00E54378"/>
    <w:rsid w:val="00E56642"/>
    <w:rsid w:val="00E862B2"/>
    <w:rsid w:val="00E90E17"/>
    <w:rsid w:val="00E931F8"/>
    <w:rsid w:val="00EB0EFA"/>
    <w:rsid w:val="00EB6F79"/>
    <w:rsid w:val="00ED478B"/>
    <w:rsid w:val="00ED68D0"/>
    <w:rsid w:val="00ED692C"/>
    <w:rsid w:val="00EE5FB6"/>
    <w:rsid w:val="00EF5AFC"/>
    <w:rsid w:val="00EF684C"/>
    <w:rsid w:val="00F05045"/>
    <w:rsid w:val="00F11BF2"/>
    <w:rsid w:val="00F144F0"/>
    <w:rsid w:val="00F150AE"/>
    <w:rsid w:val="00F1551A"/>
    <w:rsid w:val="00F24A64"/>
    <w:rsid w:val="00F30760"/>
    <w:rsid w:val="00F42E85"/>
    <w:rsid w:val="00F43BCC"/>
    <w:rsid w:val="00F525FF"/>
    <w:rsid w:val="00F57CDB"/>
    <w:rsid w:val="00F676CC"/>
    <w:rsid w:val="00F7206D"/>
    <w:rsid w:val="00F86674"/>
    <w:rsid w:val="00FA1FDB"/>
    <w:rsid w:val="00FB10E3"/>
    <w:rsid w:val="00FB3157"/>
    <w:rsid w:val="00FB4A5A"/>
    <w:rsid w:val="00FB6BE7"/>
    <w:rsid w:val="00FF6484"/>
    <w:rsid w:val="00FF7F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271CD5E-C223-0343-B51A-031E6180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pl-P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6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86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F86674"/>
    <w:pPr>
      <w:spacing w:before="100" w:beforeAutospacing="1" w:after="100" w:afterAutospacing="1"/>
    </w:pPr>
    <w:rPr>
      <w:rFonts w:ascii="Times New Roman" w:eastAsia="Times New Roman" w:hAnsi="Times New Roman" w:cs="Times New Roman"/>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1909</Words>
  <Characters>11455</Characters>
  <Application>Microsoft Office Word</Application>
  <DocSecurity>0</DocSecurity>
  <Lines>95</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Szarpak</dc:creator>
  <cp:keywords/>
  <dc:description/>
  <cp:lastModifiedBy>Łukasz Szarpak</cp:lastModifiedBy>
  <cp:revision>1</cp:revision>
  <dcterms:created xsi:type="dcterms:W3CDTF">2023-12-20T12:00:00Z</dcterms:created>
  <dcterms:modified xsi:type="dcterms:W3CDTF">2023-12-20T12:00:00Z</dcterms:modified>
</cp:coreProperties>
</file>