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1F6" w:rsidRPr="00775087" w:rsidRDefault="00B101F6" w:rsidP="00775087">
      <w:pPr>
        <w:spacing w:after="0" w:line="480" w:lineRule="auto"/>
        <w:jc w:val="center"/>
        <w:rPr>
          <w:rStyle w:val="Heading1Char"/>
          <w:rFonts w:ascii="Times New Roman" w:hAnsi="Times New Roman" w:cs="Times New Roman"/>
          <w:b w:val="0"/>
        </w:rPr>
      </w:pPr>
      <w:r w:rsidRPr="00775087">
        <w:rPr>
          <w:rStyle w:val="Heading1Char"/>
          <w:rFonts w:ascii="Times New Roman" w:hAnsi="Times New Roman" w:cs="Times New Roman"/>
        </w:rPr>
        <w:t>Supplementary material</w:t>
      </w:r>
    </w:p>
    <w:p w:rsidR="00B101F6" w:rsidRPr="00775087" w:rsidRDefault="00B101F6" w:rsidP="00775087">
      <w:pPr>
        <w:spacing w:after="0" w:line="480" w:lineRule="auto"/>
        <w:rPr>
          <w:rFonts w:ascii="Times New Roman" w:eastAsiaTheme="majorEastAsia" w:hAnsi="Times New Roman" w:cs="Times New Roman"/>
          <w:b/>
          <w:bCs/>
          <w:i/>
          <w:iCs/>
          <w:spacing w:val="10"/>
          <w:sz w:val="24"/>
          <w:szCs w:val="24"/>
        </w:rPr>
      </w:pPr>
      <w:r w:rsidRPr="00775087">
        <w:rPr>
          <w:rFonts w:ascii="Times New Roman" w:hAnsi="Times New Roman" w:cs="Times New Roman"/>
          <w:b/>
          <w:bCs/>
          <w:spacing w:val="-10"/>
          <w:kern w:val="28"/>
          <w:sz w:val="24"/>
          <w:szCs w:val="24"/>
          <w:shd w:val="clear" w:color="auto" w:fill="FEFFFF"/>
          <w14:textOutline w14:w="12700" w14:cap="flat" w14:cmpd="sng" w14:algn="ctr">
            <w14:noFill/>
            <w14:prstDash w14:val="solid"/>
            <w14:miter w14:lim="400000"/>
          </w14:textOutline>
        </w:rPr>
        <w:t>Temporal evolution of liver function parameters predicts clinical outcome in chronic heart failure patients (Bio-SHiFT Study)</w:t>
      </w:r>
    </w:p>
    <w:p w:rsidR="00B101F6" w:rsidRPr="00775087" w:rsidRDefault="00B101F6" w:rsidP="00775087">
      <w:pPr>
        <w:spacing w:after="0" w:line="480" w:lineRule="auto"/>
        <w:rPr>
          <w:rFonts w:ascii="Times New Roman" w:eastAsiaTheme="majorEastAsia" w:hAnsi="Times New Roman" w:cs="Times New Roman"/>
          <w:spacing w:val="10"/>
          <w:sz w:val="24"/>
          <w:szCs w:val="24"/>
          <w:vertAlign w:val="superscript"/>
        </w:rPr>
      </w:pPr>
      <w:r w:rsidRPr="00775087">
        <w:rPr>
          <w:rFonts w:ascii="Times New Roman" w:eastAsiaTheme="majorEastAsia" w:hAnsi="Times New Roman" w:cs="Times New Roman"/>
          <w:spacing w:val="10"/>
          <w:sz w:val="24"/>
          <w:szCs w:val="24"/>
        </w:rPr>
        <w:t xml:space="preserve">Dominika Klimczak-Tomaniak </w:t>
      </w:r>
      <w:proofErr w:type="gramStart"/>
      <w:r w:rsidRPr="00775087">
        <w:rPr>
          <w:rFonts w:ascii="Times New Roman" w:eastAsiaTheme="majorEastAsia" w:hAnsi="Times New Roman" w:cs="Times New Roman"/>
          <w:spacing w:val="10"/>
          <w:sz w:val="24"/>
          <w:szCs w:val="24"/>
          <w:vertAlign w:val="superscript"/>
          <w:lang w:val="pt-PT"/>
        </w:rPr>
        <w:t>a,b</w:t>
      </w:r>
      <w:proofErr w:type="gramEnd"/>
      <w:r w:rsidRPr="00775087">
        <w:rPr>
          <w:rFonts w:ascii="Times New Roman" w:eastAsiaTheme="majorEastAsia" w:hAnsi="Times New Roman" w:cs="Times New Roman"/>
          <w:spacing w:val="10"/>
          <w:sz w:val="24"/>
          <w:szCs w:val="24"/>
        </w:rPr>
        <w:t xml:space="preserve">, </w:t>
      </w:r>
      <w:r w:rsidRPr="00775087">
        <w:rPr>
          <w:rFonts w:ascii="Times New Roman" w:hAnsi="Times New Roman" w:cs="Times New Roman"/>
          <w:sz w:val="24"/>
          <w:szCs w:val="24"/>
          <w:shd w:val="clear" w:color="auto" w:fill="FEFFFF"/>
          <w14:textOutline w14:w="12700" w14:cap="flat" w14:cmpd="sng" w14:algn="ctr">
            <w14:noFill/>
            <w14:prstDash w14:val="solid"/>
            <w14:miter w14:lim="400000"/>
          </w14:textOutline>
        </w:rPr>
        <w:t xml:space="preserve">Karolina Andrzejczyk* </w:t>
      </w:r>
      <w:r w:rsidRPr="00775087">
        <w:rPr>
          <w:rFonts w:ascii="Times New Roman" w:hAnsi="Times New Roman" w:cs="Times New Roman"/>
          <w:sz w:val="24"/>
          <w:szCs w:val="24"/>
          <w:shd w:val="clear" w:color="auto" w:fill="FEFFFF"/>
          <w:vertAlign w:val="superscript"/>
          <w14:textOutline w14:w="12700" w14:cap="flat" w14:cmpd="sng" w14:algn="ctr">
            <w14:noFill/>
            <w14:prstDash w14:val="solid"/>
            <w14:miter w14:lim="400000"/>
          </w14:textOutline>
        </w:rPr>
        <w:t>a</w:t>
      </w:r>
      <w:r w:rsidRPr="00775087">
        <w:rPr>
          <w:rFonts w:ascii="Times New Roman" w:hAnsi="Times New Roman" w:cs="Times New Roman"/>
          <w:sz w:val="24"/>
          <w:szCs w:val="24"/>
          <w:shd w:val="clear" w:color="auto" w:fill="FEFFFF"/>
          <w14:textOutline w14:w="12700" w14:cap="flat" w14:cmpd="sng" w14:algn="ctr">
            <w14:noFill/>
            <w14:prstDash w14:val="solid"/>
            <w14:miter w14:lim="400000"/>
          </w14:textOutline>
        </w:rPr>
        <w:t>, Sabrina Abou Kamar</w:t>
      </w:r>
      <w:r w:rsidRPr="00775087">
        <w:rPr>
          <w:rFonts w:ascii="Times New Roman" w:hAnsi="Times New Roman" w:cs="Times New Roman"/>
          <w:sz w:val="24"/>
          <w:szCs w:val="24"/>
          <w:shd w:val="clear" w:color="auto" w:fill="FEFFFF"/>
          <w:vertAlign w:val="superscript"/>
          <w14:textOutline w14:w="12700" w14:cap="flat" w14:cmpd="sng" w14:algn="ctr">
            <w14:noFill/>
            <w14:prstDash w14:val="solid"/>
            <w14:miter w14:lim="400000"/>
          </w14:textOutline>
        </w:rPr>
        <w:t xml:space="preserve"> a</w:t>
      </w:r>
      <w:r w:rsidRPr="00775087">
        <w:rPr>
          <w:rFonts w:ascii="Times New Roman" w:hAnsi="Times New Roman" w:cs="Times New Roman"/>
          <w:sz w:val="24"/>
          <w:szCs w:val="24"/>
          <w:shd w:val="clear" w:color="auto" w:fill="FEFFFF"/>
          <w14:textOutline w14:w="12700" w14:cap="flat" w14:cmpd="sng" w14:algn="ctr">
            <w14:noFill/>
            <w14:prstDash w14:val="solid"/>
            <w14:miter w14:lim="400000"/>
          </w14:textOutline>
        </w:rPr>
        <w:t>,</w:t>
      </w:r>
      <w:r w:rsidRPr="00775087">
        <w:rPr>
          <w:rFonts w:ascii="Times New Roman" w:eastAsiaTheme="majorEastAsia" w:hAnsi="Times New Roman" w:cs="Times New Roman"/>
          <w:spacing w:val="10"/>
          <w:sz w:val="24"/>
          <w:szCs w:val="24"/>
        </w:rPr>
        <w:t xml:space="preserve"> Sara </w:t>
      </w:r>
      <w:proofErr w:type="spellStart"/>
      <w:r w:rsidRPr="00775087">
        <w:rPr>
          <w:rFonts w:ascii="Times New Roman" w:eastAsiaTheme="majorEastAsia" w:hAnsi="Times New Roman" w:cs="Times New Roman"/>
          <w:spacing w:val="10"/>
          <w:sz w:val="24"/>
          <w:szCs w:val="24"/>
        </w:rPr>
        <w:t>Baart</w:t>
      </w:r>
      <w:r w:rsidRPr="00775087">
        <w:rPr>
          <w:rFonts w:ascii="Times New Roman" w:eastAsiaTheme="majorEastAsia" w:hAnsi="Times New Roman" w:cs="Times New Roman"/>
          <w:spacing w:val="10"/>
          <w:sz w:val="24"/>
          <w:szCs w:val="24"/>
          <w:vertAlign w:val="superscript"/>
        </w:rPr>
        <w:t>c</w:t>
      </w:r>
      <w:proofErr w:type="spellEnd"/>
      <w:r w:rsidRPr="00775087">
        <w:rPr>
          <w:rFonts w:ascii="Times New Roman" w:eastAsiaTheme="majorEastAsia" w:hAnsi="Times New Roman" w:cs="Times New Roman"/>
          <w:spacing w:val="10"/>
          <w:sz w:val="24"/>
          <w:szCs w:val="24"/>
        </w:rPr>
        <w:t xml:space="preserve">, </w:t>
      </w:r>
      <w:r w:rsidRPr="00775087">
        <w:rPr>
          <w:rFonts w:ascii="Times New Roman" w:eastAsiaTheme="majorEastAsia" w:hAnsi="Times New Roman" w:cs="Times New Roman"/>
          <w:spacing w:val="10"/>
          <w:sz w:val="24"/>
          <w:szCs w:val="24"/>
          <w:lang w:val="sv-SE"/>
        </w:rPr>
        <w:t>Nick v</w:t>
      </w:r>
      <w:r w:rsidRPr="00775087">
        <w:rPr>
          <w:rFonts w:ascii="Times New Roman" w:eastAsiaTheme="majorEastAsia" w:hAnsi="Times New Roman" w:cs="Times New Roman"/>
          <w:spacing w:val="10"/>
          <w:sz w:val="24"/>
          <w:szCs w:val="24"/>
        </w:rPr>
        <w:t xml:space="preserve">an </w:t>
      </w:r>
      <w:proofErr w:type="spellStart"/>
      <w:r w:rsidRPr="00775087">
        <w:rPr>
          <w:rFonts w:ascii="Times New Roman" w:eastAsiaTheme="majorEastAsia" w:hAnsi="Times New Roman" w:cs="Times New Roman"/>
          <w:spacing w:val="10"/>
          <w:sz w:val="24"/>
          <w:szCs w:val="24"/>
        </w:rPr>
        <w:t>Boven</w:t>
      </w:r>
      <w:r w:rsidRPr="00775087">
        <w:rPr>
          <w:rFonts w:ascii="Times New Roman" w:eastAsiaTheme="majorEastAsia" w:hAnsi="Times New Roman" w:cs="Times New Roman"/>
          <w:spacing w:val="10"/>
          <w:sz w:val="24"/>
          <w:szCs w:val="24"/>
          <w:vertAlign w:val="superscript"/>
        </w:rPr>
        <w:t>a</w:t>
      </w:r>
      <w:proofErr w:type="spellEnd"/>
      <w:r w:rsidRPr="00775087">
        <w:rPr>
          <w:rFonts w:ascii="Times New Roman" w:eastAsiaTheme="majorEastAsia" w:hAnsi="Times New Roman" w:cs="Times New Roman"/>
          <w:spacing w:val="10"/>
          <w:sz w:val="24"/>
          <w:szCs w:val="24"/>
        </w:rPr>
        <w:t xml:space="preserve">, K. Martijn </w:t>
      </w:r>
      <w:proofErr w:type="spellStart"/>
      <w:r w:rsidRPr="00775087">
        <w:rPr>
          <w:rFonts w:ascii="Times New Roman" w:eastAsiaTheme="majorEastAsia" w:hAnsi="Times New Roman" w:cs="Times New Roman"/>
          <w:spacing w:val="10"/>
          <w:sz w:val="24"/>
          <w:szCs w:val="24"/>
        </w:rPr>
        <w:t>Akkerhuis</w:t>
      </w:r>
      <w:r w:rsidRPr="00775087">
        <w:rPr>
          <w:rFonts w:ascii="Times New Roman" w:eastAsiaTheme="majorEastAsia" w:hAnsi="Times New Roman" w:cs="Times New Roman"/>
          <w:spacing w:val="10"/>
          <w:sz w:val="24"/>
          <w:szCs w:val="24"/>
          <w:vertAlign w:val="superscript"/>
        </w:rPr>
        <w:t>a</w:t>
      </w:r>
      <w:proofErr w:type="spellEnd"/>
      <w:r w:rsidRPr="00775087">
        <w:rPr>
          <w:rFonts w:ascii="Times New Roman" w:eastAsiaTheme="majorEastAsia" w:hAnsi="Times New Roman" w:cs="Times New Roman"/>
          <w:spacing w:val="10"/>
          <w:sz w:val="24"/>
          <w:szCs w:val="24"/>
        </w:rPr>
        <w:t xml:space="preserve">, Alina </w:t>
      </w:r>
      <w:proofErr w:type="spellStart"/>
      <w:r w:rsidRPr="00775087">
        <w:rPr>
          <w:rFonts w:ascii="Times New Roman" w:eastAsiaTheme="majorEastAsia" w:hAnsi="Times New Roman" w:cs="Times New Roman"/>
          <w:spacing w:val="10"/>
          <w:sz w:val="24"/>
          <w:szCs w:val="24"/>
        </w:rPr>
        <w:t>Constantinescu</w:t>
      </w:r>
      <w:r w:rsidRPr="00775087">
        <w:rPr>
          <w:rFonts w:ascii="Times New Roman" w:eastAsiaTheme="majorEastAsia" w:hAnsi="Times New Roman" w:cs="Times New Roman"/>
          <w:spacing w:val="10"/>
          <w:sz w:val="24"/>
          <w:szCs w:val="24"/>
          <w:vertAlign w:val="superscript"/>
        </w:rPr>
        <w:t>a</w:t>
      </w:r>
      <w:proofErr w:type="spellEnd"/>
      <w:r w:rsidRPr="00775087">
        <w:rPr>
          <w:rFonts w:ascii="Times New Roman" w:eastAsiaTheme="majorEastAsia" w:hAnsi="Times New Roman" w:cs="Times New Roman"/>
          <w:spacing w:val="10"/>
          <w:sz w:val="24"/>
          <w:szCs w:val="24"/>
        </w:rPr>
        <w:t xml:space="preserve">, Kadir </w:t>
      </w:r>
      <w:proofErr w:type="spellStart"/>
      <w:r w:rsidRPr="00775087">
        <w:rPr>
          <w:rFonts w:ascii="Times New Roman" w:eastAsiaTheme="majorEastAsia" w:hAnsi="Times New Roman" w:cs="Times New Roman"/>
          <w:spacing w:val="10"/>
          <w:sz w:val="24"/>
          <w:szCs w:val="24"/>
        </w:rPr>
        <w:t>Caliskan</w:t>
      </w:r>
      <w:r w:rsidRPr="00775087">
        <w:rPr>
          <w:rFonts w:ascii="Times New Roman" w:eastAsiaTheme="majorEastAsia" w:hAnsi="Times New Roman" w:cs="Times New Roman"/>
          <w:spacing w:val="10"/>
          <w:sz w:val="24"/>
          <w:szCs w:val="24"/>
          <w:vertAlign w:val="superscript"/>
        </w:rPr>
        <w:t>a</w:t>
      </w:r>
      <w:proofErr w:type="spellEnd"/>
      <w:r w:rsidRPr="00775087">
        <w:rPr>
          <w:rFonts w:ascii="Times New Roman" w:eastAsiaTheme="majorEastAsia" w:hAnsi="Times New Roman" w:cs="Times New Roman"/>
          <w:spacing w:val="10"/>
          <w:sz w:val="24"/>
          <w:szCs w:val="24"/>
        </w:rPr>
        <w:t xml:space="preserve">, Suat </w:t>
      </w:r>
      <w:proofErr w:type="spellStart"/>
      <w:r w:rsidRPr="00775087">
        <w:rPr>
          <w:rFonts w:ascii="Times New Roman" w:eastAsiaTheme="majorEastAsia" w:hAnsi="Times New Roman" w:cs="Times New Roman"/>
          <w:spacing w:val="10"/>
          <w:sz w:val="24"/>
          <w:szCs w:val="24"/>
        </w:rPr>
        <w:t>Simsek</w:t>
      </w:r>
      <w:r w:rsidRPr="00775087">
        <w:rPr>
          <w:rFonts w:ascii="Times New Roman" w:eastAsiaTheme="majorEastAsia" w:hAnsi="Times New Roman" w:cs="Times New Roman"/>
          <w:spacing w:val="10"/>
          <w:sz w:val="24"/>
          <w:szCs w:val="24"/>
          <w:vertAlign w:val="superscript"/>
        </w:rPr>
        <w:t>d</w:t>
      </w:r>
      <w:proofErr w:type="spellEnd"/>
      <w:r w:rsidRPr="00775087">
        <w:rPr>
          <w:rFonts w:ascii="Times New Roman" w:eastAsiaTheme="majorEastAsia" w:hAnsi="Times New Roman" w:cs="Times New Roman"/>
          <w:spacing w:val="10"/>
          <w:sz w:val="24"/>
          <w:szCs w:val="24"/>
        </w:rPr>
        <w:t xml:space="preserve">, </w:t>
      </w:r>
      <w:proofErr w:type="spellStart"/>
      <w:r w:rsidRPr="00775087">
        <w:rPr>
          <w:rFonts w:ascii="Times New Roman" w:eastAsiaTheme="majorEastAsia" w:hAnsi="Times New Roman" w:cs="Times New Roman"/>
          <w:spacing w:val="10"/>
          <w:sz w:val="24"/>
          <w:szCs w:val="24"/>
        </w:rPr>
        <w:t>Tjeerd</w:t>
      </w:r>
      <w:proofErr w:type="spellEnd"/>
      <w:r w:rsidRPr="00775087">
        <w:rPr>
          <w:rFonts w:ascii="Times New Roman" w:eastAsiaTheme="majorEastAsia" w:hAnsi="Times New Roman" w:cs="Times New Roman"/>
          <w:spacing w:val="10"/>
          <w:sz w:val="24"/>
          <w:szCs w:val="24"/>
        </w:rPr>
        <w:t xml:space="preserve"> </w:t>
      </w:r>
      <w:proofErr w:type="spellStart"/>
      <w:r w:rsidRPr="00775087">
        <w:rPr>
          <w:rFonts w:ascii="Times New Roman" w:eastAsiaTheme="majorEastAsia" w:hAnsi="Times New Roman" w:cs="Times New Roman"/>
          <w:spacing w:val="10"/>
          <w:sz w:val="24"/>
          <w:szCs w:val="24"/>
        </w:rPr>
        <w:t>Germans</w:t>
      </w:r>
      <w:r w:rsidRPr="00775087">
        <w:rPr>
          <w:rFonts w:ascii="Times New Roman" w:eastAsiaTheme="majorEastAsia" w:hAnsi="Times New Roman" w:cs="Times New Roman"/>
          <w:spacing w:val="10"/>
          <w:sz w:val="24"/>
          <w:szCs w:val="24"/>
          <w:vertAlign w:val="superscript"/>
        </w:rPr>
        <w:t>e</w:t>
      </w:r>
      <w:proofErr w:type="spellEnd"/>
      <w:r w:rsidRPr="00775087">
        <w:rPr>
          <w:rFonts w:ascii="Times New Roman" w:eastAsiaTheme="majorEastAsia" w:hAnsi="Times New Roman" w:cs="Times New Roman"/>
          <w:spacing w:val="10"/>
          <w:sz w:val="24"/>
          <w:szCs w:val="24"/>
          <w:vertAlign w:val="superscript"/>
        </w:rPr>
        <w:t>,</w:t>
      </w:r>
      <w:r w:rsidRPr="00775087">
        <w:rPr>
          <w:rFonts w:ascii="Times New Roman" w:eastAsiaTheme="majorEastAsia" w:hAnsi="Times New Roman" w:cs="Times New Roman"/>
          <w:spacing w:val="10"/>
          <w:sz w:val="24"/>
          <w:szCs w:val="24"/>
        </w:rPr>
        <w:t xml:space="preserve"> Jan van </w:t>
      </w:r>
      <w:proofErr w:type="spellStart"/>
      <w:r w:rsidRPr="00775087">
        <w:rPr>
          <w:rFonts w:ascii="Times New Roman" w:eastAsiaTheme="majorEastAsia" w:hAnsi="Times New Roman" w:cs="Times New Roman"/>
          <w:spacing w:val="10"/>
          <w:sz w:val="24"/>
          <w:szCs w:val="24"/>
        </w:rPr>
        <w:t>Ramshorst</w:t>
      </w:r>
      <w:r w:rsidRPr="00775087">
        <w:rPr>
          <w:rFonts w:ascii="Times New Roman" w:eastAsiaTheme="majorEastAsia" w:hAnsi="Times New Roman" w:cs="Times New Roman"/>
          <w:spacing w:val="10"/>
          <w:sz w:val="24"/>
          <w:szCs w:val="24"/>
          <w:vertAlign w:val="superscript"/>
        </w:rPr>
        <w:t>e</w:t>
      </w:r>
      <w:proofErr w:type="spellEnd"/>
      <w:r w:rsidRPr="00775087">
        <w:rPr>
          <w:rFonts w:ascii="Times New Roman" w:eastAsiaTheme="majorEastAsia" w:hAnsi="Times New Roman" w:cs="Times New Roman"/>
          <w:spacing w:val="10"/>
          <w:sz w:val="24"/>
          <w:szCs w:val="24"/>
        </w:rPr>
        <w:t xml:space="preserve">, </w:t>
      </w:r>
      <w:r w:rsidRPr="00775087">
        <w:rPr>
          <w:rFonts w:ascii="Times New Roman" w:hAnsi="Times New Roman" w:cs="Times New Roman"/>
          <w:sz w:val="24"/>
          <w:szCs w:val="24"/>
          <w:shd w:val="clear" w:color="auto" w:fill="FEFFFF"/>
          <w14:textOutline w14:w="12700" w14:cap="flat" w14:cmpd="sng" w14:algn="ctr">
            <w14:noFill/>
            <w14:prstDash w14:val="solid"/>
            <w14:miter w14:lim="400000"/>
          </w14:textOutline>
        </w:rPr>
        <w:t xml:space="preserve">Jasper </w:t>
      </w:r>
      <w:proofErr w:type="spellStart"/>
      <w:r w:rsidRPr="00775087">
        <w:rPr>
          <w:rFonts w:ascii="Times New Roman" w:hAnsi="Times New Roman" w:cs="Times New Roman"/>
          <w:sz w:val="24"/>
          <w:szCs w:val="24"/>
          <w:shd w:val="clear" w:color="auto" w:fill="FEFFFF"/>
          <w14:textOutline w14:w="12700" w14:cap="flat" w14:cmpd="sng" w14:algn="ctr">
            <w14:noFill/>
            <w14:prstDash w14:val="solid"/>
            <w14:miter w14:lim="400000"/>
          </w14:textOutline>
        </w:rPr>
        <w:t>Brugts</w:t>
      </w:r>
      <w:r w:rsidRPr="00775087">
        <w:rPr>
          <w:rFonts w:ascii="Times New Roman" w:hAnsi="Times New Roman" w:cs="Times New Roman"/>
          <w:sz w:val="24"/>
          <w:szCs w:val="24"/>
          <w:shd w:val="clear" w:color="auto" w:fill="FEFFFF"/>
          <w:vertAlign w:val="superscript"/>
          <w14:textOutline w14:w="12700" w14:cap="flat" w14:cmpd="sng" w14:algn="ctr">
            <w14:noFill/>
            <w14:prstDash w14:val="solid"/>
            <w14:miter w14:lim="400000"/>
          </w14:textOutline>
        </w:rPr>
        <w:t>a</w:t>
      </w:r>
      <w:proofErr w:type="spellEnd"/>
      <w:r w:rsidRPr="00775087">
        <w:rPr>
          <w:rFonts w:ascii="Times New Roman" w:hAnsi="Times New Roman" w:cs="Times New Roman"/>
          <w:sz w:val="24"/>
          <w:szCs w:val="24"/>
          <w:shd w:val="clear" w:color="auto" w:fill="FEFFFF"/>
          <w14:textOutline w14:w="12700" w14:cap="flat" w14:cmpd="sng" w14:algn="ctr">
            <w14:noFill/>
            <w14:prstDash w14:val="solid"/>
            <w14:miter w14:lim="400000"/>
          </w14:textOutline>
        </w:rPr>
        <w:t xml:space="preserve">, </w:t>
      </w:r>
      <w:r w:rsidRPr="00775087">
        <w:rPr>
          <w:rFonts w:ascii="Times New Roman" w:eastAsiaTheme="majorEastAsia" w:hAnsi="Times New Roman" w:cs="Times New Roman"/>
          <w:spacing w:val="10"/>
          <w:sz w:val="24"/>
          <w:szCs w:val="24"/>
        </w:rPr>
        <w:t xml:space="preserve">Marek </w:t>
      </w:r>
      <w:proofErr w:type="spellStart"/>
      <w:r w:rsidRPr="00775087">
        <w:rPr>
          <w:rFonts w:ascii="Times New Roman" w:eastAsiaTheme="majorEastAsia" w:hAnsi="Times New Roman" w:cs="Times New Roman"/>
          <w:spacing w:val="10"/>
          <w:sz w:val="24"/>
          <w:szCs w:val="24"/>
        </w:rPr>
        <w:t>Kuch</w:t>
      </w:r>
      <w:r w:rsidRPr="00775087">
        <w:rPr>
          <w:rFonts w:ascii="Times New Roman" w:eastAsiaTheme="majorEastAsia" w:hAnsi="Times New Roman" w:cs="Times New Roman"/>
          <w:spacing w:val="10"/>
          <w:sz w:val="24"/>
          <w:szCs w:val="24"/>
          <w:vertAlign w:val="superscript"/>
        </w:rPr>
        <w:t>b</w:t>
      </w:r>
      <w:proofErr w:type="spellEnd"/>
      <w:r w:rsidRPr="00775087">
        <w:rPr>
          <w:rFonts w:ascii="Times New Roman" w:eastAsiaTheme="majorEastAsia" w:hAnsi="Times New Roman" w:cs="Times New Roman"/>
          <w:spacing w:val="10"/>
          <w:sz w:val="24"/>
          <w:szCs w:val="24"/>
        </w:rPr>
        <w:t xml:space="preserve">, Victor </w:t>
      </w:r>
      <w:proofErr w:type="spellStart"/>
      <w:r w:rsidRPr="00775087">
        <w:rPr>
          <w:rFonts w:ascii="Times New Roman" w:eastAsiaTheme="majorEastAsia" w:hAnsi="Times New Roman" w:cs="Times New Roman"/>
          <w:spacing w:val="10"/>
          <w:sz w:val="24"/>
          <w:szCs w:val="24"/>
        </w:rPr>
        <w:t>Umans</w:t>
      </w:r>
      <w:r w:rsidRPr="00775087">
        <w:rPr>
          <w:rFonts w:ascii="Times New Roman" w:eastAsiaTheme="majorEastAsia" w:hAnsi="Times New Roman" w:cs="Times New Roman"/>
          <w:spacing w:val="10"/>
          <w:sz w:val="24"/>
          <w:szCs w:val="24"/>
          <w:vertAlign w:val="superscript"/>
        </w:rPr>
        <w:t>e</w:t>
      </w:r>
      <w:proofErr w:type="spellEnd"/>
      <w:r w:rsidRPr="00775087">
        <w:rPr>
          <w:rFonts w:ascii="Times New Roman" w:eastAsiaTheme="majorEastAsia" w:hAnsi="Times New Roman" w:cs="Times New Roman"/>
          <w:spacing w:val="10"/>
          <w:sz w:val="24"/>
          <w:szCs w:val="24"/>
        </w:rPr>
        <w:t xml:space="preserve">, Eric Boersma </w:t>
      </w:r>
      <w:proofErr w:type="spellStart"/>
      <w:r w:rsidRPr="00775087">
        <w:rPr>
          <w:rFonts w:ascii="Times New Roman" w:eastAsiaTheme="majorEastAsia" w:hAnsi="Times New Roman" w:cs="Times New Roman"/>
          <w:spacing w:val="10"/>
          <w:sz w:val="24"/>
          <w:szCs w:val="24"/>
        </w:rPr>
        <w:t>PhD</w:t>
      </w:r>
      <w:r w:rsidRPr="00775087">
        <w:rPr>
          <w:rFonts w:ascii="Times New Roman" w:eastAsiaTheme="majorEastAsia" w:hAnsi="Times New Roman" w:cs="Times New Roman"/>
          <w:spacing w:val="10"/>
          <w:sz w:val="24"/>
          <w:szCs w:val="24"/>
          <w:vertAlign w:val="superscript"/>
        </w:rPr>
        <w:t>a</w:t>
      </w:r>
      <w:proofErr w:type="spellEnd"/>
      <w:r w:rsidRPr="00775087">
        <w:rPr>
          <w:rFonts w:ascii="Times New Roman" w:eastAsiaTheme="majorEastAsia" w:hAnsi="Times New Roman" w:cs="Times New Roman"/>
          <w:spacing w:val="10"/>
          <w:sz w:val="24"/>
          <w:szCs w:val="24"/>
          <w:lang w:val="es-ES_tradnl"/>
        </w:rPr>
        <w:t>, Isabella Kardys MD PhD</w:t>
      </w:r>
      <w:r w:rsidRPr="00775087">
        <w:rPr>
          <w:rFonts w:ascii="Times New Roman" w:eastAsiaTheme="majorEastAsia" w:hAnsi="Times New Roman" w:cs="Times New Roman"/>
          <w:spacing w:val="10"/>
          <w:sz w:val="24"/>
          <w:szCs w:val="24"/>
          <w:vertAlign w:val="superscript"/>
        </w:rPr>
        <w:t>a</w:t>
      </w:r>
    </w:p>
    <w:p w:rsidR="00B101F6" w:rsidRPr="00775087" w:rsidRDefault="00B101F6" w:rsidP="0077508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Fonts w:ascii="Times New Roman" w:eastAsiaTheme="majorEastAsia" w:hAnsi="Times New Roman" w:cs="Times New Roman"/>
          <w:spacing w:val="10"/>
          <w:sz w:val="24"/>
          <w:szCs w:val="24"/>
        </w:rPr>
      </w:pPr>
      <w:r w:rsidRPr="00775087">
        <w:rPr>
          <w:rFonts w:ascii="Times New Roman" w:eastAsiaTheme="majorEastAsia" w:hAnsi="Times New Roman" w:cs="Times New Roman"/>
          <w:spacing w:val="10"/>
          <w:sz w:val="24"/>
          <w:szCs w:val="24"/>
        </w:rPr>
        <w:t xml:space="preserve">Department of Cardiology, Erasmus MC, University Medical Center Rotterdam, the Netherlands </w:t>
      </w:r>
    </w:p>
    <w:p w:rsidR="00B101F6" w:rsidRPr="00775087" w:rsidRDefault="00B101F6" w:rsidP="0077508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Fonts w:ascii="Times New Roman" w:eastAsiaTheme="majorEastAsia" w:hAnsi="Times New Roman" w:cs="Times New Roman"/>
          <w:spacing w:val="10"/>
          <w:sz w:val="24"/>
          <w:szCs w:val="24"/>
        </w:rPr>
      </w:pPr>
      <w:r w:rsidRPr="00775087">
        <w:rPr>
          <w:rFonts w:ascii="Times New Roman" w:eastAsiaTheme="majorEastAsia" w:hAnsi="Times New Roman" w:cs="Times New Roman"/>
          <w:spacing w:val="10"/>
          <w:sz w:val="24"/>
          <w:szCs w:val="24"/>
        </w:rPr>
        <w:t>Department of Cardiology, Hypertension and Internal Medicine, Medical University of Warsaw, Warsaw, Poland</w:t>
      </w:r>
    </w:p>
    <w:p w:rsidR="00B101F6" w:rsidRPr="00775087" w:rsidRDefault="00B101F6" w:rsidP="0077508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Fonts w:ascii="Times New Roman" w:eastAsiaTheme="majorEastAsia" w:hAnsi="Times New Roman" w:cs="Times New Roman"/>
          <w:spacing w:val="10"/>
          <w:sz w:val="24"/>
          <w:szCs w:val="24"/>
        </w:rPr>
      </w:pPr>
      <w:r w:rsidRPr="00775087">
        <w:rPr>
          <w:rFonts w:ascii="Times New Roman" w:eastAsiaTheme="majorEastAsia" w:hAnsi="Times New Roman" w:cs="Times New Roman"/>
          <w:spacing w:val="10"/>
          <w:sz w:val="24"/>
          <w:szCs w:val="24"/>
        </w:rPr>
        <w:t xml:space="preserve">Department of Biostatistics, Erasmus MC, University Medical Center Rotterdam, the Netherlands </w:t>
      </w:r>
    </w:p>
    <w:p w:rsidR="00B101F6" w:rsidRPr="00775087" w:rsidRDefault="00B101F6" w:rsidP="0077508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Fonts w:ascii="Times New Roman" w:eastAsiaTheme="majorEastAsia" w:hAnsi="Times New Roman" w:cs="Times New Roman"/>
          <w:spacing w:val="10"/>
          <w:sz w:val="24"/>
          <w:szCs w:val="24"/>
        </w:rPr>
      </w:pPr>
      <w:r w:rsidRPr="00775087">
        <w:rPr>
          <w:rFonts w:ascii="Times New Roman" w:eastAsiaTheme="majorEastAsia" w:hAnsi="Times New Roman" w:cs="Times New Roman"/>
          <w:spacing w:val="10"/>
          <w:sz w:val="24"/>
          <w:szCs w:val="24"/>
        </w:rPr>
        <w:t xml:space="preserve">Department of Internal Medicine, Northwest Clinics, Alkmaar, the Netherlands </w:t>
      </w:r>
    </w:p>
    <w:p w:rsidR="00B101F6" w:rsidRPr="00775087" w:rsidRDefault="00B101F6" w:rsidP="00775087">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rPr>
          <w:rFonts w:ascii="Times New Roman" w:eastAsiaTheme="majorEastAsia" w:hAnsi="Times New Roman" w:cs="Times New Roman"/>
          <w:spacing w:val="10"/>
          <w:sz w:val="24"/>
          <w:szCs w:val="24"/>
        </w:rPr>
      </w:pPr>
      <w:r w:rsidRPr="00775087">
        <w:rPr>
          <w:rFonts w:ascii="Times New Roman" w:eastAsiaTheme="majorEastAsia" w:hAnsi="Times New Roman" w:cs="Times New Roman"/>
          <w:spacing w:val="10"/>
          <w:sz w:val="24"/>
          <w:szCs w:val="24"/>
        </w:rPr>
        <w:t>Department of Cardiology, Northwest Clinics, Alkmaar, the Netherlands</w:t>
      </w:r>
    </w:p>
    <w:p w:rsidR="00B101F6" w:rsidRPr="00775087" w:rsidRDefault="00B101F6" w:rsidP="00775087">
      <w:pPr>
        <w:spacing w:after="0" w:line="480" w:lineRule="auto"/>
        <w:rPr>
          <w:rFonts w:ascii="Times New Roman" w:eastAsiaTheme="minorEastAsia" w:hAnsi="Times New Roman" w:cs="Times New Roman"/>
          <w:b/>
          <w:bCs/>
          <w:sz w:val="24"/>
          <w:szCs w:val="24"/>
        </w:rPr>
      </w:pPr>
      <w:r w:rsidRPr="00775087">
        <w:rPr>
          <w:rFonts w:ascii="Times New Roman" w:hAnsi="Times New Roman" w:cs="Times New Roman"/>
          <w:sz w:val="24"/>
          <w:szCs w:val="24"/>
        </w:rPr>
        <w:t xml:space="preserve">* </w:t>
      </w:r>
      <w:proofErr w:type="gramStart"/>
      <w:r w:rsidRPr="00775087">
        <w:rPr>
          <w:rFonts w:ascii="Times New Roman" w:hAnsi="Times New Roman" w:cs="Times New Roman"/>
          <w:sz w:val="24"/>
          <w:szCs w:val="24"/>
        </w:rPr>
        <w:t>equal</w:t>
      </w:r>
      <w:proofErr w:type="gramEnd"/>
      <w:r w:rsidRPr="00775087">
        <w:rPr>
          <w:rFonts w:ascii="Times New Roman" w:hAnsi="Times New Roman" w:cs="Times New Roman"/>
          <w:sz w:val="24"/>
          <w:szCs w:val="24"/>
        </w:rPr>
        <w:t xml:space="preserve"> contribution</w:t>
      </w:r>
    </w:p>
    <w:p w:rsidR="00B101F6" w:rsidRPr="00775087" w:rsidRDefault="00B101F6" w:rsidP="00775087">
      <w:pPr>
        <w:spacing w:after="0" w:line="480" w:lineRule="auto"/>
        <w:rPr>
          <w:rFonts w:ascii="Times New Roman" w:eastAsiaTheme="majorEastAsia" w:hAnsi="Times New Roman" w:cs="Times New Roman"/>
          <w:b/>
          <w:bCs/>
          <w:spacing w:val="10"/>
          <w:sz w:val="24"/>
          <w:szCs w:val="24"/>
        </w:rPr>
      </w:pPr>
    </w:p>
    <w:p w:rsidR="00B101F6" w:rsidRPr="00775087" w:rsidRDefault="00B101F6" w:rsidP="00775087">
      <w:pPr>
        <w:spacing w:after="0" w:line="480" w:lineRule="auto"/>
        <w:rPr>
          <w:rFonts w:ascii="Times New Roman" w:eastAsiaTheme="majorEastAsia" w:hAnsi="Times New Roman" w:cs="Times New Roman"/>
          <w:spacing w:val="10"/>
          <w:sz w:val="24"/>
          <w:szCs w:val="24"/>
        </w:rPr>
      </w:pPr>
      <w:r w:rsidRPr="00775087">
        <w:rPr>
          <w:rFonts w:ascii="Times New Roman" w:eastAsiaTheme="majorEastAsia" w:hAnsi="Times New Roman" w:cs="Times New Roman"/>
          <w:b/>
          <w:bCs/>
          <w:spacing w:val="10"/>
          <w:sz w:val="24"/>
          <w:szCs w:val="24"/>
        </w:rPr>
        <w:t>Corresponding author:</w:t>
      </w:r>
      <w:r w:rsidRPr="00775087">
        <w:rPr>
          <w:rFonts w:ascii="Times New Roman" w:eastAsiaTheme="majorEastAsia" w:hAnsi="Times New Roman" w:cs="Times New Roman"/>
          <w:spacing w:val="10"/>
          <w:sz w:val="24"/>
          <w:szCs w:val="24"/>
        </w:rPr>
        <w:t xml:space="preserve"> Isabella Kardys, MD PhD; Erasmus MC, University Medical Center Rotterdam, Department of Cardiology, room NA-316, P.O. Box 2040, 3000 CA Rotterdam, the Netherlands; T +31650032051; E-mail </w:t>
      </w:r>
      <w:hyperlink r:id="rId7" w:history="1">
        <w:r w:rsidRPr="00775087">
          <w:rPr>
            <w:rStyle w:val="Hyperlink"/>
            <w:rFonts w:ascii="Times New Roman" w:eastAsiaTheme="majorEastAsia" w:hAnsi="Times New Roman" w:cs="Times New Roman"/>
            <w:spacing w:val="10"/>
            <w:sz w:val="24"/>
            <w:szCs w:val="24"/>
          </w:rPr>
          <w:t>i.kardys@erasmusmc.nl</w:t>
        </w:r>
      </w:hyperlink>
    </w:p>
    <w:p w:rsidR="00B101F6" w:rsidRPr="00775087" w:rsidRDefault="00B101F6" w:rsidP="00775087">
      <w:pPr>
        <w:spacing w:after="0" w:line="480" w:lineRule="auto"/>
        <w:rPr>
          <w:rFonts w:ascii="Times New Roman" w:eastAsiaTheme="minorEastAsia" w:hAnsi="Times New Roman" w:cs="Times New Roman"/>
          <w:sz w:val="24"/>
          <w:szCs w:val="24"/>
          <w:lang w:eastAsia="en-US"/>
        </w:rPr>
      </w:pPr>
    </w:p>
    <w:p w:rsidR="00B101F6" w:rsidRPr="00775087" w:rsidRDefault="00B101F6" w:rsidP="00775087">
      <w:pPr>
        <w:spacing w:after="0" w:line="480" w:lineRule="auto"/>
        <w:rPr>
          <w:rFonts w:ascii="Times New Roman" w:hAnsi="Times New Roman" w:cs="Times New Roman"/>
          <w:b/>
          <w:sz w:val="24"/>
          <w:szCs w:val="24"/>
          <w:lang w:val="en-GB"/>
        </w:rPr>
      </w:pPr>
      <w:r w:rsidRPr="00775087">
        <w:rPr>
          <w:rFonts w:ascii="Times New Roman" w:hAnsi="Times New Roman" w:cs="Times New Roman"/>
          <w:b/>
          <w:sz w:val="24"/>
          <w:szCs w:val="24"/>
          <w:lang w:val="en-GB"/>
        </w:rPr>
        <w:br w:type="page"/>
      </w:r>
    </w:p>
    <w:p w:rsidR="00B101F6" w:rsidRPr="00775087" w:rsidRDefault="00B101F6" w:rsidP="00775087">
      <w:pPr>
        <w:spacing w:after="0" w:line="480" w:lineRule="auto"/>
        <w:outlineLvl w:val="0"/>
        <w:rPr>
          <w:rStyle w:val="Heading1Char"/>
          <w:rFonts w:ascii="Times New Roman" w:hAnsi="Times New Roman" w:cs="Times New Roman"/>
        </w:rPr>
      </w:pPr>
      <w:r w:rsidRPr="00775087">
        <w:rPr>
          <w:rStyle w:val="Heading1Char"/>
          <w:rFonts w:ascii="Times New Roman" w:hAnsi="Times New Roman" w:cs="Times New Roman"/>
        </w:rPr>
        <w:lastRenderedPageBreak/>
        <w:t xml:space="preserve">Supplementary figures </w:t>
      </w:r>
    </w:p>
    <w:p w:rsidR="00B101F6" w:rsidRPr="00775087" w:rsidRDefault="00B101F6" w:rsidP="00775087">
      <w:pPr>
        <w:pStyle w:val="Heading1"/>
        <w:spacing w:line="480" w:lineRule="auto"/>
        <w:rPr>
          <w:rFonts w:ascii="Times New Roman" w:hAnsi="Times New Roman" w:cs="Times New Roman"/>
          <w:lang w:val="en-GB"/>
        </w:rPr>
      </w:pPr>
      <w:r w:rsidRPr="00775087">
        <w:rPr>
          <w:rFonts w:ascii="Times New Roman" w:hAnsi="Times New Roman" w:cs="Times New Roman"/>
          <w:lang w:val="en-GB"/>
        </w:rPr>
        <w:t>Supplementary methods</w:t>
      </w:r>
    </w:p>
    <w:p w:rsidR="00B101F6" w:rsidRPr="00775087" w:rsidRDefault="00B101F6" w:rsidP="00775087">
      <w:pPr>
        <w:spacing w:after="0" w:line="480" w:lineRule="auto"/>
        <w:outlineLvl w:val="0"/>
        <w:rPr>
          <w:rFonts w:ascii="Times New Roman" w:hAnsi="Times New Roman" w:cs="Times New Roman"/>
          <w:b/>
          <w:sz w:val="24"/>
          <w:szCs w:val="24"/>
          <w:lang w:val="en-GB"/>
        </w:rPr>
      </w:pPr>
      <w:r w:rsidRPr="00775087">
        <w:rPr>
          <w:rFonts w:ascii="Times New Roman" w:hAnsi="Times New Roman" w:cs="Times New Roman"/>
          <w:b/>
          <w:sz w:val="24"/>
          <w:szCs w:val="24"/>
          <w:lang w:val="en-GB"/>
        </w:rPr>
        <w:t>Text S1. Definitions used for endpoints</w:t>
      </w:r>
    </w:p>
    <w:p w:rsidR="00B101F6" w:rsidRPr="00775087" w:rsidRDefault="00B101F6" w:rsidP="00775087">
      <w:pPr>
        <w:autoSpaceDE w:val="0"/>
        <w:autoSpaceDN w:val="0"/>
        <w:adjustRightInd w:val="0"/>
        <w:spacing w:after="0" w:line="480" w:lineRule="auto"/>
        <w:rPr>
          <w:rFonts w:ascii="Times New Roman" w:hAnsi="Times New Roman" w:cs="Times New Roman"/>
          <w:sz w:val="24"/>
          <w:szCs w:val="24"/>
          <w:lang w:val="en-GB"/>
        </w:rPr>
      </w:pPr>
      <w:r w:rsidRPr="00775087">
        <w:rPr>
          <w:rFonts w:ascii="Times New Roman" w:hAnsi="Times New Roman" w:cs="Times New Roman"/>
          <w:sz w:val="24"/>
          <w:szCs w:val="24"/>
          <w:lang w:val="en-GB"/>
        </w:rPr>
        <w:t>We used the International Classification of Disease-10</w:t>
      </w:r>
      <w:r w:rsidRPr="00775087">
        <w:rPr>
          <w:rFonts w:ascii="Times New Roman" w:hAnsi="Times New Roman" w:cs="Times New Roman"/>
          <w:sz w:val="24"/>
          <w:szCs w:val="24"/>
          <w:vertAlign w:val="superscript"/>
          <w:lang w:val="en-GB"/>
        </w:rPr>
        <w:t>th</w:t>
      </w:r>
      <w:r w:rsidRPr="00775087">
        <w:rPr>
          <w:rFonts w:ascii="Times New Roman" w:hAnsi="Times New Roman" w:cs="Times New Roman"/>
          <w:sz w:val="24"/>
          <w:szCs w:val="24"/>
          <w:lang w:val="en-GB"/>
        </w:rPr>
        <w:t xml:space="preserve"> revision  (ICD-10), from the World Health Organization, to assign the fatal endpoints</w:t>
      </w:r>
      <w:r w:rsidRPr="00775087">
        <w:rPr>
          <w:rFonts w:ascii="Times New Roman" w:hAnsi="Times New Roman" w:cs="Times New Roman"/>
          <w:sz w:val="24"/>
          <w:szCs w:val="24"/>
          <w:lang w:val="en-GB"/>
        </w:rPr>
        <w:fldChar w:fldCharType="begin"/>
      </w:r>
      <w:r w:rsidRPr="00775087">
        <w:rPr>
          <w:rFonts w:ascii="Times New Roman" w:hAnsi="Times New Roman" w:cs="Times New Roman"/>
          <w:sz w:val="24"/>
          <w:szCs w:val="24"/>
          <w:lang w:val="en-GB"/>
        </w:rPr>
        <w:instrText xml:space="preserve"> ADDIN EN.CITE &lt;EndNote&gt;&lt;Cite&gt;&lt;Author&gt;World Health Organization&lt;/Author&gt;&lt;RecNum&gt;82&lt;/RecNum&gt;&lt;DisplayText&gt;(1)&lt;/DisplayText&gt;&lt;record&gt;&lt;rec-number&gt;82&lt;/rec-number&gt;&lt;foreign-keys&gt;&lt;key app="EN" db-id="5swtf20ap0ea5hett5pxfa9osfdaaezvdxts" timestamp="1546595690"&gt;82&lt;/key&gt;&lt;/foreign-keys&gt;&lt;ref-type name="Web Page"&gt;12&lt;/ref-type&gt;&lt;contributors&gt;&lt;authors&gt;&lt;author&gt;World Health Organization,&lt;/author&gt;&lt;/authors&gt;&lt;/contributors&gt;&lt;titles&gt;&lt;title&gt;Classification of Diseases (ICD) [Internet]&lt;/title&gt;&lt;/titles&gt;&lt;number&gt;June 15, 2018&lt;/number&gt;&lt;dates&gt;&lt;/dates&gt;&lt;urls&gt;&lt;related-urls&gt;&lt;url&gt;&lt;style face="underline" font="default" size="100%"&gt;http://www.who.int/classifications/icd/en/&lt;/style&gt;&lt;/url&gt;&lt;/related-urls&gt;&lt;/urls&gt;&lt;/record&gt;&lt;/Cite&gt;&lt;/EndNote&gt;</w:instrText>
      </w:r>
      <w:r w:rsidRPr="00775087">
        <w:rPr>
          <w:rFonts w:ascii="Times New Roman" w:hAnsi="Times New Roman" w:cs="Times New Roman"/>
          <w:sz w:val="24"/>
          <w:szCs w:val="24"/>
          <w:lang w:val="en-GB"/>
        </w:rPr>
        <w:fldChar w:fldCharType="separate"/>
      </w:r>
      <w:r w:rsidRPr="00775087">
        <w:rPr>
          <w:rFonts w:ascii="Times New Roman" w:hAnsi="Times New Roman" w:cs="Times New Roman"/>
          <w:noProof/>
          <w:sz w:val="24"/>
          <w:szCs w:val="24"/>
          <w:lang w:val="en-GB"/>
        </w:rPr>
        <w:t>(1)</w:t>
      </w:r>
      <w:r w:rsidRPr="00775087">
        <w:rPr>
          <w:rFonts w:ascii="Times New Roman" w:hAnsi="Times New Roman" w:cs="Times New Roman"/>
          <w:sz w:val="24"/>
          <w:szCs w:val="24"/>
          <w:lang w:val="en-GB"/>
        </w:rPr>
        <w:fldChar w:fldCharType="end"/>
      </w:r>
      <w:r w:rsidRPr="00775087">
        <w:rPr>
          <w:rFonts w:ascii="Times New Roman" w:hAnsi="Times New Roman" w:cs="Times New Roman"/>
          <w:sz w:val="24"/>
          <w:szCs w:val="24"/>
          <w:lang w:val="en-GB"/>
        </w:rPr>
        <w:t>. Cardiac death was defined as death from MI or other ischemic heart disease (ICD-10: codes I20-I25), death from other heart disease including HF (codes I30-I45 and I47-I52), sudden cardiac death (code I46), sudden death undefined (code R96) or unwitnessed or ill-described death (codes R98, R99). Hospitalization for acute or worsened HF was defined as a hospitalization for an exacerbation of HF symptoms, in combination with two of the following: BNP or NT-proBNP &gt; 3x upper limit of normal, signs of worsening HF, such as pulmonary rales, raised jugular venous pressure or peripheral oedema, increased dose or intravenous administration of diuretics, or administration of positive inotropic agents</w:t>
      </w:r>
      <w:r w:rsidRPr="00775087">
        <w:rPr>
          <w:rFonts w:ascii="Times New Roman" w:hAnsi="Times New Roman" w:cs="Times New Roman"/>
          <w:sz w:val="24"/>
          <w:szCs w:val="24"/>
          <w:lang w:val="en-GB"/>
        </w:rPr>
        <w:fldChar w:fldCharType="begin">
          <w:fldData xml:space="preserve">PEVuZE5vdGU+PENpdGU+PEF1dGhvcj5NY011cnJheTwvQXV0aG9yPjxZZWFyPjIwMTI8L1llYXI+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</w:fldData>
        </w:fldChar>
      </w:r>
      <w:r w:rsidRPr="00775087">
        <w:rPr>
          <w:rFonts w:ascii="Times New Roman" w:hAnsi="Times New Roman" w:cs="Times New Roman"/>
          <w:sz w:val="24"/>
          <w:szCs w:val="24"/>
          <w:lang w:val="en-GB"/>
        </w:rPr>
        <w:instrText xml:space="preserve"> ADDIN EN.CITE </w:instrText>
      </w:r>
      <w:r w:rsidRPr="00775087">
        <w:rPr>
          <w:rFonts w:ascii="Times New Roman" w:hAnsi="Times New Roman" w:cs="Times New Roman"/>
          <w:sz w:val="24"/>
          <w:szCs w:val="24"/>
          <w:lang w:val="en-GB"/>
        </w:rPr>
        <w:fldChar w:fldCharType="begin">
          <w:fldData xml:space="preserve">PEVuZE5vdGU+PENpdGU+PEF1dGhvcj5NY011cnJheTwvQXV0aG9yPjxZZWFyPjIwMTI8L1llYXI+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</w:fldData>
        </w:fldChar>
      </w:r>
      <w:r w:rsidRPr="00775087">
        <w:rPr>
          <w:rFonts w:ascii="Times New Roman" w:hAnsi="Times New Roman" w:cs="Times New Roman"/>
          <w:sz w:val="24"/>
          <w:szCs w:val="24"/>
          <w:lang w:val="en-GB"/>
        </w:rPr>
        <w:instrText xml:space="preserve"> ADDIN EN.CITE.DATA </w:instrText>
      </w:r>
      <w:r w:rsidRPr="00775087">
        <w:rPr>
          <w:rFonts w:ascii="Times New Roman" w:hAnsi="Times New Roman" w:cs="Times New Roman"/>
          <w:sz w:val="24"/>
          <w:szCs w:val="24"/>
          <w:lang w:val="en-GB"/>
        </w:rPr>
      </w:r>
      <w:r w:rsidRPr="00775087">
        <w:rPr>
          <w:rFonts w:ascii="Times New Roman" w:hAnsi="Times New Roman" w:cs="Times New Roman"/>
          <w:sz w:val="24"/>
          <w:szCs w:val="24"/>
          <w:lang w:val="en-GB"/>
        </w:rPr>
        <w:fldChar w:fldCharType="end"/>
      </w:r>
      <w:r w:rsidRPr="00775087">
        <w:rPr>
          <w:rFonts w:ascii="Times New Roman" w:hAnsi="Times New Roman" w:cs="Times New Roman"/>
          <w:sz w:val="24"/>
          <w:szCs w:val="24"/>
          <w:lang w:val="en-GB"/>
        </w:rPr>
      </w:r>
      <w:r w:rsidRPr="00775087">
        <w:rPr>
          <w:rFonts w:ascii="Times New Roman" w:hAnsi="Times New Roman" w:cs="Times New Roman"/>
          <w:sz w:val="24"/>
          <w:szCs w:val="24"/>
          <w:lang w:val="en-GB"/>
        </w:rPr>
        <w:fldChar w:fldCharType="separate"/>
      </w:r>
      <w:r w:rsidRPr="00775087">
        <w:rPr>
          <w:rFonts w:ascii="Times New Roman" w:hAnsi="Times New Roman" w:cs="Times New Roman"/>
          <w:noProof/>
          <w:sz w:val="24"/>
          <w:szCs w:val="24"/>
          <w:lang w:val="en-GB"/>
        </w:rPr>
        <w:t>(2)</w:t>
      </w:r>
      <w:r w:rsidRPr="00775087">
        <w:rPr>
          <w:rFonts w:ascii="Times New Roman" w:hAnsi="Times New Roman" w:cs="Times New Roman"/>
          <w:sz w:val="24"/>
          <w:szCs w:val="24"/>
          <w:lang w:val="en-GB"/>
        </w:rPr>
        <w:fldChar w:fldCharType="end"/>
      </w:r>
      <w:r w:rsidRPr="00775087">
        <w:rPr>
          <w:rFonts w:ascii="Times New Roman" w:hAnsi="Times New Roman" w:cs="Times New Roman"/>
          <w:sz w:val="24"/>
          <w:szCs w:val="24"/>
          <w:lang w:val="en-GB"/>
        </w:rPr>
        <w:t>.</w:t>
      </w:r>
    </w:p>
    <w:p w:rsidR="00B101F6" w:rsidRPr="00775087" w:rsidRDefault="00B101F6" w:rsidP="00775087">
      <w:pPr>
        <w:autoSpaceDE w:val="0"/>
        <w:autoSpaceDN w:val="0"/>
        <w:adjustRightInd w:val="0"/>
        <w:spacing w:after="0" w:line="480" w:lineRule="auto"/>
        <w:rPr>
          <w:rFonts w:ascii="Times New Roman" w:hAnsi="Times New Roman" w:cs="Times New Roman"/>
          <w:sz w:val="24"/>
          <w:szCs w:val="24"/>
          <w:lang w:val="en-GB"/>
        </w:rPr>
      </w:pPr>
    </w:p>
    <w:p w:rsidR="00B101F6" w:rsidRPr="00775087" w:rsidRDefault="00B101F6" w:rsidP="00775087">
      <w:pPr>
        <w:spacing w:after="0" w:line="480" w:lineRule="auto"/>
        <w:rPr>
          <w:rFonts w:ascii="Times New Roman" w:hAnsi="Times New Roman" w:cs="Times New Roman"/>
          <w:b/>
          <w:sz w:val="24"/>
          <w:szCs w:val="24"/>
          <w:lang w:val="en-GB"/>
        </w:rPr>
      </w:pPr>
      <w:r w:rsidRPr="00775087">
        <w:rPr>
          <w:rFonts w:ascii="Times New Roman" w:hAnsi="Times New Roman" w:cs="Times New Roman"/>
          <w:b/>
          <w:sz w:val="24"/>
          <w:szCs w:val="24"/>
          <w:lang w:val="en-GB"/>
        </w:rPr>
        <w:t>Text S2. Standard biomarker measurements</w:t>
      </w:r>
    </w:p>
    <w:p w:rsidR="00B101F6" w:rsidRPr="00775087" w:rsidRDefault="00B101F6" w:rsidP="00775087">
      <w:pPr>
        <w:spacing w:after="0" w:line="480" w:lineRule="auto"/>
        <w:rPr>
          <w:rFonts w:ascii="Times New Roman" w:hAnsi="Times New Roman" w:cs="Times New Roman"/>
          <w:sz w:val="24"/>
          <w:szCs w:val="24"/>
        </w:rPr>
      </w:pPr>
      <w:r w:rsidRPr="00775087">
        <w:rPr>
          <w:rFonts w:ascii="Times New Roman" w:hAnsi="Times New Roman" w:cs="Times New Roman"/>
          <w:sz w:val="24"/>
          <w:szCs w:val="24"/>
          <w:lang w:val="en-GB"/>
        </w:rPr>
        <w:t xml:space="preserve">Plasma NT-proBNP was </w:t>
      </w:r>
      <w:proofErr w:type="spellStart"/>
      <w:r w:rsidRPr="00775087">
        <w:rPr>
          <w:rFonts w:ascii="Times New Roman" w:hAnsi="Times New Roman" w:cs="Times New Roman"/>
          <w:sz w:val="24"/>
          <w:szCs w:val="24"/>
          <w:lang w:val="en-GB"/>
        </w:rPr>
        <w:t>analyzed</w:t>
      </w:r>
      <w:proofErr w:type="spellEnd"/>
      <w:r w:rsidRPr="00775087">
        <w:rPr>
          <w:rFonts w:ascii="Times New Roman" w:hAnsi="Times New Roman" w:cs="Times New Roman"/>
          <w:sz w:val="24"/>
          <w:szCs w:val="24"/>
          <w:lang w:val="en-GB"/>
        </w:rPr>
        <w:t xml:space="preserve"> using an electrochemiluminescence immunoassay (lower limit of detection, LLD 5 ng/L, </w:t>
      </w:r>
      <w:proofErr w:type="spellStart"/>
      <w:r w:rsidRPr="00775087">
        <w:rPr>
          <w:rFonts w:ascii="Times New Roman" w:hAnsi="Times New Roman" w:cs="Times New Roman"/>
          <w:sz w:val="24"/>
          <w:szCs w:val="24"/>
          <w:lang w:val="en-GB"/>
        </w:rPr>
        <w:t>Elecsys</w:t>
      </w:r>
      <w:proofErr w:type="spellEnd"/>
      <w:r w:rsidRPr="00775087">
        <w:rPr>
          <w:rFonts w:ascii="Times New Roman" w:hAnsi="Times New Roman" w:cs="Times New Roman"/>
          <w:sz w:val="24"/>
          <w:szCs w:val="24"/>
          <w:lang w:val="en-GB"/>
        </w:rPr>
        <w:t xml:space="preserve"> 2010; Roche Diagnostics, Indianapolis, IN). Cardiac troponin T was also measured using an electrochemiluminescence immunoassay (LLD 3 ng/L, </w:t>
      </w:r>
      <w:proofErr w:type="spellStart"/>
      <w:r w:rsidRPr="00775087">
        <w:rPr>
          <w:rFonts w:ascii="Times New Roman" w:hAnsi="Times New Roman" w:cs="Times New Roman"/>
          <w:sz w:val="24"/>
          <w:szCs w:val="24"/>
          <w:lang w:val="en-GB"/>
        </w:rPr>
        <w:t>Elecsys</w:t>
      </w:r>
      <w:proofErr w:type="spellEnd"/>
      <w:r w:rsidRPr="00775087">
        <w:rPr>
          <w:rFonts w:ascii="Times New Roman" w:hAnsi="Times New Roman" w:cs="Times New Roman"/>
          <w:sz w:val="24"/>
          <w:szCs w:val="24"/>
          <w:lang w:val="en-GB"/>
        </w:rPr>
        <w:t xml:space="preserve"> 2010 immunoassay </w:t>
      </w:r>
      <w:proofErr w:type="spellStart"/>
      <w:r w:rsidRPr="00775087">
        <w:rPr>
          <w:rFonts w:ascii="Times New Roman" w:hAnsi="Times New Roman" w:cs="Times New Roman"/>
          <w:sz w:val="24"/>
          <w:szCs w:val="24"/>
          <w:lang w:val="en-GB"/>
        </w:rPr>
        <w:t>analyzer</w:t>
      </w:r>
      <w:proofErr w:type="spellEnd"/>
      <w:r w:rsidRPr="00775087">
        <w:rPr>
          <w:rFonts w:ascii="Times New Roman" w:hAnsi="Times New Roman" w:cs="Times New Roman"/>
          <w:sz w:val="24"/>
          <w:szCs w:val="24"/>
          <w:lang w:val="en-GB"/>
        </w:rPr>
        <w:t xml:space="preserve">; Roche Diagnostics, Indianapolis, IN). CRP was </w:t>
      </w:r>
      <w:proofErr w:type="spellStart"/>
      <w:r w:rsidRPr="00775087">
        <w:rPr>
          <w:rFonts w:ascii="Times New Roman" w:hAnsi="Times New Roman" w:cs="Times New Roman"/>
          <w:sz w:val="24"/>
          <w:szCs w:val="24"/>
          <w:lang w:val="en-GB"/>
        </w:rPr>
        <w:t>analyzed</w:t>
      </w:r>
      <w:proofErr w:type="spellEnd"/>
      <w:r w:rsidRPr="00775087">
        <w:rPr>
          <w:rFonts w:ascii="Times New Roman" w:hAnsi="Times New Roman" w:cs="Times New Roman"/>
          <w:sz w:val="24"/>
          <w:szCs w:val="24"/>
          <w:lang w:val="en-GB"/>
        </w:rPr>
        <w:t xml:space="preserve"> using an immunoturbidimetric assay (LLD 0.3 mg/L, Roche Hitachi 912 chemistry </w:t>
      </w:r>
      <w:proofErr w:type="spellStart"/>
      <w:r w:rsidRPr="00775087">
        <w:rPr>
          <w:rFonts w:ascii="Times New Roman" w:hAnsi="Times New Roman" w:cs="Times New Roman"/>
          <w:sz w:val="24"/>
          <w:szCs w:val="24"/>
          <w:lang w:val="en-GB"/>
        </w:rPr>
        <w:t>analyzer</w:t>
      </w:r>
      <w:proofErr w:type="spellEnd"/>
      <w:r w:rsidRPr="00775087">
        <w:rPr>
          <w:rFonts w:ascii="Times New Roman" w:hAnsi="Times New Roman" w:cs="Times New Roman"/>
          <w:sz w:val="24"/>
          <w:szCs w:val="24"/>
          <w:lang w:val="en-GB"/>
        </w:rPr>
        <w:t>; Roche, Basel, Switzerland). Creatinine was determined by a colorimetric test by the Jaffe’s reaction in undiluted plasma (LLD: 0,14 mg/dl). All coefficients of variation of these four biomarkers were below 5%.</w:t>
      </w:r>
    </w:p>
    <w:p w:rsidR="00B101F6" w:rsidRPr="00775087" w:rsidRDefault="00B101F6" w:rsidP="00775087">
      <w:pPr>
        <w:tabs>
          <w:tab w:val="left" w:pos="5600"/>
        </w:tabs>
        <w:spacing w:after="0" w:line="480" w:lineRule="auto"/>
        <w:rPr>
          <w:rFonts w:ascii="Times New Roman" w:hAnsi="Times New Roman" w:cs="Times New Roman"/>
          <w:b/>
          <w:sz w:val="24"/>
          <w:szCs w:val="24"/>
          <w:lang w:val="en-GB"/>
        </w:rPr>
      </w:pPr>
    </w:p>
    <w:p w:rsidR="00B101F6" w:rsidRPr="00775087" w:rsidRDefault="00B101F6" w:rsidP="00775087">
      <w:pPr>
        <w:tabs>
          <w:tab w:val="left" w:pos="5600"/>
        </w:tabs>
        <w:spacing w:after="0" w:line="480" w:lineRule="auto"/>
        <w:rPr>
          <w:rFonts w:ascii="Times New Roman" w:hAnsi="Times New Roman" w:cs="Times New Roman"/>
          <w:b/>
          <w:sz w:val="24"/>
          <w:szCs w:val="24"/>
          <w:lang w:val="en-GB"/>
        </w:rPr>
      </w:pPr>
    </w:p>
    <w:p w:rsidR="00B101F6" w:rsidRPr="00775087" w:rsidRDefault="00B101F6" w:rsidP="00775087">
      <w:pPr>
        <w:tabs>
          <w:tab w:val="left" w:pos="5600"/>
        </w:tabs>
        <w:spacing w:after="0" w:line="480" w:lineRule="auto"/>
        <w:rPr>
          <w:rFonts w:ascii="Times New Roman" w:hAnsi="Times New Roman" w:cs="Times New Roman"/>
          <w:b/>
          <w:sz w:val="24"/>
          <w:szCs w:val="24"/>
          <w:lang w:val="en-GB"/>
        </w:rPr>
      </w:pPr>
      <w:r w:rsidRPr="00775087">
        <w:rPr>
          <w:rFonts w:ascii="Times New Roman" w:hAnsi="Times New Roman" w:cs="Times New Roman"/>
          <w:b/>
          <w:sz w:val="24"/>
          <w:szCs w:val="24"/>
          <w:lang w:val="en-GB"/>
        </w:rPr>
        <w:lastRenderedPageBreak/>
        <w:t xml:space="preserve">Text S3. Power calculation and missing data </w:t>
      </w:r>
      <w:r w:rsidRPr="00775087">
        <w:rPr>
          <w:rFonts w:ascii="Times New Roman" w:hAnsi="Times New Roman" w:cs="Times New Roman"/>
          <w:b/>
          <w:sz w:val="24"/>
          <w:szCs w:val="24"/>
          <w:lang w:val="en-GB"/>
        </w:rPr>
        <w:tab/>
      </w:r>
    </w:p>
    <w:p w:rsidR="00B101F6" w:rsidRPr="00775087" w:rsidRDefault="00B101F6" w:rsidP="00775087">
      <w:pPr>
        <w:spacing w:after="0" w:line="480" w:lineRule="auto"/>
        <w:rPr>
          <w:rFonts w:ascii="Times New Roman" w:hAnsi="Times New Roman" w:cs="Times New Roman"/>
          <w:sz w:val="24"/>
          <w:szCs w:val="24"/>
          <w:lang w:val="en-GB"/>
        </w:rPr>
      </w:pPr>
      <w:r w:rsidRPr="00775087">
        <w:rPr>
          <w:rFonts w:ascii="Times New Roman" w:hAnsi="Times New Roman" w:cs="Times New Roman"/>
          <w:sz w:val="24"/>
          <w:szCs w:val="24"/>
          <w:lang w:val="en-GB"/>
        </w:rPr>
        <w:t xml:space="preserve">The current investigation comprised 250 patients, of whom 66 reached the primary end point. For baseline measurements, these numbers are sufficient to detect odds ratios around 2 for the upper quintile of a biomarker associated with the end point (α error .05, power of 80%) when comparing cases with </w:t>
      </w:r>
      <w:proofErr w:type="spellStart"/>
      <w:r w:rsidRPr="00775087">
        <w:rPr>
          <w:rFonts w:ascii="Times New Roman" w:hAnsi="Times New Roman" w:cs="Times New Roman"/>
          <w:sz w:val="24"/>
          <w:szCs w:val="24"/>
          <w:lang w:val="en-GB"/>
        </w:rPr>
        <w:t>noncases</w:t>
      </w:r>
      <w:proofErr w:type="spellEnd"/>
      <w:r w:rsidRPr="00775087">
        <w:rPr>
          <w:rFonts w:ascii="Times New Roman" w:hAnsi="Times New Roman" w:cs="Times New Roman"/>
          <w:sz w:val="24"/>
          <w:szCs w:val="24"/>
          <w:lang w:val="en-GB"/>
        </w:rPr>
        <w:t>. For repeated measurements, power is further enhanced.</w:t>
      </w:r>
      <w:r w:rsidRPr="00775087">
        <w:rPr>
          <w:rFonts w:ascii="Times New Roman" w:hAnsi="Times New Roman" w:cs="Times New Roman"/>
          <w:sz w:val="24"/>
          <w:szCs w:val="24"/>
        </w:rPr>
        <w:t xml:space="preserve"> </w:t>
      </w:r>
      <w:r w:rsidRPr="00775087">
        <w:rPr>
          <w:rFonts w:ascii="Times New Roman" w:hAnsi="Times New Roman" w:cs="Times New Roman"/>
          <w:sz w:val="24"/>
          <w:szCs w:val="24"/>
          <w:lang w:val="en-GB"/>
        </w:rPr>
        <w:t xml:space="preserve">Based on input parameters derived from the benchmark blood biomarker NT-proBNP, and using 500 simulations, we calculated that using 3 measurements per person, a difference in change of NT-proBNP level over time of 10 </w:t>
      </w:r>
      <w:proofErr w:type="spellStart"/>
      <w:r w:rsidRPr="00775087">
        <w:rPr>
          <w:rFonts w:ascii="Times New Roman" w:hAnsi="Times New Roman" w:cs="Times New Roman"/>
          <w:sz w:val="24"/>
          <w:szCs w:val="24"/>
          <w:lang w:val="en-GB"/>
        </w:rPr>
        <w:t>pmol</w:t>
      </w:r>
      <w:proofErr w:type="spellEnd"/>
      <w:r w:rsidRPr="00775087">
        <w:rPr>
          <w:rFonts w:ascii="Times New Roman" w:hAnsi="Times New Roman" w:cs="Times New Roman"/>
          <w:sz w:val="24"/>
          <w:szCs w:val="24"/>
          <w:lang w:val="en-GB"/>
        </w:rPr>
        <w:t>/L per month can be demonstrated between cases and non-cases (α-error 0.05, power of 80%). This difference is very small in clinical terms, demonstrating that the study has high statistical power.</w:t>
      </w:r>
    </w:p>
    <w:p w:rsidR="00B101F6" w:rsidRPr="00775087" w:rsidRDefault="00B101F6" w:rsidP="00775087">
      <w:pPr>
        <w:spacing w:after="0" w:line="480" w:lineRule="auto"/>
        <w:ind w:firstLine="720"/>
        <w:rPr>
          <w:rFonts w:ascii="Times New Roman" w:hAnsi="Times New Roman" w:cs="Times New Roman"/>
          <w:sz w:val="24"/>
          <w:szCs w:val="24"/>
          <w:lang w:val="en-GB"/>
        </w:rPr>
        <w:sectPr w:rsidR="00B101F6" w:rsidRPr="00775087" w:rsidSect="00697672">
          <w:footerReference w:type="even" r:id="rId8"/>
          <w:footerReference w:type="default" r:id="rId9"/>
          <w:pgSz w:w="11900" w:h="16840"/>
          <w:pgMar w:top="1417" w:right="1418" w:bottom="1418" w:left="1418" w:header="709" w:footer="709" w:gutter="0"/>
          <w:cols w:space="708"/>
          <w:docGrid w:linePitch="360"/>
        </w:sectPr>
      </w:pPr>
      <w:r w:rsidRPr="00775087">
        <w:rPr>
          <w:rFonts w:ascii="Times New Roman" w:hAnsi="Times New Roman" w:cs="Times New Roman"/>
          <w:sz w:val="24"/>
          <w:szCs w:val="24"/>
        </w:rPr>
        <w:t>Data on all variables were complete, except for systolic blood pressure patients and chronic heart failure duration which were missing in &lt;5%. These missing values were imputed using the patients’ clinical and outcome data.</w:t>
      </w:r>
    </w:p>
    <w:p w:rsidR="00B101F6" w:rsidRPr="00775087" w:rsidRDefault="00B101F6" w:rsidP="00775087">
      <w:pPr>
        <w:spacing w:after="0" w:line="480" w:lineRule="auto"/>
        <w:outlineLvl w:val="0"/>
        <w:rPr>
          <w:rFonts w:ascii="Times New Roman" w:hAnsi="Times New Roman" w:cs="Times New Roman"/>
          <w:b/>
          <w:sz w:val="24"/>
          <w:szCs w:val="24"/>
          <w:lang w:val="en-GB"/>
        </w:rPr>
      </w:pPr>
      <w:r w:rsidRPr="00775087">
        <w:rPr>
          <w:rFonts w:ascii="Times New Roman" w:hAnsi="Times New Roman" w:cs="Times New Roman"/>
          <w:b/>
          <w:sz w:val="24"/>
          <w:szCs w:val="24"/>
        </w:rPr>
        <w:lastRenderedPageBreak/>
        <w:t>Figure S1. Inclusion and exclusion criteria</w:t>
      </w:r>
    </w:p>
    <w:p w:rsidR="00B101F6" w:rsidRPr="00775087" w:rsidRDefault="00B101F6" w:rsidP="00775087">
      <w:pPr>
        <w:spacing w:after="0" w:line="480" w:lineRule="auto"/>
        <w:outlineLvl w:val="0"/>
        <w:rPr>
          <w:rFonts w:ascii="Times New Roman" w:hAnsi="Times New Roman" w:cs="Times New Roman"/>
          <w:b/>
          <w:sz w:val="24"/>
          <w:szCs w:val="24"/>
          <w:lang w:val="en-GB"/>
        </w:rPr>
      </w:pPr>
      <w:r w:rsidRPr="00775087">
        <w:rPr>
          <w:rFonts w:ascii="Times New Roman" w:hAnsi="Times New Roman" w:cs="Times New Roman"/>
          <w:b/>
          <w:noProof/>
          <w:sz w:val="24"/>
          <w:szCs w:val="24"/>
          <w:lang w:eastAsia="en-US"/>
        </w:rPr>
        <w:drawing>
          <wp:inline distT="0" distB="0" distL="0" distR="0" wp14:anchorId="0ACFA695" wp14:editId="5B364618">
            <wp:extent cx="4867275" cy="7534275"/>
            <wp:effectExtent l="0" t="0" r="9525" b="9525"/>
            <wp:docPr id="1" name="Picture 1" descr="Inclusion chart liver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sion chart liver artic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7275" cy="7534275"/>
                    </a:xfrm>
                    <a:prstGeom prst="rect">
                      <a:avLst/>
                    </a:prstGeom>
                    <a:noFill/>
                    <a:ln>
                      <a:noFill/>
                    </a:ln>
                  </pic:spPr>
                </pic:pic>
              </a:graphicData>
            </a:graphic>
          </wp:inline>
        </w:drawing>
      </w:r>
    </w:p>
    <w:p w:rsidR="00B101F6" w:rsidRPr="00775087" w:rsidRDefault="00B101F6" w:rsidP="00775087">
      <w:pPr>
        <w:spacing w:after="0" w:line="480" w:lineRule="auto"/>
        <w:outlineLvl w:val="0"/>
        <w:rPr>
          <w:rFonts w:ascii="Times New Roman" w:hAnsi="Times New Roman" w:cs="Times New Roman"/>
          <w:b/>
          <w:sz w:val="24"/>
          <w:szCs w:val="24"/>
          <w:lang w:val="en-GB"/>
        </w:rPr>
        <w:sectPr w:rsidR="00B101F6" w:rsidRPr="00775087" w:rsidSect="00BE65FB">
          <w:footerReference w:type="default" r:id="rId11"/>
          <w:pgSz w:w="12240" w:h="15840"/>
          <w:pgMar w:top="1440" w:right="1440" w:bottom="1440" w:left="1440" w:header="708" w:footer="708" w:gutter="0"/>
          <w:cols w:space="708"/>
          <w:docGrid w:linePitch="360"/>
        </w:sectPr>
      </w:pPr>
    </w:p>
    <w:p w:rsidR="00B101F6" w:rsidRPr="00775087" w:rsidRDefault="00B101F6" w:rsidP="00775087">
      <w:pPr>
        <w:spacing w:after="0" w:line="480" w:lineRule="auto"/>
        <w:rPr>
          <w:rFonts w:ascii="Times New Roman" w:hAnsi="Times New Roman" w:cs="Times New Roman"/>
          <w:b/>
          <w:sz w:val="24"/>
          <w:szCs w:val="24"/>
          <w:lang w:eastAsia="en-US"/>
        </w:rPr>
      </w:pPr>
      <w:r w:rsidRPr="00775087">
        <w:rPr>
          <w:rFonts w:ascii="Times New Roman" w:hAnsi="Times New Roman" w:cs="Times New Roman"/>
          <w:b/>
          <w:sz w:val="24"/>
          <w:szCs w:val="24"/>
          <w:lang w:eastAsia="en-US"/>
        </w:rPr>
        <w:lastRenderedPageBreak/>
        <w:t>Supplementary Tables</w:t>
      </w:r>
    </w:p>
    <w:p w:rsidR="00B101F6" w:rsidRPr="00775087" w:rsidRDefault="00B101F6" w:rsidP="00775087">
      <w:pPr>
        <w:spacing w:after="0" w:line="480" w:lineRule="auto"/>
        <w:rPr>
          <w:rFonts w:ascii="Times New Roman" w:hAnsi="Times New Roman" w:cs="Times New Roman"/>
          <w:b/>
          <w:sz w:val="24"/>
          <w:szCs w:val="24"/>
          <w:lang w:eastAsia="en-US"/>
        </w:rPr>
      </w:pPr>
      <w:r w:rsidRPr="00775087">
        <w:rPr>
          <w:rFonts w:ascii="Times New Roman" w:hAnsi="Times New Roman" w:cs="Times New Roman"/>
          <w:b/>
          <w:sz w:val="24"/>
          <w:szCs w:val="24"/>
          <w:lang w:val="en-GB"/>
        </w:rPr>
        <w:t xml:space="preserve">Table S1. Univariable Cox model for the primary, composite endpoint.  </w:t>
      </w:r>
    </w:p>
    <w:p w:rsidR="00B101F6" w:rsidRPr="00775087" w:rsidRDefault="00B101F6" w:rsidP="00775087">
      <w:pPr>
        <w:spacing w:after="0" w:line="480" w:lineRule="auto"/>
        <w:rPr>
          <w:rFonts w:ascii="Times New Roman" w:hAnsi="Times New Roman" w:cs="Times New Roman"/>
          <w:b/>
          <w:sz w:val="24"/>
          <w:szCs w:val="24"/>
          <w:lang w:val="en-GB"/>
        </w:rPr>
      </w:pPr>
    </w:p>
    <w:tbl>
      <w:tblPr>
        <w:tblStyle w:val="LightShading"/>
        <w:tblW w:w="0" w:type="auto"/>
        <w:jc w:val="center"/>
        <w:tblLook w:val="04A0" w:firstRow="1" w:lastRow="0" w:firstColumn="1" w:lastColumn="0" w:noHBand="0" w:noVBand="1"/>
      </w:tblPr>
      <w:tblGrid>
        <w:gridCol w:w="4507"/>
        <w:gridCol w:w="2014"/>
        <w:gridCol w:w="1374"/>
      </w:tblGrid>
      <w:tr w:rsidR="00B101F6" w:rsidRPr="00775087" w:rsidTr="006512FD">
        <w:trPr>
          <w:cnfStyle w:val="100000000000" w:firstRow="1" w:lastRow="0" w:firstColumn="0" w:lastColumn="0" w:oddVBand="0" w:evenVBand="0" w:oddHBand="0"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4507" w:type="dxa"/>
            <w:shd w:val="clear" w:color="auto" w:fill="auto"/>
            <w:vAlign w:val="center"/>
            <w:hideMark/>
          </w:tcPr>
          <w:p w:rsidR="00B101F6" w:rsidRPr="00775087" w:rsidRDefault="00B101F6" w:rsidP="00775087">
            <w:pPr>
              <w:spacing w:after="0" w:line="480" w:lineRule="auto"/>
              <w:jc w:val="center"/>
              <w:rPr>
                <w:rFonts w:ascii="Times New Roman" w:eastAsiaTheme="minorEastAsia" w:hAnsi="Times New Roman" w:cs="Times New Roman"/>
                <w:b w:val="0"/>
                <w:sz w:val="24"/>
                <w:szCs w:val="24"/>
                <w:lang w:val="en-GB" w:eastAsia="en-US"/>
              </w:rPr>
            </w:pPr>
            <w:r w:rsidRPr="00775087">
              <w:rPr>
                <w:rFonts w:ascii="Times New Roman" w:hAnsi="Times New Roman" w:cs="Times New Roman"/>
                <w:sz w:val="24"/>
                <w:szCs w:val="24"/>
                <w:lang w:val="en-GB"/>
              </w:rPr>
              <w:t>Baseline variable</w:t>
            </w:r>
          </w:p>
        </w:tc>
        <w:tc>
          <w:tcPr>
            <w:tcW w:w="2014" w:type="dxa"/>
            <w:shd w:val="clear" w:color="auto" w:fill="auto"/>
            <w:vAlign w:val="center"/>
            <w:hideMark/>
          </w:tcPr>
          <w:p w:rsidR="00B101F6" w:rsidRPr="00775087" w:rsidRDefault="00B101F6" w:rsidP="00775087">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val="en-GB" w:eastAsia="en-US"/>
              </w:rPr>
            </w:pPr>
            <w:r w:rsidRPr="00775087">
              <w:rPr>
                <w:rFonts w:ascii="Times New Roman" w:hAnsi="Times New Roman" w:cs="Times New Roman"/>
                <w:sz w:val="24"/>
                <w:szCs w:val="24"/>
                <w:lang w:val="en-GB"/>
              </w:rPr>
              <w:t>HR (95% CI)</w:t>
            </w:r>
          </w:p>
        </w:tc>
        <w:tc>
          <w:tcPr>
            <w:tcW w:w="1374" w:type="dxa"/>
            <w:shd w:val="clear" w:color="auto" w:fill="auto"/>
            <w:vAlign w:val="center"/>
            <w:hideMark/>
          </w:tcPr>
          <w:p w:rsidR="00B101F6" w:rsidRPr="00775087" w:rsidRDefault="00B101F6" w:rsidP="00775087">
            <w:pPr>
              <w:spacing w:after="0"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Cs w:val="0"/>
                <w:sz w:val="24"/>
                <w:szCs w:val="24"/>
                <w:lang w:val="en-GB" w:eastAsia="en-US"/>
              </w:rPr>
            </w:pPr>
            <w:r w:rsidRPr="00775087">
              <w:rPr>
                <w:rFonts w:ascii="Times New Roman" w:hAnsi="Times New Roman" w:cs="Times New Roman"/>
                <w:sz w:val="24"/>
                <w:szCs w:val="24"/>
                <w:lang w:val="en-GB"/>
              </w:rPr>
              <w:t>P value</w:t>
            </w:r>
          </w:p>
        </w:tc>
      </w:tr>
      <w:tr w:rsidR="00B101F6" w:rsidRPr="00775087" w:rsidTr="006512FD">
        <w:trPr>
          <w:cnfStyle w:val="000000100000" w:firstRow="0" w:lastRow="0" w:firstColumn="0" w:lastColumn="0" w:oddVBand="0" w:evenVBand="0" w:oddHBand="1"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4507" w:type="dxa"/>
            <w:tcBorders>
              <w:top w:val="single" w:sz="4" w:space="0" w:color="auto"/>
              <w:bottom w:val="nil"/>
            </w:tcBorders>
            <w:shd w:val="clear" w:color="auto" w:fill="auto"/>
            <w:vAlign w:val="center"/>
            <w:hideMark/>
          </w:tcPr>
          <w:p w:rsidR="00B101F6" w:rsidRPr="00775087" w:rsidRDefault="00B101F6" w:rsidP="00775087">
            <w:pPr>
              <w:spacing w:after="0" w:line="480" w:lineRule="auto"/>
              <w:rPr>
                <w:rFonts w:ascii="Times New Roman" w:eastAsiaTheme="minorEastAsia" w:hAnsi="Times New Roman" w:cs="Times New Roman"/>
                <w:sz w:val="24"/>
                <w:szCs w:val="24"/>
                <w:lang w:val="en-GB" w:eastAsia="en-US"/>
              </w:rPr>
            </w:pPr>
            <w:r w:rsidRPr="00775087">
              <w:rPr>
                <w:rFonts w:ascii="Times New Roman" w:hAnsi="Times New Roman" w:cs="Times New Roman"/>
                <w:sz w:val="24"/>
                <w:szCs w:val="24"/>
                <w:lang w:val="en-GB"/>
              </w:rPr>
              <w:t xml:space="preserve">Age (per 10 years) </w:t>
            </w:r>
          </w:p>
        </w:tc>
        <w:tc>
          <w:tcPr>
            <w:tcW w:w="2014" w:type="dxa"/>
            <w:tcBorders>
              <w:top w:val="single" w:sz="4" w:space="0" w:color="auto"/>
              <w:bottom w:val="nil"/>
            </w:tcBorders>
            <w:shd w:val="clear" w:color="auto" w:fill="auto"/>
            <w:vAlign w:val="center"/>
          </w:tcPr>
          <w:p w:rsidR="00B101F6" w:rsidRPr="00775087" w:rsidRDefault="00B101F6" w:rsidP="00775087">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 xml:space="preserve"> 1.23 (0.99; 1.52)</w:t>
            </w:r>
          </w:p>
        </w:tc>
        <w:tc>
          <w:tcPr>
            <w:tcW w:w="1374" w:type="dxa"/>
            <w:tcBorders>
              <w:top w:val="single" w:sz="4" w:space="0" w:color="auto"/>
              <w:bottom w:val="nil"/>
            </w:tcBorders>
            <w:shd w:val="clear" w:color="auto" w:fill="auto"/>
            <w:vAlign w:val="center"/>
          </w:tcPr>
          <w:p w:rsidR="00B101F6" w:rsidRPr="00775087" w:rsidRDefault="00B101F6" w:rsidP="00775087">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0.054</w:t>
            </w:r>
          </w:p>
        </w:tc>
      </w:tr>
      <w:tr w:rsidR="00B101F6" w:rsidRPr="00775087" w:rsidTr="006512FD">
        <w:trPr>
          <w:trHeight w:val="598"/>
          <w:jc w:val="center"/>
        </w:trPr>
        <w:tc>
          <w:tcPr>
            <w:cnfStyle w:val="001000000000" w:firstRow="0" w:lastRow="0" w:firstColumn="1" w:lastColumn="0" w:oddVBand="0" w:evenVBand="0" w:oddHBand="0" w:evenHBand="0" w:firstRowFirstColumn="0" w:firstRowLastColumn="0" w:lastRowFirstColumn="0" w:lastRowLastColumn="0"/>
            <w:tcW w:w="4507" w:type="dxa"/>
            <w:tcBorders>
              <w:top w:val="nil"/>
              <w:left w:val="nil"/>
              <w:bottom w:val="nil"/>
              <w:right w:val="nil"/>
            </w:tcBorders>
            <w:shd w:val="clear" w:color="auto" w:fill="auto"/>
            <w:vAlign w:val="center"/>
            <w:hideMark/>
          </w:tcPr>
          <w:p w:rsidR="00B101F6" w:rsidRPr="00775087" w:rsidRDefault="00B101F6" w:rsidP="00775087">
            <w:pPr>
              <w:spacing w:after="0" w:line="480" w:lineRule="auto"/>
              <w:rPr>
                <w:rFonts w:ascii="Times New Roman" w:eastAsiaTheme="minorEastAsia" w:hAnsi="Times New Roman" w:cs="Times New Roman"/>
                <w:sz w:val="24"/>
                <w:szCs w:val="24"/>
                <w:lang w:val="en-GB" w:eastAsia="en-US"/>
              </w:rPr>
            </w:pPr>
            <w:r w:rsidRPr="00775087">
              <w:rPr>
                <w:rFonts w:ascii="Times New Roman" w:hAnsi="Times New Roman" w:cs="Times New Roman"/>
                <w:sz w:val="24"/>
                <w:szCs w:val="24"/>
                <w:lang w:val="en-GB"/>
              </w:rPr>
              <w:t>Male gender</w:t>
            </w:r>
          </w:p>
        </w:tc>
        <w:tc>
          <w:tcPr>
            <w:tcW w:w="2014" w:type="dxa"/>
            <w:tcBorders>
              <w:top w:val="nil"/>
              <w:left w:val="nil"/>
              <w:bottom w:val="nil"/>
              <w:right w:val="nil"/>
            </w:tcBorders>
            <w:shd w:val="clear" w:color="auto" w:fill="auto"/>
            <w:vAlign w:val="center"/>
          </w:tcPr>
          <w:p w:rsidR="00B101F6" w:rsidRPr="00775087" w:rsidRDefault="00B101F6" w:rsidP="00775087">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1.38 (0.76; 2.49)</w:t>
            </w:r>
          </w:p>
        </w:tc>
        <w:tc>
          <w:tcPr>
            <w:tcW w:w="1374" w:type="dxa"/>
            <w:tcBorders>
              <w:top w:val="nil"/>
              <w:left w:val="nil"/>
              <w:bottom w:val="nil"/>
              <w:right w:val="nil"/>
            </w:tcBorders>
            <w:shd w:val="clear" w:color="auto" w:fill="auto"/>
            <w:vAlign w:val="center"/>
          </w:tcPr>
          <w:p w:rsidR="00B101F6" w:rsidRPr="00775087" w:rsidRDefault="00B101F6" w:rsidP="00775087">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0.28</w:t>
            </w:r>
          </w:p>
        </w:tc>
      </w:tr>
      <w:tr w:rsidR="00B101F6" w:rsidRPr="00775087" w:rsidTr="006512FD">
        <w:trPr>
          <w:cnfStyle w:val="000000100000" w:firstRow="0" w:lastRow="0" w:firstColumn="0" w:lastColumn="0" w:oddVBand="0" w:evenVBand="0" w:oddHBand="1"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4507" w:type="dxa"/>
            <w:tcBorders>
              <w:top w:val="nil"/>
              <w:bottom w:val="nil"/>
            </w:tcBorders>
            <w:shd w:val="clear" w:color="auto" w:fill="auto"/>
            <w:vAlign w:val="center"/>
            <w:hideMark/>
          </w:tcPr>
          <w:p w:rsidR="00B101F6" w:rsidRPr="00775087" w:rsidRDefault="00B101F6" w:rsidP="00775087">
            <w:pPr>
              <w:spacing w:after="0" w:line="480" w:lineRule="auto"/>
              <w:rPr>
                <w:rFonts w:ascii="Times New Roman" w:eastAsiaTheme="minorEastAsia" w:hAnsi="Times New Roman" w:cs="Times New Roman"/>
                <w:sz w:val="24"/>
                <w:szCs w:val="24"/>
                <w:lang w:val="en-GB" w:eastAsia="en-US"/>
              </w:rPr>
            </w:pPr>
            <w:r w:rsidRPr="00775087">
              <w:rPr>
                <w:rFonts w:ascii="Times New Roman" w:hAnsi="Times New Roman" w:cs="Times New Roman"/>
                <w:sz w:val="24"/>
                <w:szCs w:val="24"/>
                <w:lang w:val="en-GB"/>
              </w:rPr>
              <w:t xml:space="preserve">NYHA class III or IV </w:t>
            </w:r>
          </w:p>
        </w:tc>
        <w:tc>
          <w:tcPr>
            <w:tcW w:w="2014" w:type="dxa"/>
            <w:tcBorders>
              <w:top w:val="nil"/>
              <w:bottom w:val="nil"/>
            </w:tcBorders>
            <w:shd w:val="clear" w:color="auto" w:fill="auto"/>
            <w:vAlign w:val="center"/>
          </w:tcPr>
          <w:p w:rsidR="00B101F6" w:rsidRPr="00775087" w:rsidRDefault="00B101F6" w:rsidP="00775087">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2.98 (1.83; 4.85)</w:t>
            </w:r>
          </w:p>
        </w:tc>
        <w:tc>
          <w:tcPr>
            <w:tcW w:w="1374" w:type="dxa"/>
            <w:tcBorders>
              <w:top w:val="nil"/>
              <w:bottom w:val="nil"/>
            </w:tcBorders>
            <w:shd w:val="clear" w:color="auto" w:fill="auto"/>
            <w:vAlign w:val="center"/>
          </w:tcPr>
          <w:p w:rsidR="00B101F6" w:rsidRPr="00775087" w:rsidRDefault="00B101F6" w:rsidP="00775087">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&lt;0.001</w:t>
            </w:r>
          </w:p>
        </w:tc>
      </w:tr>
      <w:tr w:rsidR="00B101F6" w:rsidRPr="00775087" w:rsidTr="006512FD">
        <w:trPr>
          <w:trHeight w:val="598"/>
          <w:jc w:val="center"/>
        </w:trPr>
        <w:tc>
          <w:tcPr>
            <w:cnfStyle w:val="001000000000" w:firstRow="0" w:lastRow="0" w:firstColumn="1" w:lastColumn="0" w:oddVBand="0" w:evenVBand="0" w:oddHBand="0" w:evenHBand="0" w:firstRowFirstColumn="0" w:firstRowLastColumn="0" w:lastRowFirstColumn="0" w:lastRowLastColumn="0"/>
            <w:tcW w:w="4507" w:type="dxa"/>
            <w:tcBorders>
              <w:top w:val="nil"/>
              <w:left w:val="nil"/>
              <w:bottom w:val="nil"/>
              <w:right w:val="nil"/>
            </w:tcBorders>
            <w:shd w:val="clear" w:color="auto" w:fill="auto"/>
            <w:vAlign w:val="center"/>
          </w:tcPr>
          <w:p w:rsidR="00B101F6" w:rsidRPr="00775087" w:rsidRDefault="00B101F6" w:rsidP="00775087">
            <w:pPr>
              <w:spacing w:after="0" w:line="480" w:lineRule="auto"/>
              <w:rPr>
                <w:rFonts w:ascii="Times New Roman" w:hAnsi="Times New Roman" w:cs="Times New Roman"/>
                <w:sz w:val="24"/>
                <w:szCs w:val="24"/>
                <w:lang w:val="en-GB"/>
              </w:rPr>
            </w:pPr>
            <w:r w:rsidRPr="00775087">
              <w:rPr>
                <w:rFonts w:ascii="Times New Roman" w:hAnsi="Times New Roman" w:cs="Times New Roman"/>
                <w:sz w:val="24"/>
                <w:szCs w:val="24"/>
                <w:lang w:val="en-GB"/>
              </w:rPr>
              <w:t>Duration of CHF</w:t>
            </w:r>
          </w:p>
        </w:tc>
        <w:tc>
          <w:tcPr>
            <w:tcW w:w="2014" w:type="dxa"/>
            <w:tcBorders>
              <w:top w:val="nil"/>
              <w:left w:val="nil"/>
              <w:bottom w:val="nil"/>
              <w:right w:val="nil"/>
            </w:tcBorders>
            <w:shd w:val="clear" w:color="auto" w:fill="auto"/>
            <w:vAlign w:val="center"/>
          </w:tcPr>
          <w:p w:rsidR="00B101F6" w:rsidRPr="00775087" w:rsidRDefault="00B101F6" w:rsidP="00775087">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1.06 (1.02; 1.10)</w:t>
            </w:r>
          </w:p>
        </w:tc>
        <w:tc>
          <w:tcPr>
            <w:tcW w:w="1374" w:type="dxa"/>
            <w:tcBorders>
              <w:top w:val="nil"/>
              <w:left w:val="nil"/>
              <w:bottom w:val="nil"/>
              <w:right w:val="nil"/>
            </w:tcBorders>
            <w:shd w:val="clear" w:color="auto" w:fill="auto"/>
            <w:vAlign w:val="center"/>
          </w:tcPr>
          <w:p w:rsidR="00B101F6" w:rsidRPr="00775087" w:rsidRDefault="00B101F6" w:rsidP="00775087">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0.001</w:t>
            </w:r>
          </w:p>
        </w:tc>
      </w:tr>
      <w:tr w:rsidR="00B101F6" w:rsidRPr="00775087" w:rsidTr="006512FD">
        <w:trPr>
          <w:cnfStyle w:val="000000100000" w:firstRow="0" w:lastRow="0" w:firstColumn="0" w:lastColumn="0" w:oddVBand="0" w:evenVBand="0" w:oddHBand="1"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4507" w:type="dxa"/>
            <w:tcBorders>
              <w:top w:val="nil"/>
              <w:bottom w:val="nil"/>
            </w:tcBorders>
            <w:shd w:val="clear" w:color="auto" w:fill="auto"/>
            <w:vAlign w:val="center"/>
            <w:hideMark/>
          </w:tcPr>
          <w:p w:rsidR="00B101F6" w:rsidRPr="00775087" w:rsidRDefault="00B101F6" w:rsidP="00775087">
            <w:pPr>
              <w:spacing w:after="0" w:line="480" w:lineRule="auto"/>
              <w:rPr>
                <w:rFonts w:ascii="Times New Roman" w:eastAsiaTheme="minorEastAsia" w:hAnsi="Times New Roman" w:cs="Times New Roman"/>
                <w:sz w:val="24"/>
                <w:szCs w:val="24"/>
                <w:lang w:val="en-GB" w:eastAsia="en-US"/>
              </w:rPr>
            </w:pPr>
            <w:r w:rsidRPr="00775087">
              <w:rPr>
                <w:rFonts w:ascii="Times New Roman" w:hAnsi="Times New Roman" w:cs="Times New Roman"/>
                <w:sz w:val="24"/>
                <w:szCs w:val="24"/>
                <w:lang w:val="en-GB"/>
              </w:rPr>
              <w:t>DM</w:t>
            </w:r>
          </w:p>
        </w:tc>
        <w:tc>
          <w:tcPr>
            <w:tcW w:w="2014" w:type="dxa"/>
            <w:tcBorders>
              <w:top w:val="nil"/>
              <w:bottom w:val="nil"/>
            </w:tcBorders>
            <w:shd w:val="clear" w:color="auto" w:fill="auto"/>
            <w:vAlign w:val="center"/>
          </w:tcPr>
          <w:p w:rsidR="00B101F6" w:rsidRPr="00775087" w:rsidRDefault="00B101F6" w:rsidP="00775087">
            <w:pPr>
              <w:spacing w:after="0" w:line="48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1.85 (1.14; 3.00)</w:t>
            </w:r>
          </w:p>
        </w:tc>
        <w:tc>
          <w:tcPr>
            <w:tcW w:w="1374" w:type="dxa"/>
            <w:tcBorders>
              <w:top w:val="nil"/>
              <w:bottom w:val="nil"/>
            </w:tcBorders>
            <w:shd w:val="clear" w:color="auto" w:fill="auto"/>
            <w:vAlign w:val="center"/>
          </w:tcPr>
          <w:p w:rsidR="00B101F6" w:rsidRPr="00775087" w:rsidRDefault="00B101F6" w:rsidP="00775087">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0.013</w:t>
            </w:r>
          </w:p>
        </w:tc>
      </w:tr>
      <w:tr w:rsidR="00B101F6" w:rsidRPr="00775087" w:rsidTr="006512FD">
        <w:trPr>
          <w:trHeight w:val="598"/>
          <w:jc w:val="center"/>
        </w:trPr>
        <w:tc>
          <w:tcPr>
            <w:cnfStyle w:val="001000000000" w:firstRow="0" w:lastRow="0" w:firstColumn="1" w:lastColumn="0" w:oddVBand="0" w:evenVBand="0" w:oddHBand="0" w:evenHBand="0" w:firstRowFirstColumn="0" w:firstRowLastColumn="0" w:lastRowFirstColumn="0" w:lastRowLastColumn="0"/>
            <w:tcW w:w="4507" w:type="dxa"/>
            <w:tcBorders>
              <w:top w:val="nil"/>
              <w:left w:val="nil"/>
              <w:bottom w:val="nil"/>
              <w:right w:val="nil"/>
            </w:tcBorders>
            <w:shd w:val="clear" w:color="auto" w:fill="auto"/>
            <w:vAlign w:val="center"/>
            <w:hideMark/>
          </w:tcPr>
          <w:p w:rsidR="00B101F6" w:rsidRPr="00775087" w:rsidRDefault="00B101F6" w:rsidP="00775087">
            <w:pPr>
              <w:spacing w:after="0" w:line="480" w:lineRule="auto"/>
              <w:rPr>
                <w:rFonts w:ascii="Times New Roman" w:eastAsiaTheme="minorEastAsia" w:hAnsi="Times New Roman" w:cs="Times New Roman"/>
                <w:sz w:val="24"/>
                <w:szCs w:val="24"/>
                <w:lang w:val="en-GB" w:eastAsia="en-US"/>
              </w:rPr>
            </w:pPr>
            <w:r w:rsidRPr="00775087">
              <w:rPr>
                <w:rFonts w:ascii="Times New Roman" w:hAnsi="Times New Roman" w:cs="Times New Roman"/>
                <w:sz w:val="24"/>
                <w:szCs w:val="24"/>
                <w:lang w:val="en-GB"/>
              </w:rPr>
              <w:t>AF</w:t>
            </w:r>
          </w:p>
        </w:tc>
        <w:tc>
          <w:tcPr>
            <w:tcW w:w="2014" w:type="dxa"/>
            <w:tcBorders>
              <w:top w:val="nil"/>
              <w:left w:val="nil"/>
              <w:bottom w:val="nil"/>
              <w:right w:val="nil"/>
            </w:tcBorders>
            <w:shd w:val="clear" w:color="auto" w:fill="auto"/>
            <w:vAlign w:val="center"/>
          </w:tcPr>
          <w:p w:rsidR="00B101F6" w:rsidRPr="00775087" w:rsidRDefault="00B101F6" w:rsidP="00775087">
            <w:pPr>
              <w:spacing w:after="0" w:line="48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1.50 (0.92; 2.43)</w:t>
            </w:r>
          </w:p>
        </w:tc>
        <w:tc>
          <w:tcPr>
            <w:tcW w:w="1374" w:type="dxa"/>
            <w:tcBorders>
              <w:top w:val="nil"/>
              <w:left w:val="nil"/>
              <w:bottom w:val="nil"/>
              <w:right w:val="nil"/>
            </w:tcBorders>
            <w:shd w:val="clear" w:color="auto" w:fill="auto"/>
            <w:vAlign w:val="center"/>
          </w:tcPr>
          <w:p w:rsidR="00B101F6" w:rsidRPr="00775087" w:rsidRDefault="00B101F6" w:rsidP="00775087">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0.098</w:t>
            </w:r>
          </w:p>
        </w:tc>
      </w:tr>
      <w:tr w:rsidR="00B101F6" w:rsidRPr="00775087" w:rsidTr="006512FD">
        <w:trPr>
          <w:cnfStyle w:val="000000100000" w:firstRow="0" w:lastRow="0" w:firstColumn="0" w:lastColumn="0" w:oddVBand="0" w:evenVBand="0" w:oddHBand="1"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4507" w:type="dxa"/>
            <w:tcBorders>
              <w:top w:val="nil"/>
              <w:bottom w:val="nil"/>
            </w:tcBorders>
            <w:shd w:val="clear" w:color="auto" w:fill="auto"/>
            <w:vAlign w:val="center"/>
            <w:hideMark/>
          </w:tcPr>
          <w:p w:rsidR="00B101F6" w:rsidRPr="00775087" w:rsidRDefault="00B101F6" w:rsidP="00775087">
            <w:pPr>
              <w:spacing w:after="0" w:line="480" w:lineRule="auto"/>
              <w:rPr>
                <w:rFonts w:ascii="Times New Roman" w:eastAsiaTheme="minorEastAsia" w:hAnsi="Times New Roman" w:cs="Times New Roman"/>
                <w:sz w:val="24"/>
                <w:szCs w:val="24"/>
                <w:lang w:val="en-GB" w:eastAsia="en-US"/>
              </w:rPr>
            </w:pPr>
            <w:r w:rsidRPr="00775087">
              <w:rPr>
                <w:rFonts w:ascii="Times New Roman" w:hAnsi="Times New Roman" w:cs="Times New Roman"/>
                <w:sz w:val="24"/>
                <w:szCs w:val="24"/>
                <w:lang w:val="en-GB"/>
              </w:rPr>
              <w:t xml:space="preserve">SBP (per 10 mmHg) </w:t>
            </w:r>
          </w:p>
        </w:tc>
        <w:tc>
          <w:tcPr>
            <w:tcW w:w="2014" w:type="dxa"/>
            <w:tcBorders>
              <w:top w:val="nil"/>
              <w:bottom w:val="nil"/>
            </w:tcBorders>
            <w:shd w:val="clear" w:color="auto" w:fill="auto"/>
            <w:vAlign w:val="center"/>
          </w:tcPr>
          <w:p w:rsidR="00B101F6" w:rsidRPr="00775087" w:rsidRDefault="00B101F6" w:rsidP="00775087">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0.85 (0.75; 0.97)</w:t>
            </w:r>
          </w:p>
        </w:tc>
        <w:tc>
          <w:tcPr>
            <w:tcW w:w="1374" w:type="dxa"/>
            <w:tcBorders>
              <w:top w:val="nil"/>
              <w:bottom w:val="nil"/>
            </w:tcBorders>
            <w:shd w:val="clear" w:color="auto" w:fill="auto"/>
            <w:vAlign w:val="center"/>
          </w:tcPr>
          <w:p w:rsidR="00B101F6" w:rsidRPr="00775087" w:rsidRDefault="00B101F6" w:rsidP="00775087">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0.014</w:t>
            </w:r>
          </w:p>
        </w:tc>
      </w:tr>
      <w:tr w:rsidR="00B101F6" w:rsidRPr="00775087" w:rsidTr="006512FD">
        <w:trPr>
          <w:trHeight w:val="598"/>
          <w:jc w:val="center"/>
        </w:trPr>
        <w:tc>
          <w:tcPr>
            <w:cnfStyle w:val="001000000000" w:firstRow="0" w:lastRow="0" w:firstColumn="1" w:lastColumn="0" w:oddVBand="0" w:evenVBand="0" w:oddHBand="0" w:evenHBand="0" w:firstRowFirstColumn="0" w:firstRowLastColumn="0" w:lastRowFirstColumn="0" w:lastRowLastColumn="0"/>
            <w:tcW w:w="4507" w:type="dxa"/>
            <w:tcBorders>
              <w:top w:val="nil"/>
              <w:left w:val="nil"/>
              <w:bottom w:val="nil"/>
              <w:right w:val="nil"/>
            </w:tcBorders>
            <w:shd w:val="clear" w:color="auto" w:fill="auto"/>
            <w:vAlign w:val="center"/>
            <w:hideMark/>
          </w:tcPr>
          <w:p w:rsidR="00B101F6" w:rsidRPr="00775087" w:rsidRDefault="00B101F6" w:rsidP="00775087">
            <w:pPr>
              <w:spacing w:after="0" w:line="480" w:lineRule="auto"/>
              <w:rPr>
                <w:rFonts w:ascii="Times New Roman" w:eastAsiaTheme="minorEastAsia" w:hAnsi="Times New Roman" w:cs="Times New Roman"/>
                <w:bCs w:val="0"/>
                <w:sz w:val="24"/>
                <w:szCs w:val="24"/>
                <w:lang w:val="nl-NL" w:eastAsia="en-US"/>
              </w:rPr>
            </w:pPr>
            <w:r w:rsidRPr="00775087">
              <w:rPr>
                <w:rFonts w:ascii="Times New Roman" w:hAnsi="Times New Roman" w:cs="Times New Roman"/>
                <w:sz w:val="24"/>
                <w:szCs w:val="24"/>
                <w:lang w:val="nl-NL"/>
              </w:rPr>
              <w:t>eGFR (per 20 ml/min/1.73 m</w:t>
            </w:r>
            <w:r w:rsidRPr="00775087">
              <w:rPr>
                <w:rFonts w:ascii="Times New Roman" w:hAnsi="Times New Roman" w:cs="Times New Roman"/>
                <w:sz w:val="24"/>
                <w:szCs w:val="24"/>
                <w:vertAlign w:val="superscript"/>
                <w:lang w:val="nl-NL"/>
              </w:rPr>
              <w:t>2</w:t>
            </w:r>
            <w:r w:rsidRPr="00775087">
              <w:rPr>
                <w:rFonts w:ascii="Times New Roman" w:hAnsi="Times New Roman" w:cs="Times New Roman"/>
                <w:sz w:val="24"/>
                <w:szCs w:val="24"/>
                <w:lang w:val="nl-NL"/>
              </w:rPr>
              <w:t xml:space="preserve">) </w:t>
            </w:r>
          </w:p>
        </w:tc>
        <w:tc>
          <w:tcPr>
            <w:tcW w:w="2014" w:type="dxa"/>
            <w:tcBorders>
              <w:top w:val="nil"/>
              <w:left w:val="nil"/>
              <w:bottom w:val="nil"/>
              <w:right w:val="nil"/>
            </w:tcBorders>
            <w:shd w:val="clear" w:color="auto" w:fill="auto"/>
            <w:vAlign w:val="center"/>
          </w:tcPr>
          <w:p w:rsidR="00B101F6" w:rsidRPr="00775087" w:rsidRDefault="00B101F6" w:rsidP="00775087">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0.84 (0.67; 1.05)</w:t>
            </w:r>
          </w:p>
        </w:tc>
        <w:tc>
          <w:tcPr>
            <w:tcW w:w="1374" w:type="dxa"/>
            <w:tcBorders>
              <w:top w:val="nil"/>
              <w:left w:val="nil"/>
              <w:bottom w:val="nil"/>
              <w:right w:val="nil"/>
            </w:tcBorders>
            <w:shd w:val="clear" w:color="auto" w:fill="auto"/>
            <w:vAlign w:val="center"/>
          </w:tcPr>
          <w:p w:rsidR="00B101F6" w:rsidRPr="00775087" w:rsidRDefault="00B101F6" w:rsidP="00775087">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0.135</w:t>
            </w:r>
          </w:p>
        </w:tc>
      </w:tr>
      <w:tr w:rsidR="00B101F6" w:rsidRPr="00775087" w:rsidTr="006512FD">
        <w:trPr>
          <w:cnfStyle w:val="000000100000" w:firstRow="0" w:lastRow="0" w:firstColumn="0" w:lastColumn="0" w:oddVBand="0" w:evenVBand="0" w:oddHBand="1"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4507" w:type="dxa"/>
            <w:tcBorders>
              <w:top w:val="nil"/>
              <w:bottom w:val="nil"/>
            </w:tcBorders>
            <w:shd w:val="clear" w:color="auto" w:fill="auto"/>
            <w:vAlign w:val="center"/>
            <w:hideMark/>
          </w:tcPr>
          <w:p w:rsidR="00B101F6" w:rsidRPr="00775087" w:rsidRDefault="00B101F6" w:rsidP="00775087">
            <w:pPr>
              <w:spacing w:after="0" w:line="480" w:lineRule="auto"/>
              <w:rPr>
                <w:rFonts w:ascii="Times New Roman" w:eastAsiaTheme="minorEastAsia" w:hAnsi="Times New Roman" w:cs="Times New Roman"/>
                <w:bCs w:val="0"/>
                <w:sz w:val="24"/>
                <w:szCs w:val="24"/>
                <w:lang w:val="en-GB" w:eastAsia="en-US"/>
              </w:rPr>
            </w:pPr>
            <w:r w:rsidRPr="00775087">
              <w:rPr>
                <w:rFonts w:ascii="Times New Roman" w:hAnsi="Times New Roman" w:cs="Times New Roman"/>
                <w:sz w:val="24"/>
                <w:szCs w:val="24"/>
                <w:lang w:val="en-GB"/>
              </w:rPr>
              <w:t>NT-proBNP (per doubling)</w:t>
            </w:r>
          </w:p>
        </w:tc>
        <w:tc>
          <w:tcPr>
            <w:tcW w:w="2014" w:type="dxa"/>
            <w:tcBorders>
              <w:top w:val="nil"/>
              <w:bottom w:val="nil"/>
            </w:tcBorders>
            <w:shd w:val="clear" w:color="auto" w:fill="auto"/>
            <w:vAlign w:val="center"/>
          </w:tcPr>
          <w:p w:rsidR="00B101F6" w:rsidRPr="00775087" w:rsidRDefault="00B101F6" w:rsidP="00775087">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1.83 (1.55; 2.17)</w:t>
            </w:r>
          </w:p>
        </w:tc>
        <w:tc>
          <w:tcPr>
            <w:tcW w:w="1374" w:type="dxa"/>
            <w:tcBorders>
              <w:top w:val="nil"/>
              <w:bottom w:val="nil"/>
            </w:tcBorders>
            <w:shd w:val="clear" w:color="auto" w:fill="auto"/>
            <w:vAlign w:val="center"/>
          </w:tcPr>
          <w:p w:rsidR="00B101F6" w:rsidRPr="00775087" w:rsidRDefault="00B101F6" w:rsidP="00775087">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&lt;0.001</w:t>
            </w:r>
          </w:p>
        </w:tc>
      </w:tr>
      <w:tr w:rsidR="00B101F6" w:rsidRPr="00775087" w:rsidTr="006512FD">
        <w:trPr>
          <w:trHeight w:val="598"/>
          <w:jc w:val="center"/>
        </w:trPr>
        <w:tc>
          <w:tcPr>
            <w:cnfStyle w:val="001000000000" w:firstRow="0" w:lastRow="0" w:firstColumn="1" w:lastColumn="0" w:oddVBand="0" w:evenVBand="0" w:oddHBand="0" w:evenHBand="0" w:firstRowFirstColumn="0" w:firstRowLastColumn="0" w:lastRowFirstColumn="0" w:lastRowLastColumn="0"/>
            <w:tcW w:w="4507" w:type="dxa"/>
            <w:tcBorders>
              <w:top w:val="nil"/>
              <w:left w:val="nil"/>
              <w:bottom w:val="nil"/>
              <w:right w:val="nil"/>
            </w:tcBorders>
            <w:shd w:val="clear" w:color="auto" w:fill="auto"/>
            <w:vAlign w:val="center"/>
            <w:hideMark/>
          </w:tcPr>
          <w:p w:rsidR="00B101F6" w:rsidRPr="00775087" w:rsidRDefault="00B101F6" w:rsidP="00775087">
            <w:pPr>
              <w:spacing w:after="0" w:line="480" w:lineRule="auto"/>
              <w:rPr>
                <w:rFonts w:ascii="Times New Roman" w:eastAsiaTheme="minorEastAsia" w:hAnsi="Times New Roman" w:cs="Times New Roman"/>
                <w:bCs w:val="0"/>
                <w:sz w:val="24"/>
                <w:szCs w:val="24"/>
                <w:lang w:val="en-GB" w:eastAsia="en-US"/>
              </w:rPr>
            </w:pPr>
            <w:r w:rsidRPr="00775087">
              <w:rPr>
                <w:rFonts w:ascii="Times New Roman" w:hAnsi="Times New Roman" w:cs="Times New Roman"/>
                <w:sz w:val="24"/>
                <w:szCs w:val="24"/>
                <w:lang w:val="en-GB"/>
              </w:rPr>
              <w:t>hs-TnT (per doubling)</w:t>
            </w:r>
          </w:p>
        </w:tc>
        <w:tc>
          <w:tcPr>
            <w:tcW w:w="2014" w:type="dxa"/>
            <w:tcBorders>
              <w:top w:val="nil"/>
              <w:left w:val="nil"/>
              <w:bottom w:val="nil"/>
              <w:right w:val="nil"/>
            </w:tcBorders>
            <w:shd w:val="clear" w:color="auto" w:fill="auto"/>
            <w:vAlign w:val="center"/>
          </w:tcPr>
          <w:p w:rsidR="00B101F6" w:rsidRPr="00775087" w:rsidRDefault="00B101F6" w:rsidP="00775087">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1.80 (1.50; 2.17)</w:t>
            </w:r>
          </w:p>
        </w:tc>
        <w:tc>
          <w:tcPr>
            <w:tcW w:w="1374" w:type="dxa"/>
            <w:tcBorders>
              <w:top w:val="nil"/>
              <w:left w:val="nil"/>
              <w:bottom w:val="nil"/>
              <w:right w:val="nil"/>
            </w:tcBorders>
            <w:shd w:val="clear" w:color="auto" w:fill="auto"/>
            <w:vAlign w:val="center"/>
          </w:tcPr>
          <w:p w:rsidR="00B101F6" w:rsidRPr="00775087" w:rsidRDefault="00B101F6" w:rsidP="00775087">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GB" w:eastAsia="en-US"/>
              </w:rPr>
            </w:pPr>
            <w:r w:rsidRPr="00775087">
              <w:rPr>
                <w:rFonts w:ascii="Times New Roman" w:eastAsiaTheme="minorEastAsia" w:hAnsi="Times New Roman" w:cs="Times New Roman"/>
                <w:sz w:val="24"/>
                <w:szCs w:val="24"/>
                <w:lang w:val="en-GB" w:eastAsia="en-US"/>
              </w:rPr>
              <w:t>&lt;0.001</w:t>
            </w:r>
          </w:p>
        </w:tc>
      </w:tr>
    </w:tbl>
    <w:p w:rsidR="00C343EC" w:rsidRPr="00775087" w:rsidRDefault="00000000" w:rsidP="00775087">
      <w:pPr>
        <w:spacing w:after="0" w:line="480" w:lineRule="auto"/>
        <w:rPr>
          <w:rFonts w:ascii="Times New Roman" w:hAnsi="Times New Roman" w:cs="Times New Roman"/>
          <w:sz w:val="24"/>
          <w:szCs w:val="24"/>
        </w:rPr>
      </w:pPr>
    </w:p>
    <w:sectPr w:rsidR="00C343EC" w:rsidRPr="007750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C81" w:rsidRDefault="008B3C81">
      <w:pPr>
        <w:spacing w:after="0" w:line="240" w:lineRule="auto"/>
      </w:pPr>
      <w:r>
        <w:separator/>
      </w:r>
    </w:p>
  </w:endnote>
  <w:endnote w:type="continuationSeparator" w:id="0">
    <w:p w:rsidR="008B3C81" w:rsidRDefault="008B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DBA" w:rsidRDefault="00000000" w:rsidP="001114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40DBA" w:rsidRDefault="00000000" w:rsidP="001114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0DBA" w:rsidRDefault="00000000" w:rsidP="001114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B40DBA" w:rsidRDefault="00000000" w:rsidP="0011147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771681"/>
      <w:docPartObj>
        <w:docPartGallery w:val="Page Numbers (Bottom of Page)"/>
        <w:docPartUnique/>
      </w:docPartObj>
    </w:sdtPr>
    <w:sdtEndPr>
      <w:rPr>
        <w:noProof/>
      </w:rPr>
    </w:sdtEndPr>
    <w:sdtContent>
      <w:p w:rsidR="00B40DBA"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40DB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C81" w:rsidRDefault="008B3C81">
      <w:pPr>
        <w:spacing w:after="0" w:line="240" w:lineRule="auto"/>
      </w:pPr>
      <w:r>
        <w:separator/>
      </w:r>
    </w:p>
  </w:footnote>
  <w:footnote w:type="continuationSeparator" w:id="0">
    <w:p w:rsidR="008B3C81" w:rsidRDefault="008B3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05901"/>
    <w:multiLevelType w:val="hybridMultilevel"/>
    <w:tmpl w:val="8B50F7E2"/>
    <w:styleLink w:val="Zaimportowanystyl1"/>
    <w:lvl w:ilvl="0" w:tplc="40E63C2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CAC6EA">
      <w:start w:val="1"/>
      <w:numFmt w:val="lowerLetter"/>
      <w:lvlText w:val="%2."/>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8CE6D522">
      <w:start w:val="1"/>
      <w:numFmt w:val="lowerRoman"/>
      <w:lvlText w:val="%3."/>
      <w:lvlJc w:val="left"/>
      <w:pPr>
        <w:ind w:left="1858" w:hanging="349"/>
      </w:pPr>
      <w:rPr>
        <w:rFonts w:hAnsi="Arial Unicode MS"/>
        <w:caps w:val="0"/>
        <w:smallCaps w:val="0"/>
        <w:strike w:val="0"/>
        <w:dstrike w:val="0"/>
        <w:outline w:val="0"/>
        <w:emboss w:val="0"/>
        <w:imprint w:val="0"/>
        <w:spacing w:val="0"/>
        <w:w w:val="100"/>
        <w:kern w:val="0"/>
        <w:position w:val="0"/>
        <w:highlight w:val="none"/>
        <w:vertAlign w:val="baseline"/>
      </w:rPr>
    </w:lvl>
    <w:lvl w:ilvl="3" w:tplc="380C901C">
      <w:start w:val="1"/>
      <w:numFmt w:val="decimal"/>
      <w:lvlText w:val="%4."/>
      <w:lvlJc w:val="left"/>
      <w:pPr>
        <w:ind w:left="259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F02ECCDE">
      <w:start w:val="1"/>
      <w:numFmt w:val="lowerLetter"/>
      <w:lvlText w:val="%5."/>
      <w:lvlJc w:val="left"/>
      <w:pPr>
        <w:ind w:left="331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D72AEA9C">
      <w:start w:val="1"/>
      <w:numFmt w:val="lowerRoman"/>
      <w:lvlText w:val="%6."/>
      <w:lvlJc w:val="left"/>
      <w:pPr>
        <w:ind w:left="4018" w:hanging="349"/>
      </w:pPr>
      <w:rPr>
        <w:rFonts w:hAnsi="Arial Unicode MS"/>
        <w:caps w:val="0"/>
        <w:smallCaps w:val="0"/>
        <w:strike w:val="0"/>
        <w:dstrike w:val="0"/>
        <w:outline w:val="0"/>
        <w:emboss w:val="0"/>
        <w:imprint w:val="0"/>
        <w:spacing w:val="0"/>
        <w:w w:val="100"/>
        <w:kern w:val="0"/>
        <w:position w:val="0"/>
        <w:highlight w:val="none"/>
        <w:vertAlign w:val="baseline"/>
      </w:rPr>
    </w:lvl>
    <w:lvl w:ilvl="6" w:tplc="E71C98DC">
      <w:start w:val="1"/>
      <w:numFmt w:val="decimal"/>
      <w:lvlText w:val="%7."/>
      <w:lvlJc w:val="left"/>
      <w:pPr>
        <w:ind w:left="475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B22CE812">
      <w:start w:val="1"/>
      <w:numFmt w:val="lowerLetter"/>
      <w:lvlText w:val="%8."/>
      <w:lvlJc w:val="left"/>
      <w:pPr>
        <w:ind w:left="547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95B25422">
      <w:start w:val="1"/>
      <w:numFmt w:val="lowerRoman"/>
      <w:lvlText w:val="%9."/>
      <w:lvlJc w:val="left"/>
      <w:pPr>
        <w:ind w:left="6178" w:hanging="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6C452CC"/>
    <w:multiLevelType w:val="hybridMultilevel"/>
    <w:tmpl w:val="8B50F7E2"/>
    <w:numStyleLink w:val="Zaimportowanystyl1"/>
  </w:abstractNum>
  <w:num w:numId="1" w16cid:durableId="1784495604">
    <w:abstractNumId w:val="0"/>
  </w:num>
  <w:num w:numId="2" w16cid:durableId="206383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F6"/>
    <w:rsid w:val="00406456"/>
    <w:rsid w:val="00717113"/>
    <w:rsid w:val="00775087"/>
    <w:rsid w:val="008B3C81"/>
    <w:rsid w:val="00B101F6"/>
    <w:rsid w:val="00B81427"/>
    <w:rsid w:val="00E029D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FB245-B631-4C8C-9D18-A6F3EF35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F6"/>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pl-PL"/>
    </w:rPr>
  </w:style>
  <w:style w:type="paragraph" w:styleId="Heading1">
    <w:name w:val="heading 1"/>
    <w:next w:val="Normal"/>
    <w:link w:val="Heading1Char"/>
    <w:uiPriority w:val="9"/>
    <w:qFormat/>
    <w:rsid w:val="00B101F6"/>
    <w:pPr>
      <w:keepNext/>
      <w:keepLines/>
      <w:pBdr>
        <w:top w:val="nil"/>
        <w:left w:val="nil"/>
        <w:bottom w:val="nil"/>
        <w:right w:val="nil"/>
        <w:between w:val="nil"/>
        <w:bar w:val="nil"/>
      </w:pBdr>
      <w:spacing w:before="240" w:after="0" w:line="276" w:lineRule="auto"/>
      <w:outlineLvl w:val="0"/>
    </w:pPr>
    <w:rPr>
      <w:rFonts w:ascii="Arial" w:eastAsia="Arial Unicode MS" w:hAnsi="Arial" w:cs="Arial Unicode MS"/>
      <w:b/>
      <w:bCs/>
      <w:color w:val="000000"/>
      <w:sz w:val="24"/>
      <w:szCs w:val="24"/>
      <w:u w:color="000000"/>
      <w:bdr w:val="nil"/>
      <w:lang w:val="en-US"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1F6"/>
    <w:rPr>
      <w:rFonts w:ascii="Arial" w:eastAsia="Arial Unicode MS" w:hAnsi="Arial" w:cs="Arial Unicode MS"/>
      <w:b/>
      <w:bCs/>
      <w:color w:val="000000"/>
      <w:sz w:val="24"/>
      <w:szCs w:val="24"/>
      <w:u w:color="000000"/>
      <w:bdr w:val="nil"/>
      <w:lang w:val="en-US" w:eastAsia="pl-PL"/>
    </w:rPr>
  </w:style>
  <w:style w:type="character" w:styleId="Hyperlink">
    <w:name w:val="Hyperlink"/>
    <w:rsid w:val="00B101F6"/>
    <w:rPr>
      <w:u w:val="single"/>
    </w:rPr>
  </w:style>
  <w:style w:type="numbering" w:customStyle="1" w:styleId="Zaimportowanystyl1">
    <w:name w:val="Zaimportowany styl 1"/>
    <w:rsid w:val="00B101F6"/>
    <w:pPr>
      <w:numPr>
        <w:numId w:val="1"/>
      </w:numPr>
    </w:pPr>
  </w:style>
  <w:style w:type="paragraph" w:styleId="Footer">
    <w:name w:val="footer"/>
    <w:basedOn w:val="Normal"/>
    <w:link w:val="FooterChar"/>
    <w:uiPriority w:val="99"/>
    <w:unhideWhenUsed/>
    <w:rsid w:val="00B101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101F6"/>
    <w:rPr>
      <w:rFonts w:ascii="Calibri" w:eastAsia="Arial Unicode MS" w:hAnsi="Calibri" w:cs="Arial Unicode MS"/>
      <w:color w:val="000000"/>
      <w:u w:color="000000"/>
      <w:bdr w:val="nil"/>
      <w:lang w:val="en-US" w:eastAsia="pl-PL"/>
    </w:rPr>
  </w:style>
  <w:style w:type="table" w:styleId="LightShading">
    <w:name w:val="Light Shading"/>
    <w:basedOn w:val="TableNormal"/>
    <w:uiPriority w:val="60"/>
    <w:unhideWhenUsed/>
    <w:rsid w:val="00B101F6"/>
    <w:pPr>
      <w:pBdr>
        <w:top w:val="nil"/>
        <w:left w:val="nil"/>
        <w:bottom w:val="nil"/>
        <w:right w:val="nil"/>
        <w:between w:val="nil"/>
        <w:bar w:val="nil"/>
      </w:pBdr>
      <w:spacing w:after="0" w:line="240" w:lineRule="auto"/>
    </w:pPr>
    <w:rPr>
      <w:rFonts w:ascii="Times New Roman" w:eastAsia="Arial Unicode MS" w:hAnsi="Times New Roman" w:cs="Times New Roman"/>
      <w:color w:val="000000" w:themeColor="text1" w:themeShade="BF"/>
      <w:sz w:val="20"/>
      <w:szCs w:val="20"/>
      <w:bdr w:val="nil"/>
      <w:lang w:val="pl-PL" w:eastAsia="pl-P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B1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kardys@erasmusmc.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Andrzejczyk</dc:creator>
  <cp:keywords/>
  <dc:description/>
  <cp:lastModifiedBy>Karolina Andrzejczyk</cp:lastModifiedBy>
  <cp:revision>3</cp:revision>
  <dcterms:created xsi:type="dcterms:W3CDTF">2023-02-01T19:07:00Z</dcterms:created>
  <dcterms:modified xsi:type="dcterms:W3CDTF">2023-04-15T00:00:00Z</dcterms:modified>
</cp:coreProperties>
</file>