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rPr>
      </w:pPr>
      <w:r>
        <w:rPr>
          <w:rFonts w:hint="default" w:ascii="Times New Roman Bold" w:hAnsi="Times New Roman Bold" w:cs="Times New Roman Bold"/>
          <w:b/>
          <w:bCs/>
          <w:sz w:val="24"/>
        </w:rPr>
        <w:t>Supplementary Table 2.</w:t>
      </w:r>
      <w:r>
        <w:rPr>
          <w:rFonts w:ascii="Times New Roman" w:hAnsi="Times New Roman" w:cs="Times New Roman"/>
          <w:sz w:val="24"/>
        </w:rPr>
        <w:t xml:space="preserve"> Unadjusted and adjusted HRs (95% CI) for the association of baseline (1990-1992) cognition function with presence of atrial fibrillation</w:t>
      </w:r>
    </w:p>
    <w:tbl>
      <w:tblPr>
        <w:tblStyle w:val="2"/>
        <w:tblpPr w:leftFromText="180" w:rightFromText="180" w:vertAnchor="text" w:horzAnchor="page" w:tblpXSpec="center" w:tblpY="301"/>
        <w:tblOverlap w:val="never"/>
        <w:tblW w:w="9685" w:type="dxa"/>
        <w:jc w:val="center"/>
        <w:tblLayout w:type="fixed"/>
        <w:tblCellMar>
          <w:top w:w="0" w:type="dxa"/>
          <w:left w:w="0" w:type="dxa"/>
          <w:bottom w:w="0" w:type="dxa"/>
          <w:right w:w="0" w:type="dxa"/>
        </w:tblCellMar>
      </w:tblPr>
      <w:tblGrid>
        <w:gridCol w:w="1672"/>
        <w:gridCol w:w="1110"/>
        <w:gridCol w:w="2390"/>
        <w:gridCol w:w="1006"/>
        <w:gridCol w:w="2442"/>
        <w:gridCol w:w="1065"/>
      </w:tblGrid>
      <w:tr>
        <w:trPr>
          <w:trHeight w:val="735" w:hRule="atLeast"/>
          <w:jc w:val="center"/>
        </w:trPr>
        <w:tc>
          <w:tcPr>
            <w:tcW w:w="1672" w:type="dxa"/>
            <w:vMerge w:val="restart"/>
            <w:tcBorders>
              <w:top w:val="single" w:color="auto" w:sz="12" w:space="0"/>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Variable</w:t>
            </w:r>
          </w:p>
        </w:tc>
        <w:tc>
          <w:tcPr>
            <w:tcW w:w="1110" w:type="dxa"/>
            <w:vMerge w:val="restart"/>
            <w:tcBorders>
              <w:top w:val="single" w:color="auto" w:sz="12" w:space="0"/>
              <w:left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NewCenturySchlbk-Roman" w:cs="Times New Roman"/>
                <w:color w:val="231F20"/>
                <w:sz w:val="24"/>
              </w:rPr>
            </w:pPr>
            <w:r>
              <w:rPr>
                <w:rFonts w:ascii="Times New Roman" w:hAnsi="Times New Roman" w:eastAsia="NewCenturySchlbk-Roman" w:cs="Times New Roman"/>
                <w:color w:val="231F20"/>
                <w:kern w:val="0"/>
                <w:sz w:val="24"/>
                <w:lang w:bidi="ar"/>
              </w:rPr>
              <w:t>Quartile</w:t>
            </w:r>
          </w:p>
        </w:tc>
        <w:tc>
          <w:tcPr>
            <w:tcW w:w="3396" w:type="dxa"/>
            <w:gridSpan w:val="2"/>
            <w:tcBorders>
              <w:top w:val="single" w:color="auto" w:sz="12" w:space="0"/>
              <w:left w:val="nil"/>
              <w:bottom w:val="single" w:color="auto" w:sz="12"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Unadjusted</w:t>
            </w:r>
          </w:p>
        </w:tc>
        <w:tc>
          <w:tcPr>
            <w:tcW w:w="3507" w:type="dxa"/>
            <w:gridSpan w:val="2"/>
            <w:tcBorders>
              <w:top w:val="single" w:color="auto" w:sz="12" w:space="0"/>
              <w:left w:val="nil"/>
              <w:bottom w:val="single" w:color="auto" w:sz="12"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Adjusted</w:t>
            </w:r>
          </w:p>
        </w:tc>
      </w:tr>
      <w:tr>
        <w:trPr>
          <w:trHeight w:val="547" w:hRule="atLeast"/>
          <w:jc w:val="center"/>
        </w:trPr>
        <w:tc>
          <w:tcPr>
            <w:tcW w:w="1672" w:type="dxa"/>
            <w:vMerge w:val="continue"/>
            <w:tcBorders>
              <w:top w:val="nil"/>
              <w:left w:val="nil"/>
              <w:bottom w:val="single" w:color="auto" w:sz="12" w:space="0"/>
              <w:right w:val="nil"/>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vMerge w:val="continue"/>
            <w:tcBorders>
              <w:left w:val="nil"/>
              <w:bottom w:val="single" w:color="auto" w:sz="12" w:space="0"/>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2390" w:type="dxa"/>
            <w:tcBorders>
              <w:top w:val="single" w:color="auto" w:sz="12" w:space="0"/>
              <w:left w:val="nil"/>
              <w:bottom w:val="single" w:color="auto" w:sz="12"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eastAsia="zh-Hans" w:bidi="ar"/>
              </w:rPr>
              <w:t>H</w:t>
            </w:r>
            <w:r>
              <w:rPr>
                <w:rFonts w:ascii="Times New Roman" w:hAnsi="Times New Roman" w:eastAsia="宋体" w:cs="Times New Roman"/>
                <w:color w:val="000000"/>
                <w:kern w:val="0"/>
                <w:sz w:val="24"/>
                <w:lang w:bidi="ar"/>
              </w:rPr>
              <w:t>R (95% CI)</w:t>
            </w:r>
          </w:p>
        </w:tc>
        <w:tc>
          <w:tcPr>
            <w:tcW w:w="1006" w:type="dxa"/>
            <w:tcBorders>
              <w:top w:val="single" w:color="auto" w:sz="12" w:space="0"/>
              <w:left w:val="nil"/>
              <w:bottom w:val="single" w:color="auto" w:sz="12"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P</w:t>
            </w:r>
          </w:p>
        </w:tc>
        <w:tc>
          <w:tcPr>
            <w:tcW w:w="2442" w:type="dxa"/>
            <w:tcBorders>
              <w:top w:val="single" w:color="auto" w:sz="12" w:space="0"/>
              <w:left w:val="nil"/>
              <w:bottom w:val="single" w:color="auto" w:sz="12"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eastAsia="zh-Hans" w:bidi="ar"/>
              </w:rPr>
              <w:t>H</w:t>
            </w:r>
            <w:r>
              <w:rPr>
                <w:rFonts w:ascii="Times New Roman" w:hAnsi="Times New Roman" w:eastAsia="宋体" w:cs="Times New Roman"/>
                <w:color w:val="000000"/>
                <w:kern w:val="0"/>
                <w:sz w:val="24"/>
                <w:lang w:bidi="ar"/>
              </w:rPr>
              <w:t>R (95% CI)</w:t>
            </w:r>
          </w:p>
        </w:tc>
        <w:tc>
          <w:tcPr>
            <w:tcW w:w="1065" w:type="dxa"/>
            <w:tcBorders>
              <w:top w:val="single" w:color="auto" w:sz="12" w:space="0"/>
              <w:left w:val="nil"/>
              <w:bottom w:val="single" w:color="auto" w:sz="12"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P</w:t>
            </w:r>
            <w:bookmarkStart w:id="0" w:name="_GoBack"/>
            <w:bookmarkEnd w:id="0"/>
          </w:p>
        </w:tc>
      </w:tr>
      <w:tr>
        <w:trPr>
          <w:trHeight w:val="411" w:hRule="atLeast"/>
          <w:jc w:val="center"/>
        </w:trPr>
        <w:tc>
          <w:tcPr>
            <w:tcW w:w="1672" w:type="dxa"/>
            <w:tcBorders>
              <w:top w:val="single" w:color="auto" w:sz="12" w:space="0"/>
              <w:left w:val="nil"/>
              <w:bottom w:val="nil"/>
              <w:right w:val="nil"/>
            </w:tcBorders>
            <w:shd w:val="clear" w:color="auto" w:fill="auto"/>
            <w:noWrap/>
            <w:tcMar>
              <w:top w:w="12" w:type="dxa"/>
              <w:left w:w="12" w:type="dxa"/>
              <w:right w:w="12" w:type="dxa"/>
            </w:tcMar>
            <w:vAlign w:val="center"/>
          </w:tcPr>
          <w:p>
            <w:pPr>
              <w:widowControl/>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DWRT score</w:t>
            </w:r>
          </w:p>
        </w:tc>
        <w:tc>
          <w:tcPr>
            <w:tcW w:w="1110" w:type="dxa"/>
            <w:tcBorders>
              <w:top w:val="single" w:color="auto" w:sz="12" w:space="0"/>
              <w:left w:val="nil"/>
              <w:bottom w:val="nil"/>
              <w:right w:val="nil"/>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2390" w:type="dxa"/>
            <w:tcBorders>
              <w:top w:val="single" w:color="auto" w:sz="12" w:space="0"/>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06" w:type="dxa"/>
            <w:tcBorders>
              <w:top w:val="single" w:color="auto" w:sz="12" w:space="0"/>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single" w:color="auto" w:sz="12" w:space="0"/>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65" w:type="dxa"/>
            <w:tcBorders>
              <w:top w:val="single" w:color="auto" w:sz="12" w:space="0"/>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0.141</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Q1</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1.733 (1.460-2.057)</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1.207 (1.012-1.439)</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0.037</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Q2</w:t>
            </w:r>
          </w:p>
        </w:tc>
        <w:tc>
          <w:tcPr>
            <w:tcW w:w="2390" w:type="dxa"/>
            <w:tcBorders>
              <w:top w:val="nil"/>
              <w:left w:val="nil"/>
              <w:bottom w:val="nil"/>
              <w:right w:val="nil"/>
            </w:tcBorders>
            <w:shd w:val="clear" w:color="auto" w:fill="auto"/>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1.436 (1.199-1.721)</w:t>
            </w:r>
          </w:p>
        </w:tc>
        <w:tc>
          <w:tcPr>
            <w:tcW w:w="1006" w:type="dxa"/>
            <w:tcBorders>
              <w:top w:val="nil"/>
              <w:left w:val="nil"/>
              <w:bottom w:val="nil"/>
              <w:right w:val="nil"/>
            </w:tcBorders>
            <w:shd w:val="clear" w:color="auto" w:fill="auto"/>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1.161 (0.967-1.393)</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0.109</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Q3</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1.229 (1.015-1.487)</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0.034</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1.098 (0.907-1.329)</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0.339</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Q4</w:t>
            </w:r>
          </w:p>
        </w:tc>
        <w:tc>
          <w:tcPr>
            <w:tcW w:w="2390"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2442"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widowControl/>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DSST score</w:t>
            </w:r>
          </w:p>
        </w:tc>
        <w:tc>
          <w:tcPr>
            <w:tcW w:w="1110" w:type="dxa"/>
            <w:tcBorders>
              <w:top w:val="nil"/>
              <w:left w:val="nil"/>
              <w:bottom w:val="nil"/>
              <w:right w:val="nil"/>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0.011</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Q1</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1.810 (1.590-2.061)</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1.316 (1.120-1.546)</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0.001</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Q2</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1.681 (1.476-1.914)</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1.159 (1.010-1.330)</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0.036</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Q3</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1.400 (1.227-1.598)</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1.124 (0.983-1.285)</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0.088</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Q4</w:t>
            </w:r>
          </w:p>
        </w:tc>
        <w:tc>
          <w:tcPr>
            <w:tcW w:w="2390"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2442"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widowControl/>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WFT score</w:t>
            </w:r>
          </w:p>
        </w:tc>
        <w:tc>
          <w:tcPr>
            <w:tcW w:w="1110" w:type="dxa"/>
            <w:tcBorders>
              <w:top w:val="nil"/>
              <w:left w:val="nil"/>
              <w:bottom w:val="nil"/>
              <w:right w:val="nil"/>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0.081</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Q1</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1.424 (1.257-1.613)</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1.137 (0.991-1.305)</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0.068</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Q2</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1.123 (0.986-1.280)</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0.080</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0.997 (0.873-1.140)</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0.966</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Q3</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1.182 (1.040-1.344)</w:t>
            </w:r>
          </w:p>
        </w:tc>
        <w:tc>
          <w:tcPr>
            <w:tcW w:w="1006"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0.011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1.110 (0.976-1.264)</w:t>
            </w:r>
          </w:p>
        </w:tc>
        <w:tc>
          <w:tcPr>
            <w:tcW w:w="1065"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0.112</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Q4</w:t>
            </w:r>
          </w:p>
        </w:tc>
        <w:tc>
          <w:tcPr>
            <w:tcW w:w="2390"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2442"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t>
            </w:r>
          </w:p>
        </w:tc>
      </w:tr>
      <w:tr>
        <w:trPr>
          <w:trHeight w:val="526" w:hRule="atLeast"/>
          <w:jc w:val="center"/>
        </w:trPr>
        <w:tc>
          <w:tcPr>
            <w:tcW w:w="5172" w:type="dxa"/>
            <w:gridSpan w:val="3"/>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eastAsia="宋体" w:cs="Times New Roman"/>
                <w:color w:val="000000"/>
                <w:sz w:val="24"/>
              </w:rPr>
            </w:pPr>
            <w:r>
              <w:rPr>
                <w:rFonts w:ascii="Times New Roman" w:hAnsi="Times New Roman" w:eastAsia="Arial-BoldMT" w:cs="Times New Roman"/>
                <w:color w:val="000000"/>
                <w:kern w:val="0"/>
                <w:sz w:val="24"/>
                <w:lang w:bidi="ar"/>
              </w:rPr>
              <w:t>Language domain factor score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.029</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Q1</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1.441 (1.277-1.625)</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1.148 (1.004-1.311)</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.043</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Q2</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1.098 (0.963-1.251)</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.164</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0.968 (0.847-1.107)</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.636</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Q3</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1.185 (1.043-1.345)</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.009</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1.099 (0.967-1.248)</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lang w:eastAsia="zh-Hans"/>
              </w:rPr>
              <w:t>0.150</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Q4</w:t>
            </w:r>
          </w:p>
        </w:tc>
        <w:tc>
          <w:tcPr>
            <w:tcW w:w="2390"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2442"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t>
            </w:r>
          </w:p>
        </w:tc>
      </w:tr>
      <w:tr>
        <w:trPr>
          <w:trHeight w:val="526" w:hRule="atLeast"/>
          <w:jc w:val="center"/>
        </w:trPr>
        <w:tc>
          <w:tcPr>
            <w:tcW w:w="5172" w:type="dxa"/>
            <w:gridSpan w:val="3"/>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eastAsia="宋体" w:cs="Times New Roman"/>
                <w:color w:val="000000"/>
                <w:sz w:val="24"/>
              </w:rPr>
            </w:pPr>
            <w:r>
              <w:rPr>
                <w:rFonts w:ascii="Times New Roman" w:hAnsi="Times New Roman" w:eastAsia="Arial-BoldMT" w:cs="Times New Roman"/>
                <w:color w:val="000000"/>
                <w:kern w:val="0"/>
                <w:sz w:val="24"/>
                <w:lang w:bidi="ar"/>
              </w:rPr>
              <w:t>Memory domain factor score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.049</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Q1</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1.547 (1.362-1.759)</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1.105 (0.966-1.263)</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.146</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Q2</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1.331 (1.171-1.513)</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1.132 (0.994-1.288)</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.061</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Q3</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1.028 (0.885-1.195)</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.716</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0.961 (0.826-1.117)</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.602</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Q4</w:t>
            </w:r>
          </w:p>
        </w:tc>
        <w:tc>
          <w:tcPr>
            <w:tcW w:w="2390"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2442"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t>
            </w:r>
          </w:p>
        </w:tc>
      </w:tr>
      <w:tr>
        <w:trPr>
          <w:trHeight w:val="455" w:hRule="atLeast"/>
          <w:jc w:val="center"/>
        </w:trPr>
        <w:tc>
          <w:tcPr>
            <w:tcW w:w="5172" w:type="dxa"/>
            <w:gridSpan w:val="3"/>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eastAsia="宋体" w:cs="Times New Roman"/>
                <w:color w:val="000000"/>
                <w:sz w:val="24"/>
              </w:rPr>
            </w:pPr>
            <w:r>
              <w:rPr>
                <w:rFonts w:ascii="Times New Roman" w:hAnsi="Times New Roman" w:eastAsia="Arial-BoldMT" w:cs="Times New Roman"/>
                <w:color w:val="000000"/>
                <w:kern w:val="0"/>
                <w:sz w:val="24"/>
                <w:lang w:bidi="ar"/>
              </w:rPr>
              <w:t>Executive functioning domain factor score</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.002</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Q1</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1.796 (1.579-2.042)</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1.365 (1.162-1.604)</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Q2</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1.667 (1.468-1.893)</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1.170 (1.022-1.339)</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.023</w:t>
            </w:r>
          </w:p>
        </w:tc>
      </w:tr>
      <w:tr>
        <w:trPr>
          <w:trHeight w:val="364" w:hRule="atLeast"/>
          <w:jc w:val="center"/>
        </w:trPr>
        <w:tc>
          <w:tcPr>
            <w:tcW w:w="167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Q3</w:t>
            </w: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1.366 (1.199-1.556)</w:t>
            </w:r>
          </w:p>
        </w:tc>
        <w:tc>
          <w:tcPr>
            <w:tcW w:w="1006"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sz w:val="24"/>
              </w:rPr>
              <w:t>&lt;0.001</w:t>
            </w:r>
          </w:p>
        </w:tc>
        <w:tc>
          <w:tcPr>
            <w:tcW w:w="2442" w:type="dxa"/>
            <w:tcBorders>
              <w:top w:val="nil"/>
              <w:left w:val="nil"/>
              <w:bottom w:val="nil"/>
              <w:right w:val="nil"/>
            </w:tcBorders>
            <w:shd w:val="clear" w:color="auto" w:fill="auto"/>
            <w:noWrap/>
            <w:tcMar>
              <w:top w:w="12" w:type="dxa"/>
              <w:left w:w="12" w:type="dxa"/>
              <w:right w:w="12" w:type="dxa"/>
            </w:tcMar>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1.116 (0.977-1.274)</w:t>
            </w:r>
          </w:p>
        </w:tc>
        <w:tc>
          <w:tcPr>
            <w:tcW w:w="1065"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lang w:eastAsia="zh-Hans"/>
              </w:rPr>
            </w:pPr>
            <w:r>
              <w:rPr>
                <w:rFonts w:ascii="Times New Roman" w:hAnsi="Times New Roman" w:eastAsia="宋体" w:cs="Times New Roman"/>
                <w:color w:val="000000"/>
                <w:sz w:val="24"/>
              </w:rPr>
              <w:t>0</w:t>
            </w:r>
            <w:r>
              <w:rPr>
                <w:rFonts w:ascii="Times New Roman" w:hAnsi="Times New Roman" w:eastAsia="宋体" w:cs="Times New Roman"/>
                <w:color w:val="000000"/>
                <w:sz w:val="24"/>
                <w:lang w:eastAsia="zh-Hans"/>
              </w:rPr>
              <w:t>.105</w:t>
            </w:r>
          </w:p>
        </w:tc>
      </w:tr>
      <w:tr>
        <w:trPr>
          <w:trHeight w:val="411" w:hRule="atLeast"/>
          <w:jc w:val="center"/>
        </w:trPr>
        <w:tc>
          <w:tcPr>
            <w:tcW w:w="1672" w:type="dxa"/>
            <w:tcBorders>
              <w:top w:val="nil"/>
              <w:left w:val="nil"/>
              <w:bottom w:val="single" w:color="auto" w:sz="12" w:space="0"/>
              <w:right w:val="nil"/>
            </w:tcBorders>
            <w:shd w:val="clear" w:color="auto" w:fill="auto"/>
            <w:noWrap/>
            <w:tcMar>
              <w:top w:w="12" w:type="dxa"/>
              <w:left w:w="12" w:type="dxa"/>
              <w:right w:w="12" w:type="dxa"/>
            </w:tcMar>
            <w:vAlign w:val="center"/>
          </w:tcPr>
          <w:p>
            <w:pPr>
              <w:jc w:val="center"/>
              <w:rPr>
                <w:rFonts w:ascii="Times New Roman" w:hAnsi="Times New Roman" w:eastAsia="宋体" w:cs="Times New Roman"/>
                <w:color w:val="000000"/>
                <w:sz w:val="24"/>
              </w:rPr>
            </w:pPr>
          </w:p>
        </w:tc>
        <w:tc>
          <w:tcPr>
            <w:tcW w:w="1110" w:type="dxa"/>
            <w:tcBorders>
              <w:top w:val="nil"/>
              <w:left w:val="nil"/>
              <w:bottom w:val="single" w:color="auto" w:sz="12"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Q4</w:t>
            </w:r>
          </w:p>
        </w:tc>
        <w:tc>
          <w:tcPr>
            <w:tcW w:w="2390" w:type="dxa"/>
            <w:tcBorders>
              <w:top w:val="nil"/>
              <w:left w:val="nil"/>
              <w:bottom w:val="single" w:color="auto" w:sz="12" w:space="0"/>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06" w:type="dxa"/>
            <w:tcBorders>
              <w:top w:val="nil"/>
              <w:left w:val="nil"/>
              <w:bottom w:val="single" w:color="auto" w:sz="12" w:space="0"/>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t>
            </w:r>
          </w:p>
        </w:tc>
        <w:tc>
          <w:tcPr>
            <w:tcW w:w="2442" w:type="dxa"/>
            <w:tcBorders>
              <w:top w:val="nil"/>
              <w:left w:val="nil"/>
              <w:bottom w:val="single" w:color="auto" w:sz="12" w:space="0"/>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Reference</w:t>
            </w:r>
          </w:p>
        </w:tc>
        <w:tc>
          <w:tcPr>
            <w:tcW w:w="1065" w:type="dxa"/>
            <w:tcBorders>
              <w:top w:val="nil"/>
              <w:left w:val="nil"/>
              <w:bottom w:val="single" w:color="auto" w:sz="12" w:space="0"/>
              <w:right w:val="nil"/>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w:t>
            </w:r>
          </w:p>
        </w:tc>
      </w:tr>
    </w:tbl>
    <w:p>
      <w:pPr>
        <w:autoSpaceDE w:val="0"/>
        <w:spacing w:line="360" w:lineRule="auto"/>
        <w:rPr>
          <w:rFonts w:ascii="Times New Roman" w:hAnsi="Times New Roman" w:eastAsia="宋体" w:cs="Times New Roman"/>
          <w:sz w:val="24"/>
        </w:rPr>
      </w:pPr>
      <w:r>
        <w:rPr>
          <w:rFonts w:ascii="Times New Roman" w:hAnsi="Times New Roman" w:eastAsia="宋体" w:cs="Times New Roman"/>
          <w:sz w:val="24"/>
          <w:lang w:bidi="ar"/>
        </w:rPr>
        <w:t xml:space="preserve">Univariate and multivariate Cox regression analysis between cognition function and presence of atrial fibrillation. Multivariate Cox regression was adjusted by </w:t>
      </w:r>
      <w:r>
        <w:rPr>
          <w:rFonts w:ascii="Times New Roman" w:hAnsi="Times New Roman" w:eastAsia="宋体" w:cs="Times New Roman"/>
          <w:color w:val="000000"/>
          <w:kern w:val="0"/>
          <w:sz w:val="24"/>
          <w:lang w:bidi="ar"/>
        </w:rPr>
        <w:t xml:space="preserve">age (&lt;57, ≥57), sex, center-race, education (&lt;high school, high school, or &gt;high school), annual household income (&lt;16 000, 16 000 to 35 000, or &gt;35 000), smoking (never, former, current), drinking (never, former, current), body mass index, systolic blood pressure, heart rate, total cholesterol, triglycerides, high density lipoprotein, hypertension, diabetes, and chronic obstructive pulmonary disease. HR, hazard ratio; CI, confidence interval; </w:t>
      </w:r>
      <w:r>
        <w:rPr>
          <w:rFonts w:ascii="Times New Roman" w:hAnsi="Times New Roman" w:eastAsia="宋体" w:cs="Times New Roman"/>
          <w:sz w:val="24"/>
          <w:lang w:bidi="ar"/>
        </w:rPr>
        <w:t>DSST, Digit Symbol Substitution Test; WFT, Word Fluency Test; DWRT, Delayed Word Recall Test.</w:t>
      </w:r>
    </w:p>
    <w:p>
      <w:pPr>
        <w:rPr>
          <w:rFonts w:ascii="Times New Roman" w:hAnsi="Times New Roman" w:cs="Times New Roman"/>
          <w:sz w:val="24"/>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imes New Roman Bold">
    <w:panose1 w:val="02020603050405020304"/>
    <w:charset w:val="00"/>
    <w:family w:val="auto"/>
    <w:pitch w:val="default"/>
    <w:sig w:usb0="00000000" w:usb1="00000000" w:usb2="00000000" w:usb3="00000000" w:csb0="00000000" w:csb1="00000000"/>
  </w:font>
  <w:font w:name="NewCenturySchlbk-Roman">
    <w:altName w:val="苹方-简"/>
    <w:panose1 w:val="020B060402020202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Arial-BoldMT">
    <w:panose1 w:val="020B060402020202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7041D"/>
    <w:rsid w:val="7F77041D"/>
    <w:rsid w:val="9767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2022-12-08T06:27:00Z</dcterms:created>
  <dc:creator>洲</dc:creator>
  <cp:lastModifiedBy>洲</cp:lastModifiedBy>
  <dcterms:modified xsi:type="dcterms:W3CDTF">2023-07-01T10:29:24Z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ADFADE6FD4142B6CDFA29063B2D1B118</vt:lpwstr>
  </property>
</Properties>
</file>