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</w:pPr>
      <w:r>
        <w:rPr>
          <w:rFonts w:hint="default" w:ascii="Times New Roman Bold" w:hAnsi="Times New Roman Bold" w:cs="Times New Roman Bold"/>
          <w:b/>
          <w:bCs/>
          <w:sz w:val="24"/>
        </w:rPr>
        <w:t>Supplementary Table 1.</w:t>
      </w:r>
      <w:r>
        <w:rPr>
          <w:rFonts w:ascii="Times New Roman" w:hAnsi="Times New Roman" w:cs="Times New Roman"/>
          <w:sz w:val="24"/>
        </w:rPr>
        <w:t xml:space="preserve"> Baseline (1990-1992) 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 xml:space="preserve">participant </w:t>
      </w:r>
      <w:r>
        <w:rPr>
          <w:rFonts w:ascii="Times New Roman" w:hAnsi="Times New Roman" w:cs="Times New Roman"/>
          <w:sz w:val="24"/>
        </w:rPr>
        <w:t xml:space="preserve">characteristics by quartile of 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>global cognition z-score</w:t>
      </w:r>
      <w:bookmarkStart w:id="0" w:name="_GoBack"/>
      <w:bookmarkEnd w:id="0"/>
    </w:p>
    <w:p>
      <w:pP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</w:pPr>
    </w:p>
    <w:tbl>
      <w:tblPr>
        <w:tblStyle w:val="2"/>
        <w:tblW w:w="13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"/>
        <w:gridCol w:w="3273"/>
        <w:gridCol w:w="2101"/>
        <w:gridCol w:w="2100"/>
        <w:gridCol w:w="2271"/>
        <w:gridCol w:w="2325"/>
        <w:gridCol w:w="1404"/>
      </w:tblGrid>
      <w:tr>
        <w:trPr>
          <w:trHeight w:val="375" w:hRule="atLeast"/>
          <w:jc w:val="center"/>
        </w:trPr>
        <w:tc>
          <w:tcPr>
            <w:tcW w:w="3570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Characteristic</w:t>
            </w:r>
          </w:p>
        </w:tc>
        <w:tc>
          <w:tcPr>
            <w:tcW w:w="10201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Global cognition z-score (N=11675)</w:t>
            </w:r>
          </w:p>
        </w:tc>
      </w:tr>
      <w:tr>
        <w:trPr>
          <w:trHeight w:val="375" w:hRule="atLeast"/>
          <w:jc w:val="center"/>
        </w:trPr>
        <w:tc>
          <w:tcPr>
            <w:tcW w:w="357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Q1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Q2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Q3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Q4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</w:t>
            </w:r>
          </w:p>
        </w:tc>
      </w:tr>
      <w:tr>
        <w:trPr>
          <w:trHeight w:val="330" w:hRule="atLeast"/>
          <w:jc w:val="center"/>
        </w:trPr>
        <w:tc>
          <w:tcPr>
            <w:tcW w:w="357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(N=2920)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(N=2916)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(N=2919)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(N=2920)</w:t>
            </w: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Demographic Variables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Age, years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58.8 ± 5.59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57.4 ± 5.67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56.8 ± 5.64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55.3 ± 5.40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Male sex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1291 (44.2)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1457 (50.0)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1683 (57.7)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1947 (66.7)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Americans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1571 (53.8)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2373 (81.4)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2553 (87.5)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2726 (93.4)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Education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Less than high school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1447 (49.6)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569 (19.5)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257 (8.80)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94 (3.22)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High school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773 (26.5)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1061 (36.4)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1014 (34.7)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842 (28.8)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College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700 (24.0)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1286 (44.1)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1648 (56.5)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1984 (67.9)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Income, US$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&lt;16 000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1240 (42.5)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536 (18.4)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304 (10.4)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172 (5.89)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16 000-35 000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1057 (36.2)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1084 (37.2)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1024 (35.1)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762 (26.1)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&gt;35 000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623 (21.3)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1296 (44.4)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1591 (54.5)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1986 (68.0)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Smoking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Never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1046 (35.8)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1144 (39.2)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1197 (41.0)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1243 (42.6)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Former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1063 (36.4)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1085 (37.2)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1120 (38.4)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1182 (40.5)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Current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811 (27.8)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687 (23.6)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602 (20.6)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495 (17.0)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Drinking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Never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824 (28.2)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694 (23.8)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552 (18.9)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464 (15.9)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Former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908 (31.1)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592 (20.3)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473 (16.2)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375 (12.8)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Current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1188 (40.7)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1630 (55.9)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1894 (64.9)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2081 (71.3)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Physiological and Lab Variables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Body mass index, kg/m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28.9 ± 5.62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28.0 ± 5.29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27.6 ± 5.07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27.0 ± 5.07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SBP, mmHg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123 (112, 137)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118 (108, 130)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118 (108, 131)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115 (106, 127)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DBP, mmHg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73.0 (66.0, 80.0)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71.0 (65.0, 78.0)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71.0 (65.0, 78.0)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71.0 (65.0, 78.0)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Heart rate, /min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65.0 (58.0, 73.0)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65.0 (59.0, 72.0)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64.0 (59.0, 71.0)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64.0 (59.0, 71.0)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0.023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Total cholesterol, mmol/l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5.44 ± 1.04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5.39 ± 1.02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5.42 ± 1.00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5.40 ± 0.95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0.220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HDL, mmol/l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1.23 ± 0.42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1.23 ± 0.41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1.29 ± 0.42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1.36 ± 0.45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LDL, mmol/l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3.52 ± 0.98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3.46 ± 0.97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3.46 ± 0.93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3.38 ± 0.92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Triglycerides, mmol/l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1.49 ± 0.78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1.51 ± 0.75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1.47 ± 0.72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1.41 ± 0.72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Creatinine, mg/dl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1.20 ± 0.37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1.15 ± 0.42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1.13 ± 0.20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1.11 ± 0.17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Blood glucose, mmol/l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5.88 (5.44, 6.61)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5.72 (5.33, 6.27)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5.66 (5.27, 6.16)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5.61 (5.22, 6.05)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15" w:hRule="atLeast"/>
          <w:jc w:val="center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Chronic Medical Conditions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Hypertension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1160 (39.7)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824 (28.3)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754 (25.8)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585 (20.0)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00" w:hRule="atLeast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Diabetes mellitus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654 (22.4)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421 (14.4)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334 (11.4)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222 (7.60)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  <w:tr>
        <w:trPr>
          <w:trHeight w:val="315" w:hRule="atLeast"/>
          <w:jc w:val="center"/>
        </w:trPr>
        <w:tc>
          <w:tcPr>
            <w:tcW w:w="2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COPD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734 (25.1)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 701 (24.0)    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 654 (22.4)   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 563 (19.3)   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&lt;0.001  </w:t>
            </w:r>
          </w:p>
        </w:tc>
      </w:tr>
    </w:tbl>
    <w:p>
      <w:pPr>
        <w:tabs>
          <w:tab w:val="left" w:pos="5422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Values are expressed as n (%), mean 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 xml:space="preserve">± SD,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>median (25th, 75th)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4"/>
          <w:lang w:bidi="ar"/>
        </w:rPr>
        <w:t>Global cognition z-score was calculated by computing the mean from the z score versions of the DSST, WFT, and DWRT administered during the visit 2. SBP, systolic blood pressure; DBP, diastolic blood pressure; HDL, high density lipoprotein; LDL, Low density lipoprotein; COPD, chronic obstructive pulmonary disease; DSST, Digit Symbol Substitution Test; WFT, Word Fluency Test; DWRT, Delayed Word Recall Test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855B"/>
    <w:rsid w:val="3D7B8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2022-12-07T22:25:00Z</dcterms:created>
  <dc:creator>洲</dc:creator>
  <cp:lastModifiedBy>洲</cp:lastModifiedBy>
  <dcterms:modified xsi:type="dcterms:W3CDTF">2022-12-07T22:27:30Z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845D372A241897484AA290635101D0A4</vt:lpwstr>
  </property>
</Properties>
</file>