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887C5" w14:textId="7BE0F5DC" w:rsidR="002A0951" w:rsidRDefault="002A0951" w:rsidP="002A0951">
      <w:pPr>
        <w:spacing w:line="480" w:lineRule="auto"/>
        <w:rPr>
          <w:rFonts w:ascii="Times New Roman" w:hAnsi="Times New Roman"/>
          <w:color w:val="000000"/>
          <w:sz w:val="24"/>
        </w:rPr>
      </w:pPr>
    </w:p>
    <w:p w14:paraId="485F9AF7" w14:textId="26645F0B" w:rsidR="002A0951" w:rsidRPr="00405D74" w:rsidRDefault="00405D74" w:rsidP="00405D74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rFonts w:ascii="Arial" w:eastAsia="Arial" w:hAnsi="Arial" w:cs="Arial"/>
          <w:noProof/>
          <w:color w:val="595959"/>
        </w:rPr>
        <w:drawing>
          <wp:inline distT="0" distB="0" distL="0" distR="0" wp14:anchorId="575ED7A8" wp14:editId="6C84314E">
            <wp:extent cx="4034118" cy="7574915"/>
            <wp:effectExtent l="0" t="0" r="5080" b="0"/>
            <wp:docPr id="2" name="图片 2" descr="电脑屏幕的照片上有文字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屏幕的照片上有文字&#10;&#10;低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95" cy="76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DA3C" w14:textId="724104EB" w:rsidR="00405D74" w:rsidRDefault="00405D74" w:rsidP="00405D74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Supplementary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hint="eastAsia"/>
          <w:color w:val="000000"/>
          <w:sz w:val="24"/>
        </w:rPr>
        <w:t>Figure</w:t>
      </w:r>
      <w:r>
        <w:rPr>
          <w:rFonts w:ascii="Times New Roman" w:hAnsi="Times New Roman"/>
          <w:color w:val="000000"/>
          <w:sz w:val="24"/>
        </w:rPr>
        <w:t xml:space="preserve"> </w:t>
      </w:r>
      <w:r w:rsidR="00DF5039"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 xml:space="preserve">: </w:t>
      </w:r>
    </w:p>
    <w:p w14:paraId="32B4A7D9" w14:textId="57980373" w:rsidR="00823AFF" w:rsidRDefault="00405D74" w:rsidP="00823AFF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Pooled</w:t>
      </w:r>
      <w:r w:rsidRPr="00756632">
        <w:rPr>
          <w:rFonts w:ascii="Times New Roman" w:hAnsi="Times New Roman" w:hint="eastAsia"/>
          <w:color w:val="000000"/>
          <w:sz w:val="24"/>
        </w:rPr>
        <w:t xml:space="preserve"> relative risks of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hint="eastAsia"/>
          <w:color w:val="000000"/>
          <w:sz w:val="24"/>
        </w:rPr>
        <w:t>MACE</w:t>
      </w:r>
      <w:r>
        <w:rPr>
          <w:rFonts w:ascii="Times New Roman" w:hAnsi="Times New Roman"/>
          <w:color w:val="000000"/>
          <w:sz w:val="24"/>
        </w:rPr>
        <w:t>,</w:t>
      </w:r>
      <w:r w:rsidRPr="00756632">
        <w:rPr>
          <w:rFonts w:ascii="Times New Roman" w:hAnsi="Times New Roman" w:hint="eastAsia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cardiac death, MI, ischemic stroke, and ST </w:t>
      </w:r>
      <w:r w:rsidRPr="00BA7959">
        <w:rPr>
          <w:rFonts w:ascii="Times New Roman" w:hAnsi="Times New Roman"/>
          <w:color w:val="000000"/>
          <w:sz w:val="24"/>
        </w:rPr>
        <w:t xml:space="preserve">in </w:t>
      </w:r>
      <w:r>
        <w:rPr>
          <w:rFonts w:ascii="Times New Roman" w:hAnsi="Times New Roman" w:hint="eastAsia"/>
          <w:color w:val="000000"/>
          <w:sz w:val="24"/>
        </w:rPr>
        <w:t>the</w:t>
      </w:r>
      <w:r>
        <w:rPr>
          <w:rFonts w:ascii="Times New Roman" w:hAnsi="Times New Roman"/>
          <w:color w:val="000000"/>
          <w:sz w:val="24"/>
        </w:rPr>
        <w:t xml:space="preserve"> post </w:t>
      </w:r>
      <w:r>
        <w:rPr>
          <w:rFonts w:ascii="Times New Roman" w:hAnsi="Times New Roman"/>
          <w:color w:val="000000"/>
          <w:sz w:val="24"/>
        </w:rPr>
        <w:lastRenderedPageBreak/>
        <w:t xml:space="preserve">PCI bivalirudin infusion subgroup of </w:t>
      </w:r>
      <w:r w:rsidRPr="00BA7959">
        <w:rPr>
          <w:rFonts w:ascii="Times New Roman" w:hAnsi="Times New Roman"/>
          <w:color w:val="000000"/>
          <w:sz w:val="24"/>
        </w:rPr>
        <w:t xml:space="preserve">patients </w:t>
      </w:r>
      <w:r>
        <w:rPr>
          <w:rFonts w:ascii="Times New Roman" w:hAnsi="Times New Roman" w:hint="eastAsia"/>
          <w:color w:val="000000"/>
          <w:sz w:val="24"/>
        </w:rPr>
        <w:t>using</w:t>
      </w:r>
      <w:r w:rsidRPr="00BA7959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hint="eastAsia"/>
          <w:color w:val="000000"/>
          <w:sz w:val="24"/>
        </w:rPr>
        <w:t>bivalirudin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756632">
        <w:rPr>
          <w:rFonts w:ascii="Times New Roman" w:hAnsi="Times New Roman" w:hint="eastAsia"/>
          <w:color w:val="000000"/>
          <w:sz w:val="24"/>
        </w:rPr>
        <w:t xml:space="preserve">vs. </w:t>
      </w:r>
      <w:r>
        <w:rPr>
          <w:rFonts w:ascii="Times New Roman" w:hAnsi="Times New Roman" w:hint="eastAsia"/>
          <w:color w:val="000000"/>
          <w:sz w:val="24"/>
        </w:rPr>
        <w:t>heparin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hint="eastAsia"/>
          <w:color w:val="000000"/>
          <w:sz w:val="24"/>
        </w:rPr>
        <w:t>during</w:t>
      </w:r>
      <w:r>
        <w:rPr>
          <w:rFonts w:ascii="Times New Roman" w:hAnsi="Times New Roman"/>
          <w:color w:val="000000"/>
          <w:sz w:val="24"/>
        </w:rPr>
        <w:t xml:space="preserve"> procedure</w:t>
      </w:r>
      <w:r w:rsidRPr="00756632">
        <w:rPr>
          <w:rFonts w:ascii="Times New Roman" w:hAnsi="Times New Roman" w:hint="eastAsia"/>
          <w:color w:val="000000"/>
          <w:sz w:val="24"/>
        </w:rPr>
        <w:t xml:space="preserve">. </w:t>
      </w:r>
      <w:r w:rsidRPr="002A0951">
        <w:rPr>
          <w:rFonts w:ascii="Times New Roman" w:hAnsi="Times New Roman" w:hint="eastAsia"/>
          <w:color w:val="000000"/>
          <w:sz w:val="24"/>
        </w:rPr>
        <w:t>M</w:t>
      </w:r>
      <w:r w:rsidRPr="002A0951">
        <w:rPr>
          <w:rFonts w:ascii="Times New Roman" w:hAnsi="Times New Roman"/>
          <w:color w:val="000000"/>
          <w:sz w:val="24"/>
        </w:rPr>
        <w:t xml:space="preserve">ACE, </w:t>
      </w:r>
      <w:r w:rsidRPr="002A0951">
        <w:rPr>
          <w:rFonts w:ascii="Times New Roman" w:hAnsi="Times New Roman" w:hint="eastAsia"/>
          <w:color w:val="000000"/>
          <w:sz w:val="24"/>
        </w:rPr>
        <w:t>main</w:t>
      </w:r>
      <w:r w:rsidRPr="002A0951">
        <w:rPr>
          <w:rFonts w:ascii="Times New Roman" w:hAnsi="Times New Roman"/>
          <w:color w:val="000000"/>
          <w:sz w:val="24"/>
        </w:rPr>
        <w:t xml:space="preserve"> </w:t>
      </w:r>
      <w:r w:rsidRPr="002A0951">
        <w:rPr>
          <w:rFonts w:ascii="Times New Roman" w:hAnsi="Times New Roman" w:hint="eastAsia"/>
          <w:color w:val="000000"/>
          <w:sz w:val="24"/>
        </w:rPr>
        <w:t>a</w:t>
      </w:r>
      <w:r w:rsidRPr="002A0951">
        <w:rPr>
          <w:rFonts w:ascii="Times New Roman" w:hAnsi="Times New Roman"/>
          <w:color w:val="000000"/>
          <w:sz w:val="24"/>
        </w:rPr>
        <w:t xml:space="preserve">dverse clinical events; </w:t>
      </w:r>
      <w:r w:rsidRPr="002A0951">
        <w:rPr>
          <w:rFonts w:ascii="Times New Roman" w:hAnsi="Times New Roman" w:hint="eastAsia"/>
          <w:color w:val="000000"/>
          <w:sz w:val="24"/>
        </w:rPr>
        <w:t>MI,</w:t>
      </w:r>
      <w:r w:rsidRPr="002A0951">
        <w:rPr>
          <w:rFonts w:ascii="Times New Roman" w:hAnsi="Times New Roman"/>
          <w:color w:val="000000"/>
          <w:sz w:val="24"/>
        </w:rPr>
        <w:t xml:space="preserve"> myocardial infarction; ST, stent thrombosis.</w:t>
      </w:r>
      <w:r w:rsidR="00823AFF">
        <w:rPr>
          <w:rFonts w:ascii="Times New Roman" w:hAnsi="Times New Roman"/>
          <w:color w:val="000000"/>
          <w:sz w:val="24"/>
        </w:rPr>
        <w:br w:type="page"/>
      </w:r>
    </w:p>
    <w:p w14:paraId="271414F2" w14:textId="77777777" w:rsidR="00405D74" w:rsidRPr="002A0951" w:rsidRDefault="00405D74" w:rsidP="00405D74">
      <w:pPr>
        <w:spacing w:line="480" w:lineRule="auto"/>
        <w:rPr>
          <w:rFonts w:ascii="Times New Roman" w:hAnsi="Times New Roman"/>
          <w:color w:val="000000"/>
          <w:sz w:val="24"/>
        </w:rPr>
      </w:pPr>
    </w:p>
    <w:p w14:paraId="14564480" w14:textId="273468D6" w:rsidR="00D71337" w:rsidRPr="00405D74" w:rsidRDefault="00405D74" w:rsidP="00405D74">
      <w:pPr>
        <w:spacing w:line="360" w:lineRule="auto"/>
        <w:jc w:val="left"/>
        <w:rPr>
          <w:rFonts w:ascii="Arial" w:eastAsia="Arial" w:hAnsi="Arial" w:cs="Arial"/>
          <w:color w:val="595959"/>
        </w:rPr>
      </w:pPr>
      <w:r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3D9FD74C" wp14:editId="2BEC66E7">
            <wp:extent cx="4022035" cy="6203504"/>
            <wp:effectExtent l="0" t="0" r="4445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86" cy="623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1D2F" w14:textId="54CE2697" w:rsidR="00477042" w:rsidRDefault="00477042" w:rsidP="00477042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Supplementary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hint="eastAsia"/>
          <w:color w:val="000000"/>
          <w:sz w:val="24"/>
        </w:rPr>
        <w:t>Figure</w:t>
      </w:r>
      <w:r>
        <w:rPr>
          <w:rFonts w:ascii="Times New Roman" w:hAnsi="Times New Roman"/>
          <w:color w:val="000000"/>
          <w:sz w:val="24"/>
        </w:rPr>
        <w:t xml:space="preserve"> </w:t>
      </w:r>
      <w:r w:rsidR="00DF5039">
        <w:rPr>
          <w:rFonts w:ascii="Times New Roman" w:hAnsi="Times New Roman"/>
          <w:color w:val="000000"/>
          <w:sz w:val="24"/>
        </w:rPr>
        <w:t>2</w:t>
      </w:r>
      <w:r>
        <w:rPr>
          <w:rFonts w:ascii="Times New Roman" w:hAnsi="Times New Roman"/>
          <w:color w:val="000000"/>
          <w:sz w:val="24"/>
        </w:rPr>
        <w:t xml:space="preserve">: </w:t>
      </w:r>
    </w:p>
    <w:p w14:paraId="2D5A44CA" w14:textId="377AEEE9" w:rsidR="00D71337" w:rsidRPr="00405D74" w:rsidRDefault="00405D74" w:rsidP="00405D74">
      <w:pPr>
        <w:spacing w:line="360" w:lineRule="auto"/>
        <w:rPr>
          <w:rFonts w:ascii="Times New Roman" w:hAnsi="Times New Roman"/>
          <w:color w:val="000000"/>
          <w:sz w:val="24"/>
        </w:rPr>
      </w:pPr>
      <w:r w:rsidRPr="00405D74">
        <w:rPr>
          <w:rFonts w:ascii="Times New Roman" w:hAnsi="Times New Roman"/>
          <w:color w:val="000000"/>
          <w:sz w:val="24"/>
        </w:rPr>
        <w:t>Pooled relative risks of NACE,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hint="eastAsia"/>
          <w:color w:val="000000"/>
          <w:sz w:val="24"/>
        </w:rPr>
        <w:t>MACE</w:t>
      </w:r>
      <w:r>
        <w:rPr>
          <w:rFonts w:ascii="Times New Roman" w:hAnsi="Times New Roman"/>
          <w:color w:val="000000"/>
          <w:sz w:val="24"/>
        </w:rPr>
        <w:t>, all-cause death,</w:t>
      </w:r>
      <w:r w:rsidRPr="00405D74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stroke, MI, </w:t>
      </w:r>
      <w:r w:rsidRPr="00405D74">
        <w:rPr>
          <w:rFonts w:ascii="Times New Roman" w:hAnsi="Times New Roman"/>
          <w:color w:val="000000"/>
          <w:sz w:val="24"/>
        </w:rPr>
        <w:t>ST, and major bleeding in patients receiving bivalirudin vs. heparin in the</w:t>
      </w:r>
      <w:r>
        <w:rPr>
          <w:rFonts w:ascii="Times New Roman" w:hAnsi="Times New Roman"/>
          <w:color w:val="000000"/>
          <w:sz w:val="24"/>
        </w:rPr>
        <w:t xml:space="preserve"> RCT</w:t>
      </w:r>
      <w:r w:rsidRPr="00405D74">
        <w:rPr>
          <w:rFonts w:ascii="Times New Roman" w:hAnsi="Times New Roman"/>
          <w:color w:val="000000"/>
          <w:sz w:val="24"/>
        </w:rPr>
        <w:t xml:space="preserve"> subgroup. Major bleeding was defined as a bleeding event of Bleeding Academic Research Consortium (BARC) type 2, 3, and 5 or BARC 3 and 5 according to included studies. NACE, net adverse clinical events;</w:t>
      </w:r>
      <w:r>
        <w:rPr>
          <w:rFonts w:ascii="Times New Roman" w:hAnsi="Times New Roman"/>
          <w:color w:val="000000"/>
          <w:sz w:val="24"/>
        </w:rPr>
        <w:t xml:space="preserve"> MACE, main adverse cardiac events;</w:t>
      </w:r>
      <w:r w:rsidRPr="00405D74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MI, myocardial infarction; </w:t>
      </w:r>
      <w:r w:rsidRPr="00405D74">
        <w:rPr>
          <w:rFonts w:ascii="Times New Roman" w:hAnsi="Times New Roman"/>
          <w:color w:val="000000"/>
          <w:sz w:val="24"/>
        </w:rPr>
        <w:t>ST, stent thrombosis.</w:t>
      </w:r>
    </w:p>
    <w:sectPr w:rsidR="00D71337" w:rsidRPr="00405D74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4FC6F" w14:textId="77777777" w:rsidR="0091284B" w:rsidRDefault="0091284B">
      <w:r>
        <w:separator/>
      </w:r>
    </w:p>
  </w:endnote>
  <w:endnote w:type="continuationSeparator" w:id="0">
    <w:p w14:paraId="2B26F8B4" w14:textId="77777777" w:rsidR="0091284B" w:rsidRDefault="00912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64262" w14:textId="77777777" w:rsidR="0091284B" w:rsidRDefault="0091284B">
      <w:r>
        <w:separator/>
      </w:r>
    </w:p>
  </w:footnote>
  <w:footnote w:type="continuationSeparator" w:id="0">
    <w:p w14:paraId="4A593BAD" w14:textId="77777777" w:rsidR="0091284B" w:rsidRDefault="00912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800FA"/>
    <w:multiLevelType w:val="hybridMultilevel"/>
    <w:tmpl w:val="5EF2D1F4"/>
    <w:lvl w:ilvl="0" w:tplc="2880FD68">
      <w:start w:val="1"/>
      <w:numFmt w:val="bullet"/>
      <w:lvlText w:val="·"/>
      <w:lvlJc w:val="left"/>
      <w:pPr>
        <w:ind w:left="720" w:hanging="349"/>
      </w:pPr>
      <w:rPr>
        <w:rFonts w:ascii="Symbol" w:eastAsia="Symbol" w:hAnsi="Symbol" w:cs="Symbol"/>
      </w:rPr>
    </w:lvl>
    <w:lvl w:ilvl="1" w:tplc="48567F16">
      <w:start w:val="1"/>
      <w:numFmt w:val="bullet"/>
      <w:lvlText w:val="o"/>
      <w:lvlJc w:val="left"/>
      <w:pPr>
        <w:ind w:left="1440" w:hanging="349"/>
      </w:pPr>
      <w:rPr>
        <w:rFonts w:ascii="Courier New" w:eastAsia="Courier New" w:hAnsi="Courier New" w:cs="Courier New"/>
      </w:rPr>
    </w:lvl>
    <w:lvl w:ilvl="2" w:tplc="F4C48848">
      <w:start w:val="1"/>
      <w:numFmt w:val="bullet"/>
      <w:lvlText w:val="§"/>
      <w:lvlJc w:val="left"/>
      <w:pPr>
        <w:ind w:left="2160" w:hanging="349"/>
      </w:pPr>
      <w:rPr>
        <w:rFonts w:ascii="Wingdings" w:eastAsia="Wingdings" w:hAnsi="Wingdings" w:cs="Wingdings"/>
      </w:rPr>
    </w:lvl>
    <w:lvl w:ilvl="3" w:tplc="DC2ADA38">
      <w:start w:val="1"/>
      <w:numFmt w:val="bullet"/>
      <w:lvlText w:val="·"/>
      <w:lvlJc w:val="left"/>
      <w:pPr>
        <w:ind w:left="2880" w:hanging="349"/>
      </w:pPr>
      <w:rPr>
        <w:rFonts w:ascii="Symbol" w:eastAsia="Symbol" w:hAnsi="Symbol" w:cs="Symbol"/>
      </w:rPr>
    </w:lvl>
    <w:lvl w:ilvl="4" w:tplc="2FFA0B28">
      <w:start w:val="1"/>
      <w:numFmt w:val="bullet"/>
      <w:lvlText w:val="o"/>
      <w:lvlJc w:val="left"/>
      <w:pPr>
        <w:ind w:left="3600" w:hanging="349"/>
      </w:pPr>
      <w:rPr>
        <w:rFonts w:ascii="Courier New" w:eastAsia="Courier New" w:hAnsi="Courier New" w:cs="Courier New"/>
      </w:rPr>
    </w:lvl>
    <w:lvl w:ilvl="5" w:tplc="461298DA">
      <w:start w:val="1"/>
      <w:numFmt w:val="bullet"/>
      <w:lvlText w:val="§"/>
      <w:lvlJc w:val="left"/>
      <w:pPr>
        <w:ind w:left="4320" w:hanging="349"/>
      </w:pPr>
      <w:rPr>
        <w:rFonts w:ascii="Wingdings" w:eastAsia="Wingdings" w:hAnsi="Wingdings" w:cs="Wingdings"/>
      </w:rPr>
    </w:lvl>
    <w:lvl w:ilvl="6" w:tplc="84A661AC">
      <w:start w:val="1"/>
      <w:numFmt w:val="bullet"/>
      <w:lvlText w:val="·"/>
      <w:lvlJc w:val="left"/>
      <w:pPr>
        <w:ind w:left="5040" w:hanging="349"/>
      </w:pPr>
      <w:rPr>
        <w:rFonts w:ascii="Symbol" w:eastAsia="Symbol" w:hAnsi="Symbol" w:cs="Symbol"/>
      </w:rPr>
    </w:lvl>
    <w:lvl w:ilvl="7" w:tplc="8FBEE008">
      <w:start w:val="1"/>
      <w:numFmt w:val="bullet"/>
      <w:lvlText w:val="o"/>
      <w:lvlJc w:val="left"/>
      <w:pPr>
        <w:ind w:left="5760" w:hanging="349"/>
      </w:pPr>
      <w:rPr>
        <w:rFonts w:ascii="Courier New" w:eastAsia="Courier New" w:hAnsi="Courier New" w:cs="Courier New"/>
      </w:rPr>
    </w:lvl>
    <w:lvl w:ilvl="8" w:tplc="1B026392">
      <w:start w:val="1"/>
      <w:numFmt w:val="bullet"/>
      <w:lvlText w:val="§"/>
      <w:lvlJc w:val="left"/>
      <w:pPr>
        <w:ind w:left="6480" w:hanging="349"/>
      </w:pPr>
      <w:rPr>
        <w:rFonts w:ascii="Wingdings" w:eastAsia="Wingdings" w:hAnsi="Wingdings" w:cs="Wingdings"/>
      </w:rPr>
    </w:lvl>
  </w:abstractNum>
  <w:num w:numId="1" w16cid:durableId="1152525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5E"/>
    <w:rsid w:val="00080A5E"/>
    <w:rsid w:val="00186CCF"/>
    <w:rsid w:val="002A0951"/>
    <w:rsid w:val="002A21C5"/>
    <w:rsid w:val="003D6951"/>
    <w:rsid w:val="00405D74"/>
    <w:rsid w:val="00466BD6"/>
    <w:rsid w:val="00477042"/>
    <w:rsid w:val="005A2CE6"/>
    <w:rsid w:val="005D46E8"/>
    <w:rsid w:val="005F5C82"/>
    <w:rsid w:val="00823AFF"/>
    <w:rsid w:val="0091284B"/>
    <w:rsid w:val="00AA2F6A"/>
    <w:rsid w:val="00B47AAB"/>
    <w:rsid w:val="00D54C57"/>
    <w:rsid w:val="00D71337"/>
    <w:rsid w:val="00D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10CEB"/>
  <w15:docId w15:val="{8BA4CA94-8D0E-1A41-9F24-D6009F1DC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1"/>
        <w:szCs w:val="22"/>
        <w:lang w:val="en-US" w:eastAsia="zh-CN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40" w:after="330" w:line="578" w:lineRule="auto"/>
      <w:outlineLvl w:val="0"/>
    </w:pPr>
    <w:rPr>
      <w:b/>
      <w:bCs/>
      <w:sz w:val="44"/>
      <w:szCs w:val="4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basedOn w:val="Domylnaczcionkaakapitu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Bezodstpw">
    <w:name w:val="No Spacing"/>
    <w:uiPriority w:val="1"/>
    <w:qFormat/>
  </w:style>
  <w:style w:type="paragraph" w:styleId="Tytu">
    <w:name w:val="Title"/>
    <w:basedOn w:val="Normalny"/>
    <w:next w:val="Normalny"/>
    <w:link w:val="TytuZnak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before="200" w:after="200"/>
    </w:pPr>
    <w:rPr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StopkaZnak">
    <w:name w:val="Stopka Znak"/>
    <w:basedOn w:val="Domylnaczcionkaakapitu"/>
    <w:link w:val="Stopka"/>
    <w:uiPriority w:val="99"/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ipercze">
    <w:name w:val="Hyperlink"/>
    <w:uiPriority w:val="99"/>
    <w:unhideWhenUsed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40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paragraph" w:styleId="Spistreci1">
    <w:name w:val="toc 1"/>
    <w:basedOn w:val="Normalny"/>
    <w:next w:val="Normalny"/>
    <w:uiPriority w:val="39"/>
    <w:unhideWhenUsed/>
    <w:pPr>
      <w:spacing w:after="57"/>
    </w:pPr>
  </w:style>
  <w:style w:type="paragraph" w:styleId="Spistreci2">
    <w:name w:val="toc 2"/>
    <w:basedOn w:val="Normalny"/>
    <w:next w:val="Normalny"/>
    <w:uiPriority w:val="39"/>
    <w:unhideWhenUsed/>
    <w:pPr>
      <w:spacing w:after="57"/>
      <w:ind w:left="283"/>
    </w:pPr>
  </w:style>
  <w:style w:type="paragraph" w:styleId="Spistreci3">
    <w:name w:val="toc 3"/>
    <w:basedOn w:val="Normalny"/>
    <w:next w:val="Normalny"/>
    <w:uiPriority w:val="39"/>
    <w:unhideWhenUsed/>
    <w:pPr>
      <w:spacing w:after="57"/>
      <w:ind w:left="567"/>
    </w:pPr>
  </w:style>
  <w:style w:type="paragraph" w:styleId="Spistreci4">
    <w:name w:val="toc 4"/>
    <w:basedOn w:val="Normalny"/>
    <w:next w:val="Normalny"/>
    <w:uiPriority w:val="39"/>
    <w:unhideWhenUsed/>
    <w:pPr>
      <w:spacing w:after="57"/>
      <w:ind w:left="850"/>
    </w:pPr>
  </w:style>
  <w:style w:type="paragraph" w:styleId="Spistreci5">
    <w:name w:val="toc 5"/>
    <w:basedOn w:val="Normalny"/>
    <w:next w:val="Normalny"/>
    <w:uiPriority w:val="39"/>
    <w:unhideWhenUsed/>
    <w:pPr>
      <w:spacing w:after="57"/>
      <w:ind w:left="1134"/>
    </w:pPr>
  </w:style>
  <w:style w:type="paragraph" w:styleId="Spistreci6">
    <w:name w:val="toc 6"/>
    <w:basedOn w:val="Normalny"/>
    <w:next w:val="Normalny"/>
    <w:uiPriority w:val="39"/>
    <w:unhideWhenUsed/>
    <w:pPr>
      <w:spacing w:after="57"/>
      <w:ind w:left="1417"/>
    </w:pPr>
  </w:style>
  <w:style w:type="paragraph" w:styleId="Spistreci7">
    <w:name w:val="toc 7"/>
    <w:basedOn w:val="Normalny"/>
    <w:next w:val="Normalny"/>
    <w:uiPriority w:val="39"/>
    <w:unhideWhenUsed/>
    <w:pPr>
      <w:spacing w:after="57"/>
      <w:ind w:left="1701"/>
    </w:pPr>
  </w:style>
  <w:style w:type="paragraph" w:styleId="Spistreci8">
    <w:name w:val="toc 8"/>
    <w:basedOn w:val="Normalny"/>
    <w:next w:val="Normalny"/>
    <w:uiPriority w:val="39"/>
    <w:unhideWhenUsed/>
    <w:pPr>
      <w:spacing w:after="57"/>
      <w:ind w:left="1984"/>
    </w:pPr>
  </w:style>
  <w:style w:type="paragraph" w:styleId="Spistreci9">
    <w:name w:val="toc 9"/>
    <w:basedOn w:val="Normalny"/>
    <w:next w:val="Normalny"/>
    <w:uiPriority w:val="39"/>
    <w:unhideWhenUsed/>
    <w:pPr>
      <w:spacing w:after="57"/>
      <w:ind w:left="2268"/>
    </w:pPr>
  </w:style>
  <w:style w:type="paragraph" w:styleId="Nagwekspisutreci">
    <w:name w:val="TOC Heading"/>
    <w:uiPriority w:val="39"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Arial"/>
      </a:majorFont>
      <a:minorFont>
        <a:latin typeface="Calibri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</Words>
  <Characters>648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Tymek Kałużny</dc:creator>
  <cp:lastModifiedBy>Tymek Kałużny</cp:lastModifiedBy>
  <cp:revision>2</cp:revision>
  <dcterms:created xsi:type="dcterms:W3CDTF">2022-07-25T14:08:00Z</dcterms:created>
  <dcterms:modified xsi:type="dcterms:W3CDTF">2022-07-25T14:08:00Z</dcterms:modified>
</cp:coreProperties>
</file>