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EA" w:rsidRPr="00573C3D" w:rsidRDefault="00E15314" w:rsidP="005F20C2">
      <w:pPr>
        <w:jc w:val="center"/>
        <w:rPr>
          <w:b/>
          <w:lang w:val="en-GB"/>
        </w:rPr>
      </w:pPr>
      <w:r w:rsidRPr="00573C3D">
        <w:rPr>
          <w:b/>
          <w:lang w:val="en-GB"/>
        </w:rPr>
        <w:t>A</w:t>
      </w:r>
      <w:r w:rsidR="007B0BBF" w:rsidRPr="00573C3D">
        <w:rPr>
          <w:b/>
          <w:lang w:val="en-GB"/>
        </w:rPr>
        <w:t>mioda</w:t>
      </w:r>
      <w:r w:rsidR="001E4EF5" w:rsidRPr="00573C3D">
        <w:rPr>
          <w:b/>
          <w:lang w:val="en-GB"/>
        </w:rPr>
        <w:t>r</w:t>
      </w:r>
      <w:r w:rsidRPr="00573C3D">
        <w:rPr>
          <w:b/>
          <w:lang w:val="en-GB"/>
        </w:rPr>
        <w:t>one or</w:t>
      </w:r>
      <w:r w:rsidR="00966BFC" w:rsidRPr="00573C3D">
        <w:rPr>
          <w:b/>
          <w:lang w:val="en-GB"/>
        </w:rPr>
        <w:t xml:space="preserve"> V</w:t>
      </w:r>
      <w:r w:rsidR="007B0BBF" w:rsidRPr="00573C3D">
        <w:rPr>
          <w:b/>
          <w:lang w:val="en-GB"/>
        </w:rPr>
        <w:t>e</w:t>
      </w:r>
      <w:r w:rsidR="003B73EA" w:rsidRPr="00573C3D">
        <w:rPr>
          <w:b/>
          <w:lang w:val="en-GB"/>
        </w:rPr>
        <w:t xml:space="preserve">rapamil </w:t>
      </w:r>
      <w:r w:rsidR="007B0BBF" w:rsidRPr="00573C3D">
        <w:rPr>
          <w:b/>
          <w:lang w:val="en-GB"/>
        </w:rPr>
        <w:t xml:space="preserve">in </w:t>
      </w:r>
      <w:r w:rsidR="003B73EA" w:rsidRPr="00573C3D">
        <w:rPr>
          <w:b/>
          <w:lang w:val="en-GB"/>
        </w:rPr>
        <w:t>COVID-19</w:t>
      </w:r>
      <w:r w:rsidRPr="00573C3D">
        <w:rPr>
          <w:b/>
          <w:lang w:val="en-GB"/>
        </w:rPr>
        <w:t xml:space="preserve"> </w:t>
      </w:r>
      <w:r w:rsidR="007B0BBF" w:rsidRPr="00573C3D">
        <w:rPr>
          <w:b/>
          <w:lang w:val="en-GB"/>
        </w:rPr>
        <w:t>hospitalize</w:t>
      </w:r>
      <w:r w:rsidRPr="00573C3D">
        <w:rPr>
          <w:b/>
          <w:lang w:val="en-GB"/>
        </w:rPr>
        <w:t>d patients</w:t>
      </w:r>
      <w:r w:rsidR="000A165B" w:rsidRPr="00573C3D">
        <w:rPr>
          <w:b/>
          <w:lang w:val="en-GB"/>
        </w:rPr>
        <w:t xml:space="preserve"> with symptoms</w:t>
      </w:r>
      <w:r w:rsidR="00E71D06" w:rsidRPr="00573C3D">
        <w:rPr>
          <w:b/>
          <w:lang w:val="en-GB"/>
        </w:rPr>
        <w:t xml:space="preserve">: Randomized clinical trial </w:t>
      </w:r>
    </w:p>
    <w:p w:rsidR="001720DD" w:rsidRPr="00573C3D" w:rsidRDefault="001720DD" w:rsidP="005F20C2">
      <w:pPr>
        <w:jc w:val="center"/>
        <w:rPr>
          <w:b/>
          <w:lang w:val="en-GB"/>
        </w:rPr>
      </w:pPr>
    </w:p>
    <w:p w:rsidR="003B73EA" w:rsidRPr="00573C3D" w:rsidRDefault="003B73EA" w:rsidP="005F20C2">
      <w:pPr>
        <w:jc w:val="center"/>
        <w:rPr>
          <w:b/>
          <w:lang w:val="en-GB"/>
        </w:rPr>
      </w:pPr>
      <w:r w:rsidRPr="00573C3D">
        <w:rPr>
          <w:b/>
          <w:lang w:val="en-GB"/>
        </w:rPr>
        <w:t xml:space="preserve">The </w:t>
      </w:r>
      <w:proofErr w:type="spellStart"/>
      <w:r w:rsidRPr="00573C3D">
        <w:rPr>
          <w:b/>
          <w:lang w:val="en-GB"/>
        </w:rPr>
        <w:t>ReCOVery</w:t>
      </w:r>
      <w:proofErr w:type="spellEnd"/>
      <w:r w:rsidR="0065358A" w:rsidRPr="00573C3D">
        <w:rPr>
          <w:b/>
          <w:lang w:val="en-GB"/>
        </w:rPr>
        <w:t>-SIRIO</w:t>
      </w:r>
      <w:r w:rsidR="00E75599" w:rsidRPr="00573C3D">
        <w:rPr>
          <w:b/>
          <w:lang w:val="en-GB"/>
        </w:rPr>
        <w:t xml:space="preserve"> </w:t>
      </w:r>
      <w:r w:rsidRPr="00573C3D">
        <w:rPr>
          <w:b/>
          <w:lang w:val="en-GB"/>
        </w:rPr>
        <w:t xml:space="preserve">randomized study </w:t>
      </w:r>
    </w:p>
    <w:p w:rsidR="00E31C0D" w:rsidRPr="00573C3D" w:rsidRDefault="00E31C0D" w:rsidP="005F20C2">
      <w:pPr>
        <w:jc w:val="center"/>
        <w:rPr>
          <w:b/>
          <w:lang w:val="en-GB"/>
        </w:rPr>
      </w:pPr>
    </w:p>
    <w:p w:rsidR="00E31C0D" w:rsidRPr="00573C3D" w:rsidRDefault="00E31C0D" w:rsidP="005F20C2">
      <w:pPr>
        <w:jc w:val="center"/>
        <w:rPr>
          <w:lang w:val="en-GB"/>
        </w:rPr>
      </w:pPr>
      <w:r w:rsidRPr="00573C3D">
        <w:rPr>
          <w:b/>
          <w:lang w:val="en-GB"/>
        </w:rPr>
        <w:t xml:space="preserve">No. EudraCT: </w:t>
      </w:r>
      <w:r w:rsidRPr="00573C3D">
        <w:rPr>
          <w:lang w:val="en-GB"/>
        </w:rPr>
        <w:t>2020-001951-42</w:t>
      </w:r>
    </w:p>
    <w:p w:rsidR="00405745" w:rsidRPr="00573C3D" w:rsidRDefault="00405745" w:rsidP="005F20C2">
      <w:pPr>
        <w:jc w:val="center"/>
        <w:rPr>
          <w:b/>
          <w:lang w:val="en-GB"/>
        </w:rPr>
      </w:pPr>
    </w:p>
    <w:p w:rsidR="00405745" w:rsidRPr="00573C3D" w:rsidRDefault="00405745" w:rsidP="005F20C2">
      <w:pPr>
        <w:jc w:val="center"/>
        <w:rPr>
          <w:b/>
          <w:lang w:val="en-GB"/>
        </w:rPr>
      </w:pPr>
    </w:p>
    <w:p w:rsidR="00405745" w:rsidRPr="00573C3D" w:rsidRDefault="00956C27" w:rsidP="005F20C2">
      <w:pPr>
        <w:jc w:val="center"/>
        <w:rPr>
          <w:b/>
          <w:lang w:val="en-GB"/>
        </w:rPr>
      </w:pPr>
      <w:r>
        <w:rPr>
          <w:b/>
          <w:noProof/>
        </w:rPr>
        <w:drawing>
          <wp:inline distT="0" distB="0" distL="0" distR="0">
            <wp:extent cx="3697548" cy="857692"/>
            <wp:effectExtent l="0" t="0" r="0" b="0"/>
            <wp:docPr id="4" name="Immagine 4" descr="C:\Users\A. Russo G. Navarese\Desktop\COVID-19\RECOVERY study\RECOVERY-SIRIO FINAL\LOGO\RECOVSIRIO4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 Russo G. Navarese\Desktop\COVID-19\RECOVERY study\RECOVERY-SIRIO FINAL\LOGO\RECOVSIRIO4bis.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9954" cy="865209"/>
                    </a:xfrm>
                    <a:prstGeom prst="rect">
                      <a:avLst/>
                    </a:prstGeom>
                    <a:noFill/>
                    <a:ln>
                      <a:noFill/>
                    </a:ln>
                  </pic:spPr>
                </pic:pic>
              </a:graphicData>
            </a:graphic>
          </wp:inline>
        </w:drawing>
      </w:r>
    </w:p>
    <w:p w:rsidR="00DC550E" w:rsidRPr="00573C3D" w:rsidRDefault="00DC550E">
      <w:pPr>
        <w:widowControl w:val="0"/>
        <w:autoSpaceDE w:val="0"/>
        <w:autoSpaceDN w:val="0"/>
        <w:adjustRightInd w:val="0"/>
        <w:rPr>
          <w:color w:val="000000"/>
          <w:lang w:val="en-GB"/>
        </w:rPr>
      </w:pPr>
    </w:p>
    <w:p w:rsidR="006C3B06" w:rsidRPr="00E12918" w:rsidRDefault="00604672">
      <w:pPr>
        <w:widowControl w:val="0"/>
        <w:autoSpaceDE w:val="0"/>
        <w:autoSpaceDN w:val="0"/>
        <w:adjustRightInd w:val="0"/>
        <w:jc w:val="center"/>
        <w:rPr>
          <w:color w:val="000000"/>
          <w:lang w:val="it-IT"/>
        </w:rPr>
      </w:pPr>
      <w:r w:rsidRPr="00E12918">
        <w:rPr>
          <w:rFonts w:cs="Calibri"/>
          <w:color w:val="000000"/>
          <w:lang w:val="it-IT"/>
        </w:rPr>
        <w:t>Prof Eliano P. Navarese, MD, PhD, FESC, FACC</w:t>
      </w:r>
      <w:r w:rsidRPr="00E12918">
        <w:rPr>
          <w:rFonts w:cs="Calibri"/>
          <w:color w:val="000000"/>
          <w:vertAlign w:val="superscript"/>
          <w:lang w:val="it-IT"/>
        </w:rPr>
        <w:t>1,2</w:t>
      </w:r>
      <w:r w:rsidRPr="00E12918">
        <w:rPr>
          <w:rFonts w:cs="Calibri"/>
          <w:color w:val="000000"/>
          <w:lang w:val="it-IT"/>
        </w:rPr>
        <w:t xml:space="preserve">; </w:t>
      </w:r>
    </w:p>
    <w:p w:rsidR="005A59BF" w:rsidRPr="00573C3D" w:rsidRDefault="00894E5D">
      <w:pPr>
        <w:widowControl w:val="0"/>
        <w:autoSpaceDE w:val="0"/>
        <w:autoSpaceDN w:val="0"/>
        <w:adjustRightInd w:val="0"/>
        <w:jc w:val="center"/>
        <w:rPr>
          <w:color w:val="000000"/>
          <w:vertAlign w:val="superscript"/>
          <w:lang w:val="en-GB"/>
        </w:rPr>
      </w:pPr>
      <w:r w:rsidRPr="00573C3D">
        <w:rPr>
          <w:color w:val="000000"/>
          <w:lang w:val="en-GB"/>
        </w:rPr>
        <w:t xml:space="preserve">Prof </w:t>
      </w:r>
      <w:r w:rsidR="006C3B06" w:rsidRPr="00573C3D">
        <w:rPr>
          <w:color w:val="000000"/>
          <w:lang w:val="en-GB"/>
        </w:rPr>
        <w:t xml:space="preserve">Jacek Kubica, </w:t>
      </w:r>
      <w:r w:rsidR="006C3B06" w:rsidRPr="00573C3D">
        <w:rPr>
          <w:rFonts w:cs="Calibri"/>
          <w:color w:val="000000"/>
          <w:lang w:val="en-GB"/>
        </w:rPr>
        <w:t>MD, PhD, FESC</w:t>
      </w:r>
      <w:r w:rsidR="00BB79C6">
        <w:rPr>
          <w:rFonts w:cs="Calibri"/>
          <w:color w:val="000000"/>
          <w:vertAlign w:val="superscript"/>
          <w:lang w:val="en-GB"/>
        </w:rPr>
        <w:t>1</w:t>
      </w:r>
    </w:p>
    <w:p w:rsidR="00DC550E" w:rsidRPr="00573C3D" w:rsidRDefault="00DC550E">
      <w:pPr>
        <w:widowControl w:val="0"/>
        <w:autoSpaceDE w:val="0"/>
        <w:autoSpaceDN w:val="0"/>
        <w:adjustRightInd w:val="0"/>
        <w:jc w:val="center"/>
        <w:rPr>
          <w:color w:val="000000"/>
          <w:lang w:val="en-GB"/>
        </w:rPr>
      </w:pPr>
    </w:p>
    <w:p w:rsidR="00B629DF" w:rsidRPr="00573C3D" w:rsidRDefault="005A59BF">
      <w:pPr>
        <w:jc w:val="center"/>
        <w:rPr>
          <w:color w:val="000000"/>
          <w:lang w:val="en-GB"/>
        </w:rPr>
      </w:pPr>
      <w:r w:rsidRPr="00573C3D">
        <w:rPr>
          <w:rFonts w:cs="Calibri"/>
          <w:color w:val="000000"/>
          <w:vertAlign w:val="superscript"/>
          <w:lang w:val="en-GB"/>
        </w:rPr>
        <w:t>1</w:t>
      </w:r>
      <w:r w:rsidRPr="00573C3D">
        <w:rPr>
          <w:rFonts w:cs="Calibri"/>
          <w:color w:val="000000"/>
          <w:lang w:val="en-GB"/>
        </w:rPr>
        <w:t xml:space="preserve">Department of Cardiology, </w:t>
      </w:r>
      <w:proofErr w:type="spellStart"/>
      <w:r w:rsidRPr="00573C3D">
        <w:rPr>
          <w:rFonts w:cs="Calibri"/>
          <w:color w:val="000000"/>
          <w:lang w:val="en-GB"/>
        </w:rPr>
        <w:t>Collegium</w:t>
      </w:r>
      <w:proofErr w:type="spellEnd"/>
      <w:r w:rsidRPr="00573C3D">
        <w:rPr>
          <w:rFonts w:cs="Calibri"/>
          <w:color w:val="000000"/>
          <w:lang w:val="en-GB"/>
        </w:rPr>
        <w:t xml:space="preserve"> </w:t>
      </w:r>
      <w:proofErr w:type="spellStart"/>
      <w:r w:rsidRPr="00573C3D">
        <w:rPr>
          <w:rFonts w:cs="Calibri"/>
          <w:color w:val="000000"/>
          <w:lang w:val="en-GB"/>
        </w:rPr>
        <w:t>Medicum</w:t>
      </w:r>
      <w:proofErr w:type="spellEnd"/>
      <w:r w:rsidRPr="00573C3D">
        <w:rPr>
          <w:rFonts w:cs="Calibri"/>
          <w:color w:val="000000"/>
          <w:lang w:val="en-GB"/>
        </w:rPr>
        <w:t xml:space="preserve">, </w:t>
      </w:r>
      <w:proofErr w:type="spellStart"/>
      <w:r w:rsidRPr="00573C3D">
        <w:rPr>
          <w:rFonts w:cs="Calibri"/>
          <w:color w:val="000000"/>
          <w:lang w:val="en-GB"/>
        </w:rPr>
        <w:t>Nicolaus</w:t>
      </w:r>
      <w:proofErr w:type="spellEnd"/>
      <w:r w:rsidRPr="00573C3D">
        <w:rPr>
          <w:rFonts w:cs="Calibri"/>
          <w:color w:val="000000"/>
          <w:lang w:val="en-GB"/>
        </w:rPr>
        <w:t xml:space="preserve"> Copernicus University, Bydgoszcz, Poland and SIRIO MEDICINE </w:t>
      </w:r>
      <w:r w:rsidR="00E5465D" w:rsidRPr="00573C3D">
        <w:rPr>
          <w:rFonts w:cs="Calibri"/>
          <w:color w:val="000000"/>
          <w:lang w:val="en-GB"/>
        </w:rPr>
        <w:t xml:space="preserve">research </w:t>
      </w:r>
      <w:r w:rsidRPr="00573C3D">
        <w:rPr>
          <w:rFonts w:cs="Calibri"/>
          <w:color w:val="000000"/>
          <w:lang w:val="en-GB"/>
        </w:rPr>
        <w:t xml:space="preserve">network </w:t>
      </w:r>
    </w:p>
    <w:p w:rsidR="005A59BF" w:rsidRPr="00E12918" w:rsidRDefault="005A59BF">
      <w:pPr>
        <w:jc w:val="center"/>
        <w:rPr>
          <w:rFonts w:cs="Calibri"/>
          <w:color w:val="000000"/>
          <w:lang w:val="it-IT"/>
        </w:rPr>
      </w:pPr>
    </w:p>
    <w:p w:rsidR="00AF0F61" w:rsidRPr="00E12918" w:rsidRDefault="00AF0F61" w:rsidP="00AF0F61">
      <w:pPr>
        <w:rPr>
          <w:rFonts w:cs="Calibri"/>
          <w:color w:val="000000"/>
          <w:lang w:val="it-IT"/>
        </w:rPr>
      </w:pPr>
    </w:p>
    <w:p w:rsidR="007C3088" w:rsidRPr="00573C3D" w:rsidRDefault="00604672" w:rsidP="00AF0F61">
      <w:pPr>
        <w:jc w:val="center"/>
        <w:rPr>
          <w:rFonts w:cs="Calibri"/>
          <w:color w:val="000000"/>
          <w:lang w:val="en-GB"/>
        </w:rPr>
      </w:pPr>
      <w:r w:rsidRPr="00604672">
        <w:rPr>
          <w:rFonts w:cs="Calibri"/>
          <w:color w:val="000000"/>
          <w:lang w:val="en-GB"/>
        </w:rPr>
        <w:t>Study sponsor</w:t>
      </w:r>
      <w:r w:rsidR="0041459E">
        <w:rPr>
          <w:rFonts w:cs="Calibri"/>
          <w:color w:val="000000"/>
          <w:lang w:val="en-GB"/>
        </w:rPr>
        <w:t>:</w:t>
      </w:r>
      <w:r w:rsidRPr="00604672">
        <w:rPr>
          <w:rFonts w:cs="Calibri"/>
          <w:color w:val="000000"/>
          <w:lang w:val="en-GB"/>
        </w:rPr>
        <w:t xml:space="preserve"> Nicolaus Copernicus University in </w:t>
      </w:r>
      <w:proofErr w:type="spellStart"/>
      <w:r w:rsidRPr="00604672">
        <w:rPr>
          <w:rFonts w:cs="Calibri"/>
          <w:color w:val="000000"/>
          <w:lang w:val="en-GB"/>
        </w:rPr>
        <w:t>Toruń</w:t>
      </w:r>
      <w:proofErr w:type="spellEnd"/>
      <w:r w:rsidRPr="00604672">
        <w:rPr>
          <w:rFonts w:cs="Calibri"/>
          <w:color w:val="000000"/>
          <w:lang w:val="en-GB"/>
        </w:rPr>
        <w:t>, Poland.</w:t>
      </w:r>
    </w:p>
    <w:p w:rsidR="00E31C0D" w:rsidRPr="00573C3D" w:rsidRDefault="00604672" w:rsidP="00AF0F61">
      <w:pPr>
        <w:jc w:val="center"/>
        <w:rPr>
          <w:rFonts w:cs="Calibri"/>
          <w:color w:val="000000"/>
          <w:lang w:val="en-GB"/>
        </w:rPr>
      </w:pPr>
      <w:r w:rsidRPr="00604672">
        <w:rPr>
          <w:rFonts w:cs="Calibri"/>
          <w:color w:val="000000"/>
          <w:lang w:val="en-GB"/>
        </w:rPr>
        <w:t xml:space="preserve">Address: Ul. </w:t>
      </w:r>
      <w:proofErr w:type="spellStart"/>
      <w:r w:rsidRPr="00604672">
        <w:rPr>
          <w:rFonts w:cs="Calibri"/>
          <w:color w:val="000000"/>
          <w:lang w:val="en-GB"/>
        </w:rPr>
        <w:t>Gagarina</w:t>
      </w:r>
      <w:proofErr w:type="spellEnd"/>
      <w:r w:rsidRPr="00604672">
        <w:rPr>
          <w:rFonts w:cs="Calibri"/>
          <w:color w:val="000000"/>
          <w:lang w:val="en-GB"/>
        </w:rPr>
        <w:t xml:space="preserve"> 11; 87-100 </w:t>
      </w:r>
      <w:proofErr w:type="spellStart"/>
      <w:r w:rsidRPr="00604672">
        <w:rPr>
          <w:rFonts w:cs="Calibri"/>
          <w:color w:val="000000"/>
          <w:lang w:val="en-GB"/>
        </w:rPr>
        <w:t>Toruń</w:t>
      </w:r>
      <w:proofErr w:type="spellEnd"/>
      <w:r w:rsidRPr="00604672">
        <w:rPr>
          <w:rFonts w:cs="Calibri"/>
          <w:color w:val="000000"/>
          <w:lang w:val="en-GB"/>
        </w:rPr>
        <w:t>, Poland.</w:t>
      </w:r>
    </w:p>
    <w:p w:rsidR="009E26A5" w:rsidRPr="00573C3D" w:rsidRDefault="009E26A5" w:rsidP="009E26A5">
      <w:pPr>
        <w:ind w:left="1418" w:firstLine="709"/>
        <w:rPr>
          <w:rFonts w:cs="Calibri"/>
          <w:color w:val="000000"/>
          <w:lang w:val="en-GB"/>
        </w:rPr>
      </w:pPr>
    </w:p>
    <w:p w:rsidR="009E26A5" w:rsidRPr="00573C3D" w:rsidRDefault="00604672" w:rsidP="009E26A5">
      <w:pPr>
        <w:ind w:left="1418" w:firstLine="709"/>
        <w:rPr>
          <w:rFonts w:cs="Calibri"/>
          <w:color w:val="000000"/>
          <w:lang w:val="en-GB"/>
        </w:rPr>
      </w:pPr>
      <w:r w:rsidRPr="00604672">
        <w:rPr>
          <w:rFonts w:cs="Calibri"/>
          <w:color w:val="000000"/>
          <w:lang w:val="en-GB"/>
        </w:rPr>
        <w:t>On behalf of the SIRIO-MEDICINE research network</w:t>
      </w:r>
    </w:p>
    <w:p w:rsidR="005A59BF" w:rsidRPr="00573C3D" w:rsidRDefault="005A59BF">
      <w:pPr>
        <w:jc w:val="center"/>
        <w:rPr>
          <w:rFonts w:cs="Calibri"/>
          <w:color w:val="000000"/>
          <w:lang w:val="en-GB"/>
        </w:rPr>
      </w:pPr>
    </w:p>
    <w:p w:rsidR="00032C89" w:rsidRPr="00573C3D" w:rsidRDefault="00604672">
      <w:pPr>
        <w:jc w:val="center"/>
        <w:rPr>
          <w:rFonts w:cs="Calibri"/>
          <w:color w:val="000000"/>
          <w:lang w:val="en-GB"/>
        </w:rPr>
      </w:pPr>
      <w:r w:rsidRPr="00604672">
        <w:rPr>
          <w:rFonts w:cs="Calibri"/>
          <w:color w:val="000000"/>
          <w:lang w:val="en-GB"/>
        </w:rPr>
        <w:t>Version 3.</w:t>
      </w:r>
      <w:r w:rsidR="009E40D9">
        <w:rPr>
          <w:rFonts w:cs="Calibri"/>
          <w:color w:val="000000"/>
          <w:lang w:val="en-GB"/>
        </w:rPr>
        <w:t>2</w:t>
      </w:r>
      <w:r w:rsidRPr="00604672">
        <w:rPr>
          <w:rFonts w:cs="Calibri"/>
          <w:color w:val="000000"/>
          <w:lang w:val="en-GB"/>
        </w:rPr>
        <w:t xml:space="preserve">  </w:t>
      </w:r>
      <w:r w:rsidR="009E40D9">
        <w:rPr>
          <w:rFonts w:cs="Calibri"/>
          <w:color w:val="000000"/>
          <w:lang w:val="en-GB"/>
        </w:rPr>
        <w:t>October</w:t>
      </w:r>
      <w:r w:rsidR="004D73AD">
        <w:rPr>
          <w:rFonts w:cs="Calibri"/>
          <w:color w:val="000000"/>
          <w:lang w:val="en-GB"/>
        </w:rPr>
        <w:t xml:space="preserve"> </w:t>
      </w:r>
      <w:r w:rsidR="009E40D9">
        <w:rPr>
          <w:rFonts w:cs="Calibri"/>
          <w:color w:val="000000"/>
          <w:lang w:val="en-GB"/>
        </w:rPr>
        <w:t>29</w:t>
      </w:r>
      <w:r w:rsidRPr="00604672">
        <w:rPr>
          <w:rFonts w:cs="Calibri"/>
          <w:color w:val="000000"/>
          <w:lang w:val="en-GB"/>
        </w:rPr>
        <w:t>, 2020</w:t>
      </w:r>
    </w:p>
    <w:p w:rsidR="00082182" w:rsidRPr="00573C3D" w:rsidRDefault="00082182">
      <w:pPr>
        <w:jc w:val="center"/>
        <w:rPr>
          <w:rFonts w:cs="Calibri"/>
          <w:color w:val="000000"/>
          <w:lang w:val="en-GB"/>
        </w:rPr>
      </w:pPr>
    </w:p>
    <w:p w:rsidR="005A59BF" w:rsidRPr="00573C3D" w:rsidRDefault="00192DC9">
      <w:pPr>
        <w:widowControl w:val="0"/>
        <w:autoSpaceDE w:val="0"/>
        <w:autoSpaceDN w:val="0"/>
        <w:adjustRightInd w:val="0"/>
        <w:jc w:val="center"/>
        <w:rPr>
          <w:color w:val="000000"/>
          <w:lang w:val="en-GB"/>
        </w:rPr>
      </w:pPr>
      <w:r w:rsidRPr="00573C3D">
        <w:rPr>
          <w:color w:val="000000"/>
          <w:lang w:val="en-GB"/>
        </w:rPr>
        <w:t>Contact</w:t>
      </w:r>
      <w:r w:rsidR="005A59BF" w:rsidRPr="00573C3D">
        <w:rPr>
          <w:color w:val="000000"/>
          <w:lang w:val="en-GB"/>
        </w:rPr>
        <w:t>:</w:t>
      </w:r>
    </w:p>
    <w:p w:rsidR="001C337E" w:rsidRPr="00573C3D" w:rsidRDefault="001C337E" w:rsidP="001F2C2F">
      <w:pPr>
        <w:rPr>
          <w:color w:val="000000"/>
          <w:lang w:val="en-GB"/>
        </w:rPr>
      </w:pPr>
    </w:p>
    <w:p w:rsidR="007A2115" w:rsidRPr="00573C3D" w:rsidRDefault="007A2115" w:rsidP="001F2C2F">
      <w:pPr>
        <w:rPr>
          <w:color w:val="000000"/>
          <w:lang w:val="en-GB"/>
        </w:rPr>
      </w:pPr>
    </w:p>
    <w:p w:rsidR="007A2115" w:rsidRPr="00573C3D" w:rsidRDefault="00604672" w:rsidP="007A2115">
      <w:pPr>
        <w:widowControl w:val="0"/>
        <w:autoSpaceDE w:val="0"/>
        <w:autoSpaceDN w:val="0"/>
        <w:adjustRightInd w:val="0"/>
        <w:jc w:val="center"/>
        <w:rPr>
          <w:color w:val="000000"/>
          <w:lang w:val="en-GB"/>
        </w:rPr>
      </w:pPr>
      <w:r w:rsidRPr="00604672">
        <w:rPr>
          <w:color w:val="000000"/>
          <w:lang w:val="en-GB"/>
        </w:rPr>
        <w:t>Prof. Jacek Kubica, MD, PhD, FESC</w:t>
      </w:r>
    </w:p>
    <w:p w:rsidR="007A2115" w:rsidRPr="00573C3D" w:rsidRDefault="00604672" w:rsidP="007A2115">
      <w:pPr>
        <w:widowControl w:val="0"/>
        <w:autoSpaceDE w:val="0"/>
        <w:autoSpaceDN w:val="0"/>
        <w:adjustRightInd w:val="0"/>
        <w:jc w:val="center"/>
        <w:rPr>
          <w:color w:val="000000"/>
          <w:lang w:val="en-GB"/>
        </w:rPr>
      </w:pPr>
      <w:r w:rsidRPr="00604672">
        <w:rPr>
          <w:rFonts w:cs="Calibri"/>
          <w:color w:val="000000"/>
          <w:lang w:val="en-GB"/>
        </w:rPr>
        <w:t>Email: jkubica@cm.umk.pl</w:t>
      </w:r>
    </w:p>
    <w:p w:rsidR="009E40D9" w:rsidRPr="00573C3D" w:rsidRDefault="009E40D9" w:rsidP="009E40D9">
      <w:pPr>
        <w:jc w:val="center"/>
        <w:rPr>
          <w:color w:val="000000"/>
          <w:lang w:val="en-GB"/>
        </w:rPr>
      </w:pPr>
      <w:r w:rsidRPr="00573C3D">
        <w:rPr>
          <w:rFonts w:cs="Calibri"/>
          <w:color w:val="000000"/>
          <w:lang w:val="en-GB"/>
        </w:rPr>
        <w:t xml:space="preserve">+48 </w:t>
      </w:r>
      <w:r>
        <w:rPr>
          <w:color w:val="000000"/>
          <w:lang w:val="en-GB"/>
        </w:rPr>
        <w:t>52 585 40 23</w:t>
      </w:r>
    </w:p>
    <w:p w:rsidR="007A2115" w:rsidRPr="00573C3D" w:rsidRDefault="007A2115" w:rsidP="007A2115">
      <w:pPr>
        <w:jc w:val="center"/>
        <w:rPr>
          <w:color w:val="000000"/>
          <w:lang w:val="en-GB"/>
        </w:rPr>
      </w:pPr>
    </w:p>
    <w:p w:rsidR="007A2115" w:rsidRPr="00573C3D" w:rsidRDefault="007A2115" w:rsidP="001F2C2F">
      <w:pPr>
        <w:rPr>
          <w:color w:val="000000"/>
          <w:lang w:val="en-GB"/>
        </w:rPr>
      </w:pPr>
    </w:p>
    <w:p w:rsidR="007A2115" w:rsidRPr="00573C3D" w:rsidRDefault="007A2115" w:rsidP="001F2C2F">
      <w:pPr>
        <w:rPr>
          <w:color w:val="000000"/>
          <w:lang w:val="en-GB"/>
        </w:rPr>
      </w:pPr>
    </w:p>
    <w:p w:rsidR="001C337E" w:rsidRPr="00E12918" w:rsidRDefault="00604672">
      <w:pPr>
        <w:widowControl w:val="0"/>
        <w:autoSpaceDE w:val="0"/>
        <w:autoSpaceDN w:val="0"/>
        <w:adjustRightInd w:val="0"/>
        <w:jc w:val="center"/>
        <w:rPr>
          <w:color w:val="000000"/>
          <w:lang w:val="it-IT"/>
        </w:rPr>
      </w:pPr>
      <w:r w:rsidRPr="00E12918">
        <w:rPr>
          <w:color w:val="000000"/>
          <w:lang w:val="it-IT"/>
        </w:rPr>
        <w:t xml:space="preserve">Prof. EP Navarese  MD, PhD, FESC, FACC </w:t>
      </w:r>
    </w:p>
    <w:p w:rsidR="001C337E" w:rsidRPr="00573C3D" w:rsidRDefault="001C337E">
      <w:pPr>
        <w:widowControl w:val="0"/>
        <w:autoSpaceDE w:val="0"/>
        <w:autoSpaceDN w:val="0"/>
        <w:adjustRightInd w:val="0"/>
        <w:jc w:val="center"/>
        <w:rPr>
          <w:color w:val="000000"/>
          <w:lang w:val="en-GB"/>
        </w:rPr>
      </w:pPr>
      <w:r w:rsidRPr="00573C3D">
        <w:rPr>
          <w:rFonts w:cs="Calibri"/>
          <w:color w:val="000000"/>
          <w:lang w:val="en-GB"/>
        </w:rPr>
        <w:t xml:space="preserve">Email: </w:t>
      </w:r>
      <w:hyperlink r:id="rId9" w:history="1">
        <w:r w:rsidRPr="00573C3D">
          <w:rPr>
            <w:rStyle w:val="Hipercze"/>
            <w:rFonts w:cs="Calibri"/>
            <w:lang w:val="en-GB"/>
          </w:rPr>
          <w:t>elianonavarese@gmail.com</w:t>
        </w:r>
      </w:hyperlink>
      <w:r w:rsidRPr="00573C3D">
        <w:rPr>
          <w:rFonts w:cs="Calibri"/>
          <w:color w:val="000000"/>
          <w:lang w:val="en-GB"/>
        </w:rPr>
        <w:t xml:space="preserve"> </w:t>
      </w:r>
    </w:p>
    <w:p w:rsidR="00B43BB5" w:rsidRPr="00573C3D" w:rsidRDefault="001C337E">
      <w:pPr>
        <w:jc w:val="center"/>
        <w:rPr>
          <w:rFonts w:cs="Calibri"/>
          <w:color w:val="000000"/>
          <w:lang w:val="en-GB"/>
        </w:rPr>
      </w:pPr>
      <w:r w:rsidRPr="00573C3D">
        <w:rPr>
          <w:rFonts w:cs="Calibri"/>
          <w:color w:val="000000"/>
          <w:lang w:val="en-GB"/>
        </w:rPr>
        <w:t>Tel:</w:t>
      </w:r>
    </w:p>
    <w:p w:rsidR="00B43BB5" w:rsidRPr="00573C3D" w:rsidRDefault="00B43BB5">
      <w:pPr>
        <w:jc w:val="center"/>
        <w:rPr>
          <w:rFonts w:cs="Calibri"/>
          <w:color w:val="000000"/>
          <w:lang w:val="en-GB"/>
        </w:rPr>
      </w:pPr>
      <w:r w:rsidRPr="00573C3D">
        <w:rPr>
          <w:rFonts w:cs="Calibri"/>
          <w:color w:val="000000"/>
          <w:lang w:val="en-GB"/>
        </w:rPr>
        <w:t>+39-3342594725</w:t>
      </w:r>
    </w:p>
    <w:p w:rsidR="001C337E" w:rsidRPr="00573C3D" w:rsidRDefault="001C337E">
      <w:pPr>
        <w:jc w:val="center"/>
        <w:rPr>
          <w:color w:val="000000"/>
          <w:lang w:val="en-GB"/>
        </w:rPr>
      </w:pPr>
    </w:p>
    <w:p w:rsidR="001C337E" w:rsidRPr="00573C3D" w:rsidRDefault="001C337E">
      <w:pPr>
        <w:jc w:val="center"/>
        <w:rPr>
          <w:color w:val="000000"/>
          <w:lang w:val="en-GB"/>
        </w:rPr>
      </w:pPr>
    </w:p>
    <w:p w:rsidR="00E31C0D" w:rsidRPr="00573C3D" w:rsidRDefault="00E31C0D">
      <w:pPr>
        <w:jc w:val="center"/>
        <w:rPr>
          <w:color w:val="000000"/>
          <w:lang w:val="en-GB"/>
        </w:rPr>
      </w:pPr>
    </w:p>
    <w:p w:rsidR="007177CB" w:rsidRDefault="007177CB">
      <w:pPr>
        <w:jc w:val="both"/>
        <w:rPr>
          <w:rFonts w:cs="Calibri"/>
          <w:b/>
          <w:color w:val="000000"/>
          <w:lang w:val="en-GB"/>
        </w:rPr>
      </w:pPr>
    </w:p>
    <w:p w:rsidR="00617B71" w:rsidRPr="00573C3D" w:rsidRDefault="00617B71">
      <w:pPr>
        <w:jc w:val="both"/>
        <w:rPr>
          <w:rFonts w:cs="Calibri"/>
          <w:b/>
          <w:color w:val="000000"/>
          <w:lang w:val="en-GB"/>
        </w:rPr>
      </w:pPr>
    </w:p>
    <w:p w:rsidR="007177CB" w:rsidRPr="00573C3D" w:rsidRDefault="007177CB">
      <w:pPr>
        <w:jc w:val="both"/>
        <w:rPr>
          <w:rFonts w:cs="Calibri"/>
          <w:b/>
          <w:color w:val="000000"/>
          <w:lang w:val="en-GB"/>
        </w:rPr>
      </w:pPr>
    </w:p>
    <w:p w:rsidR="00DD7456" w:rsidRPr="00573C3D" w:rsidRDefault="00DD7456">
      <w:pPr>
        <w:jc w:val="both"/>
        <w:rPr>
          <w:rFonts w:cs="Calibri"/>
          <w:b/>
          <w:color w:val="000000"/>
          <w:lang w:val="en-GB"/>
        </w:rPr>
      </w:pPr>
    </w:p>
    <w:p w:rsidR="005C1381" w:rsidRDefault="005C1381" w:rsidP="005C1381">
      <w:pPr>
        <w:autoSpaceDE w:val="0"/>
        <w:autoSpaceDN w:val="0"/>
        <w:adjustRightInd w:val="0"/>
        <w:rPr>
          <w:rFonts w:eastAsia="Times New Roman"/>
          <w:lang w:val="en-GB"/>
        </w:rPr>
      </w:pPr>
    </w:p>
    <w:sdt>
      <w:sdtPr>
        <w:rPr>
          <w:rFonts w:ascii="Cambria" w:eastAsia="MS Mincho" w:hAnsi="Cambria" w:cs="Times New Roman"/>
          <w:color w:val="auto"/>
          <w:sz w:val="24"/>
          <w:szCs w:val="24"/>
          <w:lang w:val="pl-PL" w:eastAsia="pl-PL"/>
        </w:rPr>
        <w:id w:val="261507391"/>
        <w:docPartObj>
          <w:docPartGallery w:val="Table of Contents"/>
          <w:docPartUnique/>
        </w:docPartObj>
      </w:sdtPr>
      <w:sdtContent>
        <w:p w:rsidR="00364FF4" w:rsidRDefault="00364FF4">
          <w:pPr>
            <w:pStyle w:val="Nagwekspisutreci"/>
            <w:rPr>
              <w:rFonts w:ascii="Cambria" w:hAnsi="Cambria"/>
              <w:b/>
              <w:color w:val="auto"/>
            </w:rPr>
          </w:pPr>
          <w:r w:rsidRPr="00364FF4">
            <w:rPr>
              <w:rFonts w:ascii="Cambria" w:hAnsi="Cambria"/>
              <w:b/>
              <w:color w:val="auto"/>
            </w:rPr>
            <w:t>Table of contents</w:t>
          </w:r>
        </w:p>
        <w:p w:rsidR="00364FF4" w:rsidRPr="00364FF4" w:rsidRDefault="00364FF4" w:rsidP="00364FF4">
          <w:pPr>
            <w:rPr>
              <w:lang w:val="it-IT" w:eastAsia="it-IT"/>
            </w:rPr>
          </w:pPr>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r>
            <w:fldChar w:fldCharType="begin"/>
          </w:r>
          <w:r w:rsidR="00364FF4">
            <w:instrText xml:space="preserve"> TOC \o "1-3" \h \z \u </w:instrText>
          </w:r>
          <w:r>
            <w:fldChar w:fldCharType="separate"/>
          </w:r>
          <w:hyperlink w:anchor="_Toc86608094" w:history="1">
            <w:r w:rsidR="00672B3D" w:rsidRPr="0065718D">
              <w:rPr>
                <w:rStyle w:val="Hipercze"/>
                <w:b/>
                <w:noProof/>
                <w:lang w:val="en-GB"/>
              </w:rPr>
              <w:t>1. Introduction</w:t>
            </w:r>
            <w:r w:rsidR="00672B3D">
              <w:rPr>
                <w:noProof/>
                <w:webHidden/>
              </w:rPr>
              <w:tab/>
            </w:r>
            <w:r>
              <w:rPr>
                <w:noProof/>
                <w:webHidden/>
              </w:rPr>
              <w:fldChar w:fldCharType="begin"/>
            </w:r>
            <w:r w:rsidR="00672B3D">
              <w:rPr>
                <w:noProof/>
                <w:webHidden/>
              </w:rPr>
              <w:instrText xml:space="preserve"> PAGEREF _Toc86608094 \h </w:instrText>
            </w:r>
            <w:r>
              <w:rPr>
                <w:noProof/>
                <w:webHidden/>
              </w:rPr>
            </w:r>
            <w:r>
              <w:rPr>
                <w:noProof/>
                <w:webHidden/>
              </w:rPr>
              <w:fldChar w:fldCharType="separate"/>
            </w:r>
            <w:r w:rsidR="006C528C">
              <w:rPr>
                <w:noProof/>
                <w:webHidden/>
              </w:rPr>
              <w:t>3</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095" w:history="1">
            <w:r w:rsidR="00672B3D" w:rsidRPr="0065718D">
              <w:rPr>
                <w:rStyle w:val="Hipercze"/>
                <w:b/>
                <w:noProof/>
                <w:lang w:val="en-US"/>
              </w:rPr>
              <w:t>2. SARS-CoV-2 cell entry mechanism</w:t>
            </w:r>
            <w:r w:rsidR="00672B3D">
              <w:rPr>
                <w:noProof/>
                <w:webHidden/>
              </w:rPr>
              <w:tab/>
            </w:r>
            <w:r>
              <w:rPr>
                <w:noProof/>
                <w:webHidden/>
              </w:rPr>
              <w:fldChar w:fldCharType="begin"/>
            </w:r>
            <w:r w:rsidR="00672B3D">
              <w:rPr>
                <w:noProof/>
                <w:webHidden/>
              </w:rPr>
              <w:instrText xml:space="preserve"> PAGEREF _Toc86608095 \h </w:instrText>
            </w:r>
            <w:r>
              <w:rPr>
                <w:noProof/>
                <w:webHidden/>
              </w:rPr>
            </w:r>
            <w:r>
              <w:rPr>
                <w:noProof/>
                <w:webHidden/>
              </w:rPr>
              <w:fldChar w:fldCharType="separate"/>
            </w:r>
            <w:r w:rsidR="006C528C">
              <w:rPr>
                <w:noProof/>
                <w:webHidden/>
              </w:rPr>
              <w:t>4</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096" w:history="1">
            <w:r w:rsidR="00672B3D" w:rsidRPr="0065718D">
              <w:rPr>
                <w:rStyle w:val="Hipercze"/>
                <w:b/>
                <w:noProof/>
                <w:lang w:val="en-US"/>
              </w:rPr>
              <w:t>3. Rationale for use of amiodarone and verapamil in patients with COVID-19.</w:t>
            </w:r>
            <w:r w:rsidR="00672B3D">
              <w:rPr>
                <w:noProof/>
                <w:webHidden/>
              </w:rPr>
              <w:tab/>
            </w:r>
            <w:r>
              <w:rPr>
                <w:noProof/>
                <w:webHidden/>
              </w:rPr>
              <w:fldChar w:fldCharType="begin"/>
            </w:r>
            <w:r w:rsidR="00672B3D">
              <w:rPr>
                <w:noProof/>
                <w:webHidden/>
              </w:rPr>
              <w:instrText xml:space="preserve"> PAGEREF _Toc86608096 \h </w:instrText>
            </w:r>
            <w:r>
              <w:rPr>
                <w:noProof/>
                <w:webHidden/>
              </w:rPr>
            </w:r>
            <w:r>
              <w:rPr>
                <w:noProof/>
                <w:webHidden/>
              </w:rPr>
              <w:fldChar w:fldCharType="separate"/>
            </w:r>
            <w:r w:rsidR="006C528C">
              <w:rPr>
                <w:noProof/>
                <w:webHidden/>
              </w:rPr>
              <w:t>5</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097" w:history="1">
            <w:r w:rsidR="00672B3D" w:rsidRPr="0065718D">
              <w:rPr>
                <w:rStyle w:val="Hipercze"/>
                <w:b/>
                <w:noProof/>
                <w:lang w:val="en-US"/>
              </w:rPr>
              <w:t>4. The ReCOVery-SIRIO trial</w:t>
            </w:r>
            <w:r w:rsidR="00672B3D">
              <w:rPr>
                <w:noProof/>
                <w:webHidden/>
              </w:rPr>
              <w:tab/>
            </w:r>
            <w:r>
              <w:rPr>
                <w:noProof/>
                <w:webHidden/>
              </w:rPr>
              <w:fldChar w:fldCharType="begin"/>
            </w:r>
            <w:r w:rsidR="00672B3D">
              <w:rPr>
                <w:noProof/>
                <w:webHidden/>
              </w:rPr>
              <w:instrText xml:space="preserve"> PAGEREF _Toc86608097 \h </w:instrText>
            </w:r>
            <w:r>
              <w:rPr>
                <w:noProof/>
                <w:webHidden/>
              </w:rPr>
            </w:r>
            <w:r>
              <w:rPr>
                <w:noProof/>
                <w:webHidden/>
              </w:rPr>
              <w:fldChar w:fldCharType="separate"/>
            </w:r>
            <w:r w:rsidR="006C528C">
              <w:rPr>
                <w:noProof/>
                <w:webHidden/>
              </w:rPr>
              <w:t>5</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098" w:history="1">
            <w:r w:rsidR="00672B3D" w:rsidRPr="0065718D">
              <w:rPr>
                <w:rStyle w:val="Hipercze"/>
                <w:b/>
                <w:noProof/>
                <w:lang w:val="en-GB"/>
              </w:rPr>
              <w:t>4. 1. General information</w:t>
            </w:r>
            <w:r w:rsidR="00672B3D">
              <w:rPr>
                <w:noProof/>
                <w:webHidden/>
              </w:rPr>
              <w:tab/>
            </w:r>
            <w:r>
              <w:rPr>
                <w:noProof/>
                <w:webHidden/>
              </w:rPr>
              <w:fldChar w:fldCharType="begin"/>
            </w:r>
            <w:r w:rsidR="00672B3D">
              <w:rPr>
                <w:noProof/>
                <w:webHidden/>
              </w:rPr>
              <w:instrText xml:space="preserve"> PAGEREF _Toc86608098 \h </w:instrText>
            </w:r>
            <w:r>
              <w:rPr>
                <w:noProof/>
                <w:webHidden/>
              </w:rPr>
            </w:r>
            <w:r>
              <w:rPr>
                <w:noProof/>
                <w:webHidden/>
              </w:rPr>
              <w:fldChar w:fldCharType="separate"/>
            </w:r>
            <w:r w:rsidR="006C528C">
              <w:rPr>
                <w:noProof/>
                <w:webHidden/>
              </w:rPr>
              <w:t>6</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01" w:history="1">
            <w:r w:rsidR="00672B3D" w:rsidRPr="0065718D">
              <w:rPr>
                <w:rStyle w:val="Hipercze"/>
                <w:b/>
                <w:noProof/>
                <w:lang w:val="en-GB"/>
              </w:rPr>
              <w:t>4.2 Study population – Inclusion Criteria</w:t>
            </w:r>
            <w:r w:rsidR="00672B3D">
              <w:rPr>
                <w:noProof/>
                <w:webHidden/>
              </w:rPr>
              <w:tab/>
            </w:r>
            <w:r>
              <w:rPr>
                <w:noProof/>
                <w:webHidden/>
              </w:rPr>
              <w:fldChar w:fldCharType="begin"/>
            </w:r>
            <w:r w:rsidR="00672B3D">
              <w:rPr>
                <w:noProof/>
                <w:webHidden/>
              </w:rPr>
              <w:instrText xml:space="preserve"> PAGEREF _Toc86608101 \h </w:instrText>
            </w:r>
            <w:r>
              <w:rPr>
                <w:noProof/>
                <w:webHidden/>
              </w:rPr>
            </w:r>
            <w:r>
              <w:rPr>
                <w:noProof/>
                <w:webHidden/>
              </w:rPr>
              <w:fldChar w:fldCharType="separate"/>
            </w:r>
            <w:r w:rsidR="006C528C">
              <w:rPr>
                <w:noProof/>
                <w:webHidden/>
              </w:rPr>
              <w:t>6</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02" w:history="1">
            <w:r w:rsidR="00672B3D" w:rsidRPr="0065718D">
              <w:rPr>
                <w:rStyle w:val="Hipercze"/>
                <w:b/>
                <w:noProof/>
                <w:lang w:val="en-GB"/>
              </w:rPr>
              <w:t>4.3 Study population – Exclusion Criteria</w:t>
            </w:r>
            <w:r w:rsidR="00672B3D">
              <w:rPr>
                <w:noProof/>
                <w:webHidden/>
              </w:rPr>
              <w:tab/>
            </w:r>
            <w:r>
              <w:rPr>
                <w:noProof/>
                <w:webHidden/>
              </w:rPr>
              <w:fldChar w:fldCharType="begin"/>
            </w:r>
            <w:r w:rsidR="00672B3D">
              <w:rPr>
                <w:noProof/>
                <w:webHidden/>
              </w:rPr>
              <w:instrText xml:space="preserve"> PAGEREF _Toc86608102 \h </w:instrText>
            </w:r>
            <w:r>
              <w:rPr>
                <w:noProof/>
                <w:webHidden/>
              </w:rPr>
            </w:r>
            <w:r>
              <w:rPr>
                <w:noProof/>
                <w:webHidden/>
              </w:rPr>
              <w:fldChar w:fldCharType="separate"/>
            </w:r>
            <w:r w:rsidR="006C528C">
              <w:rPr>
                <w:noProof/>
                <w:webHidden/>
              </w:rPr>
              <w:t>8</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03" w:history="1">
            <w:r w:rsidR="00672B3D" w:rsidRPr="0065718D">
              <w:rPr>
                <w:rStyle w:val="Hipercze"/>
                <w:b/>
                <w:noProof/>
                <w:lang w:val="en-GB" w:eastAsia="ja-JP"/>
              </w:rPr>
              <w:t>5. Administration of IMP: amiodarone or verapamil</w:t>
            </w:r>
            <w:r w:rsidR="00672B3D">
              <w:rPr>
                <w:noProof/>
                <w:webHidden/>
              </w:rPr>
              <w:tab/>
            </w:r>
            <w:r>
              <w:rPr>
                <w:noProof/>
                <w:webHidden/>
              </w:rPr>
              <w:fldChar w:fldCharType="begin"/>
            </w:r>
            <w:r w:rsidR="00672B3D">
              <w:rPr>
                <w:noProof/>
                <w:webHidden/>
              </w:rPr>
              <w:instrText xml:space="preserve"> PAGEREF _Toc86608103 \h </w:instrText>
            </w:r>
            <w:r>
              <w:rPr>
                <w:noProof/>
                <w:webHidden/>
              </w:rPr>
            </w:r>
            <w:r>
              <w:rPr>
                <w:noProof/>
                <w:webHidden/>
              </w:rPr>
              <w:fldChar w:fldCharType="separate"/>
            </w:r>
            <w:r w:rsidR="006C528C">
              <w:rPr>
                <w:noProof/>
                <w:webHidden/>
              </w:rPr>
              <w:t>9</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04" w:history="1">
            <w:r w:rsidR="00672B3D" w:rsidRPr="0065718D">
              <w:rPr>
                <w:rStyle w:val="Hipercze"/>
                <w:b/>
                <w:noProof/>
                <w:lang w:val="en-GB" w:eastAsia="ja-JP"/>
              </w:rPr>
              <w:t xml:space="preserve">5.1. </w:t>
            </w:r>
            <w:r w:rsidR="00672B3D" w:rsidRPr="0065718D">
              <w:rPr>
                <w:rStyle w:val="Hipercze"/>
                <w:b/>
                <w:noProof/>
                <w:lang w:val="en-GB"/>
              </w:rPr>
              <w:t>Duration of therapy with amiodarone or verapamil</w:t>
            </w:r>
            <w:r w:rsidR="00672B3D">
              <w:rPr>
                <w:noProof/>
                <w:webHidden/>
              </w:rPr>
              <w:tab/>
            </w:r>
            <w:r>
              <w:rPr>
                <w:noProof/>
                <w:webHidden/>
              </w:rPr>
              <w:fldChar w:fldCharType="begin"/>
            </w:r>
            <w:r w:rsidR="00672B3D">
              <w:rPr>
                <w:noProof/>
                <w:webHidden/>
              </w:rPr>
              <w:instrText xml:space="preserve"> PAGEREF _Toc86608104 \h </w:instrText>
            </w:r>
            <w:r>
              <w:rPr>
                <w:noProof/>
                <w:webHidden/>
              </w:rPr>
            </w:r>
            <w:r>
              <w:rPr>
                <w:noProof/>
                <w:webHidden/>
              </w:rPr>
              <w:fldChar w:fldCharType="separate"/>
            </w:r>
            <w:r w:rsidR="006C528C">
              <w:rPr>
                <w:noProof/>
                <w:webHidden/>
              </w:rPr>
              <w:t>9</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05" w:history="1">
            <w:r w:rsidR="00672B3D" w:rsidRPr="0065718D">
              <w:rPr>
                <w:rStyle w:val="Hipercze"/>
                <w:b/>
                <w:noProof/>
                <w:lang w:val="en-GB"/>
              </w:rPr>
              <w:t>5.2. Dosing of amiodarone and verapamil</w:t>
            </w:r>
            <w:r w:rsidR="00672B3D">
              <w:rPr>
                <w:noProof/>
                <w:webHidden/>
              </w:rPr>
              <w:tab/>
            </w:r>
            <w:r>
              <w:rPr>
                <w:noProof/>
                <w:webHidden/>
              </w:rPr>
              <w:fldChar w:fldCharType="begin"/>
            </w:r>
            <w:r w:rsidR="00672B3D">
              <w:rPr>
                <w:noProof/>
                <w:webHidden/>
              </w:rPr>
              <w:instrText xml:space="preserve"> PAGEREF _Toc86608105 \h </w:instrText>
            </w:r>
            <w:r>
              <w:rPr>
                <w:noProof/>
                <w:webHidden/>
              </w:rPr>
            </w:r>
            <w:r>
              <w:rPr>
                <w:noProof/>
                <w:webHidden/>
              </w:rPr>
              <w:fldChar w:fldCharType="separate"/>
            </w:r>
            <w:r w:rsidR="006C528C">
              <w:rPr>
                <w:noProof/>
                <w:webHidden/>
              </w:rPr>
              <w:t>9</w:t>
            </w:r>
            <w:r>
              <w:rPr>
                <w:noProof/>
                <w:webHidden/>
              </w:rPr>
              <w:fldChar w:fldCharType="end"/>
            </w:r>
          </w:hyperlink>
        </w:p>
        <w:p w:rsidR="00672B3D" w:rsidRDefault="0047500D">
          <w:pPr>
            <w:pStyle w:val="Spistreci3"/>
            <w:tabs>
              <w:tab w:val="right" w:leader="dot" w:pos="9054"/>
            </w:tabs>
            <w:rPr>
              <w:rFonts w:asciiTheme="minorHAnsi" w:eastAsiaTheme="minorEastAsia" w:hAnsiTheme="minorHAnsi" w:cstheme="minorBidi"/>
              <w:noProof/>
              <w:sz w:val="22"/>
              <w:szCs w:val="22"/>
              <w:lang w:val="en-US" w:eastAsia="en-US"/>
            </w:rPr>
          </w:pPr>
          <w:hyperlink w:anchor="_Toc86608106" w:history="1">
            <w:r w:rsidR="00672B3D" w:rsidRPr="0065718D">
              <w:rPr>
                <w:rStyle w:val="Hipercze"/>
                <w:noProof/>
                <w:lang w:val="en-GB"/>
              </w:rPr>
              <w:t>5.2.1 Amiodarone – Dose and Treatment Schedules</w:t>
            </w:r>
            <w:r w:rsidR="00672B3D">
              <w:rPr>
                <w:noProof/>
                <w:webHidden/>
              </w:rPr>
              <w:tab/>
            </w:r>
            <w:r>
              <w:rPr>
                <w:noProof/>
                <w:webHidden/>
              </w:rPr>
              <w:fldChar w:fldCharType="begin"/>
            </w:r>
            <w:r w:rsidR="00672B3D">
              <w:rPr>
                <w:noProof/>
                <w:webHidden/>
              </w:rPr>
              <w:instrText xml:space="preserve"> PAGEREF _Toc86608106 \h </w:instrText>
            </w:r>
            <w:r>
              <w:rPr>
                <w:noProof/>
                <w:webHidden/>
              </w:rPr>
            </w:r>
            <w:r>
              <w:rPr>
                <w:noProof/>
                <w:webHidden/>
              </w:rPr>
              <w:fldChar w:fldCharType="separate"/>
            </w:r>
            <w:r w:rsidR="006C528C">
              <w:rPr>
                <w:noProof/>
                <w:webHidden/>
              </w:rPr>
              <w:t>10</w:t>
            </w:r>
            <w:r>
              <w:rPr>
                <w:noProof/>
                <w:webHidden/>
              </w:rPr>
              <w:fldChar w:fldCharType="end"/>
            </w:r>
          </w:hyperlink>
        </w:p>
        <w:p w:rsidR="00672B3D" w:rsidRDefault="0047500D">
          <w:pPr>
            <w:pStyle w:val="Spistreci3"/>
            <w:tabs>
              <w:tab w:val="right" w:leader="dot" w:pos="9054"/>
            </w:tabs>
            <w:rPr>
              <w:rFonts w:asciiTheme="minorHAnsi" w:eastAsiaTheme="minorEastAsia" w:hAnsiTheme="minorHAnsi" w:cstheme="minorBidi"/>
              <w:noProof/>
              <w:sz w:val="22"/>
              <w:szCs w:val="22"/>
              <w:lang w:val="en-US" w:eastAsia="en-US"/>
            </w:rPr>
          </w:pPr>
          <w:hyperlink w:anchor="_Toc86608107" w:history="1">
            <w:r w:rsidR="00672B3D" w:rsidRPr="0065718D">
              <w:rPr>
                <w:rStyle w:val="Hipercze"/>
                <w:noProof/>
                <w:lang w:val="en-GB"/>
              </w:rPr>
              <w:t>5.2.2 Verapamil– Dose and Treatment Schedules</w:t>
            </w:r>
            <w:r w:rsidR="00672B3D">
              <w:rPr>
                <w:noProof/>
                <w:webHidden/>
              </w:rPr>
              <w:tab/>
            </w:r>
            <w:r>
              <w:rPr>
                <w:noProof/>
                <w:webHidden/>
              </w:rPr>
              <w:fldChar w:fldCharType="begin"/>
            </w:r>
            <w:r w:rsidR="00672B3D">
              <w:rPr>
                <w:noProof/>
                <w:webHidden/>
              </w:rPr>
              <w:instrText xml:space="preserve"> PAGEREF _Toc86608107 \h </w:instrText>
            </w:r>
            <w:r>
              <w:rPr>
                <w:noProof/>
                <w:webHidden/>
              </w:rPr>
            </w:r>
            <w:r>
              <w:rPr>
                <w:noProof/>
                <w:webHidden/>
              </w:rPr>
              <w:fldChar w:fldCharType="separate"/>
            </w:r>
            <w:r w:rsidR="006C528C">
              <w:rPr>
                <w:noProof/>
                <w:webHidden/>
              </w:rPr>
              <w:t>10</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08" w:history="1">
            <w:r w:rsidR="00672B3D" w:rsidRPr="0065718D">
              <w:rPr>
                <w:rStyle w:val="Hipercze"/>
                <w:b/>
                <w:noProof/>
                <w:lang w:val="en-GB"/>
              </w:rPr>
              <w:t>5.3. Considerations for Use</w:t>
            </w:r>
            <w:r w:rsidR="00672B3D">
              <w:rPr>
                <w:noProof/>
                <w:webHidden/>
              </w:rPr>
              <w:tab/>
            </w:r>
            <w:r>
              <w:rPr>
                <w:noProof/>
                <w:webHidden/>
              </w:rPr>
              <w:fldChar w:fldCharType="begin"/>
            </w:r>
            <w:r w:rsidR="00672B3D">
              <w:rPr>
                <w:noProof/>
                <w:webHidden/>
              </w:rPr>
              <w:instrText xml:space="preserve"> PAGEREF _Toc86608108 \h </w:instrText>
            </w:r>
            <w:r>
              <w:rPr>
                <w:noProof/>
                <w:webHidden/>
              </w:rPr>
            </w:r>
            <w:r>
              <w:rPr>
                <w:noProof/>
                <w:webHidden/>
              </w:rPr>
              <w:fldChar w:fldCharType="separate"/>
            </w:r>
            <w:r w:rsidR="006C528C">
              <w:rPr>
                <w:noProof/>
                <w:webHidden/>
              </w:rPr>
              <w:t>11</w:t>
            </w:r>
            <w:r>
              <w:rPr>
                <w:noProof/>
                <w:webHidden/>
              </w:rPr>
              <w:fldChar w:fldCharType="end"/>
            </w:r>
          </w:hyperlink>
        </w:p>
        <w:p w:rsidR="00672B3D" w:rsidRDefault="0047500D" w:rsidP="00672B3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09" w:history="1">
            <w:r w:rsidR="00672B3D" w:rsidRPr="0065718D">
              <w:rPr>
                <w:rStyle w:val="Hipercze"/>
                <w:b/>
                <w:noProof/>
                <w:lang w:val="en-GB"/>
              </w:rPr>
              <w:t>5.4. Other antiviral drugs</w:t>
            </w:r>
            <w:r w:rsidR="00672B3D">
              <w:rPr>
                <w:noProof/>
                <w:webHidden/>
              </w:rPr>
              <w:tab/>
            </w:r>
            <w:r>
              <w:rPr>
                <w:noProof/>
                <w:webHidden/>
              </w:rPr>
              <w:fldChar w:fldCharType="begin"/>
            </w:r>
            <w:r w:rsidR="00672B3D">
              <w:rPr>
                <w:noProof/>
                <w:webHidden/>
              </w:rPr>
              <w:instrText xml:space="preserve"> PAGEREF _Toc86608109 \h </w:instrText>
            </w:r>
            <w:r>
              <w:rPr>
                <w:noProof/>
                <w:webHidden/>
              </w:rPr>
            </w:r>
            <w:r>
              <w:rPr>
                <w:noProof/>
                <w:webHidden/>
              </w:rPr>
              <w:fldChar w:fldCharType="separate"/>
            </w:r>
            <w:r w:rsidR="006C528C">
              <w:rPr>
                <w:noProof/>
                <w:webHidden/>
              </w:rPr>
              <w:t>11</w:t>
            </w:r>
            <w:r>
              <w:rPr>
                <w:noProof/>
                <w:webHidden/>
              </w:rPr>
              <w:fldChar w:fldCharType="end"/>
            </w:r>
          </w:hyperlink>
          <w:hyperlink w:anchor="_Toc86608110" w:history="1">
            <w:r w:rsidR="006C528C" w:rsidRPr="006C528C">
              <w:rPr>
                <w:rStyle w:val="Hipercze"/>
              </w:rPr>
              <w:t>_Toc86608110</w:t>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11" w:history="1">
            <w:r w:rsidR="00672B3D" w:rsidRPr="0065718D">
              <w:rPr>
                <w:rStyle w:val="Hipercze"/>
                <w:b/>
                <w:noProof/>
                <w:lang w:val="en-GB"/>
              </w:rPr>
              <w:t>5.5. Drug Interactions</w:t>
            </w:r>
            <w:r w:rsidR="00672B3D">
              <w:rPr>
                <w:noProof/>
                <w:webHidden/>
              </w:rPr>
              <w:tab/>
            </w:r>
            <w:r>
              <w:rPr>
                <w:noProof/>
                <w:webHidden/>
              </w:rPr>
              <w:fldChar w:fldCharType="begin"/>
            </w:r>
            <w:r w:rsidR="00672B3D">
              <w:rPr>
                <w:noProof/>
                <w:webHidden/>
              </w:rPr>
              <w:instrText xml:space="preserve"> PAGEREF _Toc86608111 \h </w:instrText>
            </w:r>
            <w:r>
              <w:rPr>
                <w:noProof/>
                <w:webHidden/>
              </w:rPr>
            </w:r>
            <w:r>
              <w:rPr>
                <w:noProof/>
                <w:webHidden/>
              </w:rPr>
              <w:fldChar w:fldCharType="separate"/>
            </w:r>
            <w:r w:rsidR="006C528C">
              <w:rPr>
                <w:noProof/>
                <w:webHidden/>
              </w:rPr>
              <w:t>11</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12" w:history="1">
            <w:r w:rsidR="00672B3D" w:rsidRPr="0065718D">
              <w:rPr>
                <w:rStyle w:val="Hipercze"/>
                <w:b/>
                <w:noProof/>
                <w:lang w:val="en-GB"/>
              </w:rPr>
              <w:t>5.6. QT monitoring</w:t>
            </w:r>
            <w:r w:rsidR="00672B3D">
              <w:rPr>
                <w:noProof/>
                <w:webHidden/>
              </w:rPr>
              <w:tab/>
            </w:r>
            <w:r>
              <w:rPr>
                <w:noProof/>
                <w:webHidden/>
              </w:rPr>
              <w:fldChar w:fldCharType="begin"/>
            </w:r>
            <w:r w:rsidR="00672B3D">
              <w:rPr>
                <w:noProof/>
                <w:webHidden/>
              </w:rPr>
              <w:instrText xml:space="preserve"> PAGEREF _Toc86608112 \h </w:instrText>
            </w:r>
            <w:r>
              <w:rPr>
                <w:noProof/>
                <w:webHidden/>
              </w:rPr>
            </w:r>
            <w:r>
              <w:rPr>
                <w:noProof/>
                <w:webHidden/>
              </w:rPr>
              <w:fldChar w:fldCharType="separate"/>
            </w:r>
            <w:r w:rsidR="006C528C">
              <w:rPr>
                <w:noProof/>
                <w:webHidden/>
              </w:rPr>
              <w:t>12</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16" w:history="1">
            <w:r w:rsidR="00672B3D" w:rsidRPr="0065718D">
              <w:rPr>
                <w:rStyle w:val="Hipercze"/>
                <w:b/>
                <w:noProof/>
                <w:lang w:val="en-GB" w:eastAsia="ja-JP"/>
              </w:rPr>
              <w:t>6. Study Assessment and Procedures</w:t>
            </w:r>
            <w:r w:rsidR="00672B3D">
              <w:rPr>
                <w:noProof/>
                <w:webHidden/>
              </w:rPr>
              <w:tab/>
            </w:r>
            <w:r>
              <w:rPr>
                <w:noProof/>
                <w:webHidden/>
              </w:rPr>
              <w:fldChar w:fldCharType="begin"/>
            </w:r>
            <w:r w:rsidR="00672B3D">
              <w:rPr>
                <w:noProof/>
                <w:webHidden/>
              </w:rPr>
              <w:instrText xml:space="preserve"> PAGEREF _Toc86608116 \h </w:instrText>
            </w:r>
            <w:r>
              <w:rPr>
                <w:noProof/>
                <w:webHidden/>
              </w:rPr>
            </w:r>
            <w:r>
              <w:rPr>
                <w:noProof/>
                <w:webHidden/>
              </w:rPr>
              <w:fldChar w:fldCharType="separate"/>
            </w:r>
            <w:r w:rsidR="006C528C">
              <w:rPr>
                <w:noProof/>
                <w:webHidden/>
              </w:rPr>
              <w:t>14</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17" w:history="1">
            <w:r w:rsidR="00672B3D" w:rsidRPr="0065718D">
              <w:rPr>
                <w:rStyle w:val="Hipercze"/>
                <w:b/>
                <w:noProof/>
                <w:lang w:val="en-GB" w:eastAsia="ja-JP"/>
              </w:rPr>
              <w:t>6. 1 General information</w:t>
            </w:r>
            <w:r w:rsidR="00672B3D">
              <w:rPr>
                <w:noProof/>
                <w:webHidden/>
              </w:rPr>
              <w:tab/>
            </w:r>
            <w:r>
              <w:rPr>
                <w:noProof/>
                <w:webHidden/>
              </w:rPr>
              <w:fldChar w:fldCharType="begin"/>
            </w:r>
            <w:r w:rsidR="00672B3D">
              <w:rPr>
                <w:noProof/>
                <w:webHidden/>
              </w:rPr>
              <w:instrText xml:space="preserve"> PAGEREF _Toc86608117 \h </w:instrText>
            </w:r>
            <w:r>
              <w:rPr>
                <w:noProof/>
                <w:webHidden/>
              </w:rPr>
            </w:r>
            <w:r>
              <w:rPr>
                <w:noProof/>
                <w:webHidden/>
              </w:rPr>
              <w:fldChar w:fldCharType="separate"/>
            </w:r>
            <w:r w:rsidR="006C528C">
              <w:rPr>
                <w:noProof/>
                <w:webHidden/>
              </w:rPr>
              <w:t>14</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18" w:history="1">
            <w:r w:rsidR="00672B3D" w:rsidRPr="0065718D">
              <w:rPr>
                <w:rStyle w:val="Hipercze"/>
                <w:b/>
                <w:noProof/>
                <w:lang w:val="en-GB" w:eastAsia="ja-JP"/>
              </w:rPr>
              <w:t>6.2 Standard treatment of Coronavirus Disease 2019 (COVID-19)</w:t>
            </w:r>
            <w:r w:rsidR="00672B3D">
              <w:rPr>
                <w:noProof/>
                <w:webHidden/>
              </w:rPr>
              <w:tab/>
            </w:r>
            <w:r>
              <w:rPr>
                <w:noProof/>
                <w:webHidden/>
              </w:rPr>
              <w:fldChar w:fldCharType="begin"/>
            </w:r>
            <w:r w:rsidR="00672B3D">
              <w:rPr>
                <w:noProof/>
                <w:webHidden/>
              </w:rPr>
              <w:instrText xml:space="preserve"> PAGEREF _Toc86608118 \h </w:instrText>
            </w:r>
            <w:r>
              <w:rPr>
                <w:noProof/>
                <w:webHidden/>
              </w:rPr>
            </w:r>
            <w:r>
              <w:rPr>
                <w:noProof/>
                <w:webHidden/>
              </w:rPr>
              <w:fldChar w:fldCharType="separate"/>
            </w:r>
            <w:r w:rsidR="006C528C">
              <w:rPr>
                <w:noProof/>
                <w:webHidden/>
              </w:rPr>
              <w:t>14</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20" w:history="1">
            <w:r w:rsidR="00672B3D" w:rsidRPr="0065718D">
              <w:rPr>
                <w:rStyle w:val="Hipercze"/>
                <w:rFonts w:eastAsia="Times New Roman"/>
                <w:b/>
                <w:noProof/>
                <w:lang w:val="en-GB" w:eastAsia="it-IT"/>
              </w:rPr>
              <w:t>6.3 Schedule of Activities (SoA)</w:t>
            </w:r>
            <w:r w:rsidR="00672B3D">
              <w:rPr>
                <w:noProof/>
                <w:webHidden/>
              </w:rPr>
              <w:tab/>
            </w:r>
            <w:r>
              <w:rPr>
                <w:noProof/>
                <w:webHidden/>
              </w:rPr>
              <w:fldChar w:fldCharType="begin"/>
            </w:r>
            <w:r w:rsidR="00672B3D">
              <w:rPr>
                <w:noProof/>
                <w:webHidden/>
              </w:rPr>
              <w:instrText xml:space="preserve"> PAGEREF _Toc86608120 \h </w:instrText>
            </w:r>
            <w:r>
              <w:rPr>
                <w:noProof/>
                <w:webHidden/>
              </w:rPr>
            </w:r>
            <w:r>
              <w:rPr>
                <w:noProof/>
                <w:webHidden/>
              </w:rPr>
              <w:fldChar w:fldCharType="separate"/>
            </w:r>
            <w:r w:rsidR="006C528C">
              <w:rPr>
                <w:noProof/>
                <w:webHidden/>
              </w:rPr>
              <w:t>14</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22" w:history="1">
            <w:r w:rsidR="00672B3D" w:rsidRPr="0065718D">
              <w:rPr>
                <w:rStyle w:val="Hipercze"/>
                <w:rFonts w:eastAsia="Times New Roman"/>
                <w:b/>
                <w:noProof/>
                <w:lang w:val="en-GB"/>
              </w:rPr>
              <w:t>7. Endpoints</w:t>
            </w:r>
            <w:r w:rsidR="00672B3D">
              <w:rPr>
                <w:noProof/>
                <w:webHidden/>
              </w:rPr>
              <w:tab/>
            </w:r>
            <w:r>
              <w:rPr>
                <w:noProof/>
                <w:webHidden/>
              </w:rPr>
              <w:fldChar w:fldCharType="begin"/>
            </w:r>
            <w:r w:rsidR="00672B3D">
              <w:rPr>
                <w:noProof/>
                <w:webHidden/>
              </w:rPr>
              <w:instrText xml:space="preserve"> PAGEREF _Toc86608122 \h </w:instrText>
            </w:r>
            <w:r>
              <w:rPr>
                <w:noProof/>
                <w:webHidden/>
              </w:rPr>
            </w:r>
            <w:r>
              <w:rPr>
                <w:noProof/>
                <w:webHidden/>
              </w:rPr>
              <w:fldChar w:fldCharType="separate"/>
            </w:r>
            <w:r w:rsidR="006C528C">
              <w:rPr>
                <w:noProof/>
                <w:webHidden/>
              </w:rPr>
              <w:t>19</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23" w:history="1">
            <w:r w:rsidR="00672B3D" w:rsidRPr="0065718D">
              <w:rPr>
                <w:rStyle w:val="Hipercze"/>
                <w:rFonts w:eastAsia="Times New Roman"/>
                <w:b/>
                <w:noProof/>
                <w:lang w:val="en-GB"/>
              </w:rPr>
              <w:t>7.1. Primary endpoint</w:t>
            </w:r>
            <w:r w:rsidR="00672B3D">
              <w:rPr>
                <w:noProof/>
                <w:webHidden/>
              </w:rPr>
              <w:tab/>
            </w:r>
            <w:r>
              <w:rPr>
                <w:noProof/>
                <w:webHidden/>
              </w:rPr>
              <w:fldChar w:fldCharType="begin"/>
            </w:r>
            <w:r w:rsidR="00672B3D">
              <w:rPr>
                <w:noProof/>
                <w:webHidden/>
              </w:rPr>
              <w:instrText xml:space="preserve"> PAGEREF _Toc86608123 \h </w:instrText>
            </w:r>
            <w:r>
              <w:rPr>
                <w:noProof/>
                <w:webHidden/>
              </w:rPr>
            </w:r>
            <w:r>
              <w:rPr>
                <w:noProof/>
                <w:webHidden/>
              </w:rPr>
              <w:fldChar w:fldCharType="separate"/>
            </w:r>
            <w:r w:rsidR="006C528C">
              <w:rPr>
                <w:noProof/>
                <w:webHidden/>
              </w:rPr>
              <w:t>19</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24" w:history="1">
            <w:r w:rsidR="00672B3D" w:rsidRPr="0065718D">
              <w:rPr>
                <w:rStyle w:val="Hipercze"/>
                <w:b/>
                <w:noProof/>
                <w:lang w:val="en-GB"/>
              </w:rPr>
              <w:t>7.2. Secondary endpoints:</w:t>
            </w:r>
            <w:r w:rsidR="00672B3D">
              <w:rPr>
                <w:noProof/>
                <w:webHidden/>
              </w:rPr>
              <w:tab/>
            </w:r>
            <w:r>
              <w:rPr>
                <w:noProof/>
                <w:webHidden/>
              </w:rPr>
              <w:fldChar w:fldCharType="begin"/>
            </w:r>
            <w:r w:rsidR="00672B3D">
              <w:rPr>
                <w:noProof/>
                <w:webHidden/>
              </w:rPr>
              <w:instrText xml:space="preserve"> PAGEREF _Toc86608124 \h </w:instrText>
            </w:r>
            <w:r>
              <w:rPr>
                <w:noProof/>
                <w:webHidden/>
              </w:rPr>
            </w:r>
            <w:r>
              <w:rPr>
                <w:noProof/>
                <w:webHidden/>
              </w:rPr>
              <w:fldChar w:fldCharType="separate"/>
            </w:r>
            <w:r w:rsidR="006C528C">
              <w:rPr>
                <w:noProof/>
                <w:webHidden/>
              </w:rPr>
              <w:t>19</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25" w:history="1">
            <w:r w:rsidR="00672B3D" w:rsidRPr="0065718D">
              <w:rPr>
                <w:rStyle w:val="Hipercze"/>
                <w:b/>
                <w:noProof/>
                <w:lang w:val="en-GB"/>
              </w:rPr>
              <w:t>7.3 Biomarker and laboratory values assessment</w:t>
            </w:r>
            <w:r w:rsidR="00672B3D">
              <w:rPr>
                <w:noProof/>
                <w:webHidden/>
              </w:rPr>
              <w:tab/>
            </w:r>
            <w:r>
              <w:rPr>
                <w:noProof/>
                <w:webHidden/>
              </w:rPr>
              <w:fldChar w:fldCharType="begin"/>
            </w:r>
            <w:r w:rsidR="00672B3D">
              <w:rPr>
                <w:noProof/>
                <w:webHidden/>
              </w:rPr>
              <w:instrText xml:space="preserve"> PAGEREF _Toc86608125 \h </w:instrText>
            </w:r>
            <w:r>
              <w:rPr>
                <w:noProof/>
                <w:webHidden/>
              </w:rPr>
            </w:r>
            <w:r>
              <w:rPr>
                <w:noProof/>
                <w:webHidden/>
              </w:rPr>
              <w:fldChar w:fldCharType="separate"/>
            </w:r>
            <w:r w:rsidR="006C528C">
              <w:rPr>
                <w:noProof/>
                <w:webHidden/>
              </w:rPr>
              <w:t>20</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26" w:history="1">
            <w:r w:rsidR="00672B3D" w:rsidRPr="0065718D">
              <w:rPr>
                <w:rStyle w:val="Hipercze"/>
                <w:b/>
                <w:noProof/>
                <w:lang w:val="en-GB"/>
              </w:rPr>
              <w:t>8. Randomization design</w:t>
            </w:r>
            <w:r w:rsidR="00672B3D">
              <w:rPr>
                <w:noProof/>
                <w:webHidden/>
              </w:rPr>
              <w:tab/>
            </w:r>
            <w:r>
              <w:rPr>
                <w:noProof/>
                <w:webHidden/>
              </w:rPr>
              <w:fldChar w:fldCharType="begin"/>
            </w:r>
            <w:r w:rsidR="00672B3D">
              <w:rPr>
                <w:noProof/>
                <w:webHidden/>
              </w:rPr>
              <w:instrText xml:space="preserve"> PAGEREF _Toc86608126 \h </w:instrText>
            </w:r>
            <w:r>
              <w:rPr>
                <w:noProof/>
                <w:webHidden/>
              </w:rPr>
            </w:r>
            <w:r>
              <w:rPr>
                <w:noProof/>
                <w:webHidden/>
              </w:rPr>
              <w:fldChar w:fldCharType="separate"/>
            </w:r>
            <w:r w:rsidR="006C528C">
              <w:rPr>
                <w:noProof/>
                <w:webHidden/>
              </w:rPr>
              <w:t>20</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27" w:history="1">
            <w:r w:rsidR="00672B3D" w:rsidRPr="0065718D">
              <w:rPr>
                <w:rStyle w:val="Hipercze"/>
                <w:rFonts w:eastAsia="Times New Roman"/>
                <w:b/>
                <w:noProof/>
                <w:lang w:val="en-GB"/>
              </w:rPr>
              <w:t>9. Statistical analysis plan</w:t>
            </w:r>
            <w:r w:rsidR="00672B3D">
              <w:rPr>
                <w:noProof/>
                <w:webHidden/>
              </w:rPr>
              <w:tab/>
            </w:r>
            <w:r>
              <w:rPr>
                <w:noProof/>
                <w:webHidden/>
              </w:rPr>
              <w:fldChar w:fldCharType="begin"/>
            </w:r>
            <w:r w:rsidR="00672B3D">
              <w:rPr>
                <w:noProof/>
                <w:webHidden/>
              </w:rPr>
              <w:instrText xml:space="preserve"> PAGEREF _Toc86608127 \h </w:instrText>
            </w:r>
            <w:r>
              <w:rPr>
                <w:noProof/>
                <w:webHidden/>
              </w:rPr>
            </w:r>
            <w:r>
              <w:rPr>
                <w:noProof/>
                <w:webHidden/>
              </w:rPr>
              <w:fldChar w:fldCharType="separate"/>
            </w:r>
            <w:r w:rsidR="006C528C">
              <w:rPr>
                <w:noProof/>
                <w:webHidden/>
              </w:rPr>
              <w:t>20</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28" w:history="1">
            <w:r w:rsidR="00672B3D" w:rsidRPr="0065718D">
              <w:rPr>
                <w:rStyle w:val="Hipercze"/>
                <w:b/>
                <w:noProof/>
                <w:lang w:val="en-GB"/>
              </w:rPr>
              <w:t>10. Adverse Events and Serious adverse events reporting</w:t>
            </w:r>
            <w:r w:rsidR="00672B3D">
              <w:rPr>
                <w:noProof/>
                <w:webHidden/>
              </w:rPr>
              <w:tab/>
            </w:r>
            <w:r>
              <w:rPr>
                <w:noProof/>
                <w:webHidden/>
              </w:rPr>
              <w:fldChar w:fldCharType="begin"/>
            </w:r>
            <w:r w:rsidR="00672B3D">
              <w:rPr>
                <w:noProof/>
                <w:webHidden/>
              </w:rPr>
              <w:instrText xml:space="preserve"> PAGEREF _Toc86608128 \h </w:instrText>
            </w:r>
            <w:r>
              <w:rPr>
                <w:noProof/>
                <w:webHidden/>
              </w:rPr>
            </w:r>
            <w:r>
              <w:rPr>
                <w:noProof/>
                <w:webHidden/>
              </w:rPr>
              <w:fldChar w:fldCharType="separate"/>
            </w:r>
            <w:r w:rsidR="006C528C">
              <w:rPr>
                <w:noProof/>
                <w:webHidden/>
              </w:rPr>
              <w:t>21</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29" w:history="1">
            <w:r w:rsidR="00672B3D" w:rsidRPr="0065718D">
              <w:rPr>
                <w:rStyle w:val="Hipercze"/>
                <w:b/>
                <w:noProof/>
                <w:lang w:val="en-GB"/>
              </w:rPr>
              <w:t>10.1. Definitions</w:t>
            </w:r>
            <w:r w:rsidR="00672B3D">
              <w:rPr>
                <w:noProof/>
                <w:webHidden/>
              </w:rPr>
              <w:tab/>
            </w:r>
            <w:r>
              <w:rPr>
                <w:noProof/>
                <w:webHidden/>
              </w:rPr>
              <w:fldChar w:fldCharType="begin"/>
            </w:r>
            <w:r w:rsidR="00672B3D">
              <w:rPr>
                <w:noProof/>
                <w:webHidden/>
              </w:rPr>
              <w:instrText xml:space="preserve"> PAGEREF _Toc86608129 \h </w:instrText>
            </w:r>
            <w:r>
              <w:rPr>
                <w:noProof/>
                <w:webHidden/>
              </w:rPr>
            </w:r>
            <w:r>
              <w:rPr>
                <w:noProof/>
                <w:webHidden/>
              </w:rPr>
              <w:fldChar w:fldCharType="separate"/>
            </w:r>
            <w:r w:rsidR="006C528C">
              <w:rPr>
                <w:noProof/>
                <w:webHidden/>
              </w:rPr>
              <w:t>21</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31" w:history="1">
            <w:r w:rsidR="00672B3D" w:rsidRPr="0065718D">
              <w:rPr>
                <w:rStyle w:val="Hipercze"/>
                <w:b/>
                <w:noProof/>
                <w:lang w:val="en-GB"/>
              </w:rPr>
              <w:t>10.2. Time Period and Frequency for Collecting AE and SAE Information</w:t>
            </w:r>
            <w:r w:rsidR="00672B3D">
              <w:rPr>
                <w:noProof/>
                <w:webHidden/>
              </w:rPr>
              <w:tab/>
            </w:r>
            <w:r>
              <w:rPr>
                <w:noProof/>
                <w:webHidden/>
              </w:rPr>
              <w:fldChar w:fldCharType="begin"/>
            </w:r>
            <w:r w:rsidR="00672B3D">
              <w:rPr>
                <w:noProof/>
                <w:webHidden/>
              </w:rPr>
              <w:instrText xml:space="preserve"> PAGEREF _Toc86608131 \h </w:instrText>
            </w:r>
            <w:r>
              <w:rPr>
                <w:noProof/>
                <w:webHidden/>
              </w:rPr>
            </w:r>
            <w:r>
              <w:rPr>
                <w:noProof/>
                <w:webHidden/>
              </w:rPr>
              <w:fldChar w:fldCharType="separate"/>
            </w:r>
            <w:r w:rsidR="006C528C">
              <w:rPr>
                <w:noProof/>
                <w:webHidden/>
              </w:rPr>
              <w:t>22</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32" w:history="1">
            <w:r w:rsidR="00672B3D" w:rsidRPr="0065718D">
              <w:rPr>
                <w:rStyle w:val="Hipercze"/>
                <w:b/>
                <w:noProof/>
                <w:lang w:val="en-GB"/>
              </w:rPr>
              <w:t>10.3. Method of Detecting AEs and SAEs</w:t>
            </w:r>
            <w:r w:rsidR="00672B3D">
              <w:rPr>
                <w:noProof/>
                <w:webHidden/>
              </w:rPr>
              <w:tab/>
            </w:r>
            <w:r>
              <w:rPr>
                <w:noProof/>
                <w:webHidden/>
              </w:rPr>
              <w:fldChar w:fldCharType="begin"/>
            </w:r>
            <w:r w:rsidR="00672B3D">
              <w:rPr>
                <w:noProof/>
                <w:webHidden/>
              </w:rPr>
              <w:instrText xml:space="preserve"> PAGEREF _Toc86608132 \h </w:instrText>
            </w:r>
            <w:r>
              <w:rPr>
                <w:noProof/>
                <w:webHidden/>
              </w:rPr>
            </w:r>
            <w:r>
              <w:rPr>
                <w:noProof/>
                <w:webHidden/>
              </w:rPr>
              <w:fldChar w:fldCharType="separate"/>
            </w:r>
            <w:r w:rsidR="006C528C">
              <w:rPr>
                <w:noProof/>
                <w:webHidden/>
              </w:rPr>
              <w:t>22</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33" w:history="1">
            <w:r w:rsidR="00672B3D" w:rsidRPr="0065718D">
              <w:rPr>
                <w:rStyle w:val="Hipercze"/>
                <w:b/>
                <w:noProof/>
                <w:lang w:val="en-GB"/>
              </w:rPr>
              <w:t>10.4. Follow-up of AEs and SAEs</w:t>
            </w:r>
            <w:r w:rsidR="00672B3D">
              <w:rPr>
                <w:noProof/>
                <w:webHidden/>
              </w:rPr>
              <w:tab/>
            </w:r>
            <w:r>
              <w:rPr>
                <w:noProof/>
                <w:webHidden/>
              </w:rPr>
              <w:fldChar w:fldCharType="begin"/>
            </w:r>
            <w:r w:rsidR="00672B3D">
              <w:rPr>
                <w:noProof/>
                <w:webHidden/>
              </w:rPr>
              <w:instrText xml:space="preserve"> PAGEREF _Toc86608133 \h </w:instrText>
            </w:r>
            <w:r>
              <w:rPr>
                <w:noProof/>
                <w:webHidden/>
              </w:rPr>
            </w:r>
            <w:r>
              <w:rPr>
                <w:noProof/>
                <w:webHidden/>
              </w:rPr>
              <w:fldChar w:fldCharType="separate"/>
            </w:r>
            <w:r w:rsidR="006C528C">
              <w:rPr>
                <w:noProof/>
                <w:webHidden/>
              </w:rPr>
              <w:t>22</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34" w:history="1">
            <w:r w:rsidR="00672B3D" w:rsidRPr="0065718D">
              <w:rPr>
                <w:rStyle w:val="Hipercze"/>
                <w:b/>
                <w:noProof/>
                <w:lang w:val="en-GB"/>
              </w:rPr>
              <w:t>10.5. Regulatory Reporting Requirements for SAEs</w:t>
            </w:r>
            <w:r w:rsidR="00672B3D">
              <w:rPr>
                <w:noProof/>
                <w:webHidden/>
              </w:rPr>
              <w:tab/>
            </w:r>
            <w:r>
              <w:rPr>
                <w:noProof/>
                <w:webHidden/>
              </w:rPr>
              <w:fldChar w:fldCharType="begin"/>
            </w:r>
            <w:r w:rsidR="00672B3D">
              <w:rPr>
                <w:noProof/>
                <w:webHidden/>
              </w:rPr>
              <w:instrText xml:space="preserve"> PAGEREF _Toc86608134 \h </w:instrText>
            </w:r>
            <w:r>
              <w:rPr>
                <w:noProof/>
                <w:webHidden/>
              </w:rPr>
            </w:r>
            <w:r>
              <w:rPr>
                <w:noProof/>
                <w:webHidden/>
              </w:rPr>
              <w:fldChar w:fldCharType="separate"/>
            </w:r>
            <w:r w:rsidR="006C528C">
              <w:rPr>
                <w:noProof/>
                <w:webHidden/>
              </w:rPr>
              <w:t>23</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35" w:history="1">
            <w:r w:rsidR="00672B3D" w:rsidRPr="0065718D">
              <w:rPr>
                <w:rStyle w:val="Hipercze"/>
                <w:b/>
                <w:noProof/>
                <w:lang w:val="en-GB"/>
              </w:rPr>
              <w:t>11. Pregnancies</w:t>
            </w:r>
            <w:r w:rsidR="00672B3D">
              <w:rPr>
                <w:noProof/>
                <w:webHidden/>
              </w:rPr>
              <w:tab/>
            </w:r>
            <w:r>
              <w:rPr>
                <w:noProof/>
                <w:webHidden/>
              </w:rPr>
              <w:fldChar w:fldCharType="begin"/>
            </w:r>
            <w:r w:rsidR="00672B3D">
              <w:rPr>
                <w:noProof/>
                <w:webHidden/>
              </w:rPr>
              <w:instrText xml:space="preserve"> PAGEREF _Toc86608135 \h </w:instrText>
            </w:r>
            <w:r>
              <w:rPr>
                <w:noProof/>
                <w:webHidden/>
              </w:rPr>
            </w:r>
            <w:r>
              <w:rPr>
                <w:noProof/>
                <w:webHidden/>
              </w:rPr>
              <w:fldChar w:fldCharType="separate"/>
            </w:r>
            <w:r w:rsidR="006C528C">
              <w:rPr>
                <w:noProof/>
                <w:webHidden/>
              </w:rPr>
              <w:t>23</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36" w:history="1">
            <w:r w:rsidR="00672B3D" w:rsidRPr="0065718D">
              <w:rPr>
                <w:rStyle w:val="Hipercze"/>
                <w:b/>
                <w:noProof/>
                <w:lang w:val="en-GB" w:eastAsia="it-IT"/>
              </w:rPr>
              <w:t>12. Patient withdrawal from trial participation</w:t>
            </w:r>
            <w:r w:rsidR="00672B3D">
              <w:rPr>
                <w:noProof/>
                <w:webHidden/>
              </w:rPr>
              <w:tab/>
            </w:r>
            <w:r>
              <w:rPr>
                <w:noProof/>
                <w:webHidden/>
              </w:rPr>
              <w:fldChar w:fldCharType="begin"/>
            </w:r>
            <w:r w:rsidR="00672B3D">
              <w:rPr>
                <w:noProof/>
                <w:webHidden/>
              </w:rPr>
              <w:instrText xml:space="preserve"> PAGEREF _Toc86608136 \h </w:instrText>
            </w:r>
            <w:r>
              <w:rPr>
                <w:noProof/>
                <w:webHidden/>
              </w:rPr>
            </w:r>
            <w:r>
              <w:rPr>
                <w:noProof/>
                <w:webHidden/>
              </w:rPr>
              <w:fldChar w:fldCharType="separate"/>
            </w:r>
            <w:r w:rsidR="006C528C">
              <w:rPr>
                <w:noProof/>
                <w:webHidden/>
              </w:rPr>
              <w:t>23</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37" w:history="1">
            <w:r w:rsidR="00672B3D" w:rsidRPr="0065718D">
              <w:rPr>
                <w:rStyle w:val="Hipercze"/>
                <w:b/>
                <w:noProof/>
                <w:lang w:val="en-GB" w:eastAsia="it-IT"/>
              </w:rPr>
              <w:t>13. Lost to Follow Up</w:t>
            </w:r>
            <w:r w:rsidR="00672B3D">
              <w:rPr>
                <w:noProof/>
                <w:webHidden/>
              </w:rPr>
              <w:tab/>
            </w:r>
            <w:r>
              <w:rPr>
                <w:noProof/>
                <w:webHidden/>
              </w:rPr>
              <w:fldChar w:fldCharType="begin"/>
            </w:r>
            <w:r w:rsidR="00672B3D">
              <w:rPr>
                <w:noProof/>
                <w:webHidden/>
              </w:rPr>
              <w:instrText xml:space="preserve"> PAGEREF _Toc86608137 \h </w:instrText>
            </w:r>
            <w:r>
              <w:rPr>
                <w:noProof/>
                <w:webHidden/>
              </w:rPr>
            </w:r>
            <w:r>
              <w:rPr>
                <w:noProof/>
                <w:webHidden/>
              </w:rPr>
              <w:fldChar w:fldCharType="separate"/>
            </w:r>
            <w:r w:rsidR="006C528C">
              <w:rPr>
                <w:noProof/>
                <w:webHidden/>
              </w:rPr>
              <w:t>24</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38" w:history="1">
            <w:r w:rsidR="00672B3D" w:rsidRPr="0065718D">
              <w:rPr>
                <w:rStyle w:val="Hipercze"/>
                <w:b/>
                <w:noProof/>
                <w:lang w:val="en-GB"/>
              </w:rPr>
              <w:t>14. Ethical and legal requirements</w:t>
            </w:r>
            <w:r w:rsidR="00672B3D">
              <w:rPr>
                <w:noProof/>
                <w:webHidden/>
              </w:rPr>
              <w:tab/>
            </w:r>
            <w:r>
              <w:rPr>
                <w:noProof/>
                <w:webHidden/>
              </w:rPr>
              <w:fldChar w:fldCharType="begin"/>
            </w:r>
            <w:r w:rsidR="00672B3D">
              <w:rPr>
                <w:noProof/>
                <w:webHidden/>
              </w:rPr>
              <w:instrText xml:space="preserve"> PAGEREF _Toc86608138 \h </w:instrText>
            </w:r>
            <w:r>
              <w:rPr>
                <w:noProof/>
                <w:webHidden/>
              </w:rPr>
            </w:r>
            <w:r>
              <w:rPr>
                <w:noProof/>
                <w:webHidden/>
              </w:rPr>
              <w:fldChar w:fldCharType="separate"/>
            </w:r>
            <w:r w:rsidR="006C528C">
              <w:rPr>
                <w:noProof/>
                <w:webHidden/>
              </w:rPr>
              <w:t>24</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39" w:history="1">
            <w:r w:rsidR="00672B3D" w:rsidRPr="0065718D">
              <w:rPr>
                <w:rStyle w:val="Hipercze"/>
                <w:b/>
                <w:noProof/>
                <w:lang w:val="en-GB"/>
              </w:rPr>
              <w:t>14.1. Ethical conduct of the trial</w:t>
            </w:r>
            <w:r w:rsidR="00672B3D">
              <w:rPr>
                <w:noProof/>
                <w:webHidden/>
              </w:rPr>
              <w:tab/>
            </w:r>
            <w:r>
              <w:rPr>
                <w:noProof/>
                <w:webHidden/>
              </w:rPr>
              <w:fldChar w:fldCharType="begin"/>
            </w:r>
            <w:r w:rsidR="00672B3D">
              <w:rPr>
                <w:noProof/>
                <w:webHidden/>
              </w:rPr>
              <w:instrText xml:space="preserve"> PAGEREF _Toc86608139 \h </w:instrText>
            </w:r>
            <w:r>
              <w:rPr>
                <w:noProof/>
                <w:webHidden/>
              </w:rPr>
            </w:r>
            <w:r>
              <w:rPr>
                <w:noProof/>
                <w:webHidden/>
              </w:rPr>
              <w:fldChar w:fldCharType="separate"/>
            </w:r>
            <w:r w:rsidR="006C528C">
              <w:rPr>
                <w:noProof/>
                <w:webHidden/>
              </w:rPr>
              <w:t>24</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0" w:history="1">
            <w:r w:rsidR="00672B3D" w:rsidRPr="0065718D">
              <w:rPr>
                <w:rStyle w:val="Hipercze"/>
                <w:b/>
                <w:noProof/>
                <w:lang w:val="en-GB"/>
              </w:rPr>
              <w:t>14.2. Independent ethics committee</w:t>
            </w:r>
            <w:r w:rsidR="00672B3D">
              <w:rPr>
                <w:noProof/>
                <w:webHidden/>
              </w:rPr>
              <w:tab/>
            </w:r>
            <w:r>
              <w:rPr>
                <w:noProof/>
                <w:webHidden/>
              </w:rPr>
              <w:fldChar w:fldCharType="begin"/>
            </w:r>
            <w:r w:rsidR="00672B3D">
              <w:rPr>
                <w:noProof/>
                <w:webHidden/>
              </w:rPr>
              <w:instrText xml:space="preserve"> PAGEREF _Toc86608140 \h </w:instrText>
            </w:r>
            <w:r>
              <w:rPr>
                <w:noProof/>
                <w:webHidden/>
              </w:rPr>
            </w:r>
            <w:r>
              <w:rPr>
                <w:noProof/>
                <w:webHidden/>
              </w:rPr>
              <w:fldChar w:fldCharType="separate"/>
            </w:r>
            <w:r w:rsidR="006C528C">
              <w:rPr>
                <w:noProof/>
                <w:webHidden/>
              </w:rPr>
              <w:t>25</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1" w:history="1">
            <w:r w:rsidR="00672B3D" w:rsidRPr="0065718D">
              <w:rPr>
                <w:rStyle w:val="Hipercze"/>
                <w:b/>
                <w:noProof/>
                <w:lang w:val="en-GB"/>
              </w:rPr>
              <w:t>14.3. Patient information and consent procedure</w:t>
            </w:r>
            <w:r w:rsidR="00672B3D">
              <w:rPr>
                <w:noProof/>
                <w:webHidden/>
              </w:rPr>
              <w:tab/>
            </w:r>
            <w:r>
              <w:rPr>
                <w:noProof/>
                <w:webHidden/>
              </w:rPr>
              <w:fldChar w:fldCharType="begin"/>
            </w:r>
            <w:r w:rsidR="00672B3D">
              <w:rPr>
                <w:noProof/>
                <w:webHidden/>
              </w:rPr>
              <w:instrText xml:space="preserve"> PAGEREF _Toc86608141 \h </w:instrText>
            </w:r>
            <w:r>
              <w:rPr>
                <w:noProof/>
                <w:webHidden/>
              </w:rPr>
            </w:r>
            <w:r>
              <w:rPr>
                <w:noProof/>
                <w:webHidden/>
              </w:rPr>
              <w:fldChar w:fldCharType="separate"/>
            </w:r>
            <w:r w:rsidR="006C528C">
              <w:rPr>
                <w:noProof/>
                <w:webHidden/>
              </w:rPr>
              <w:t>25</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2" w:history="1">
            <w:r w:rsidR="00672B3D" w:rsidRPr="0065718D">
              <w:rPr>
                <w:rStyle w:val="Hipercze"/>
                <w:b/>
                <w:noProof/>
                <w:lang w:val="en-GB"/>
              </w:rPr>
              <w:t>14.4. Insurance coverage</w:t>
            </w:r>
            <w:r w:rsidR="00672B3D">
              <w:rPr>
                <w:noProof/>
                <w:webHidden/>
              </w:rPr>
              <w:tab/>
            </w:r>
            <w:r>
              <w:rPr>
                <w:noProof/>
                <w:webHidden/>
              </w:rPr>
              <w:fldChar w:fldCharType="begin"/>
            </w:r>
            <w:r w:rsidR="00672B3D">
              <w:rPr>
                <w:noProof/>
                <w:webHidden/>
              </w:rPr>
              <w:instrText xml:space="preserve"> PAGEREF _Toc86608142 \h </w:instrText>
            </w:r>
            <w:r>
              <w:rPr>
                <w:noProof/>
                <w:webHidden/>
              </w:rPr>
            </w:r>
            <w:r>
              <w:rPr>
                <w:noProof/>
                <w:webHidden/>
              </w:rPr>
              <w:fldChar w:fldCharType="separate"/>
            </w:r>
            <w:r w:rsidR="006C528C">
              <w:rPr>
                <w:noProof/>
                <w:webHidden/>
              </w:rPr>
              <w:t>25</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3" w:history="1">
            <w:r w:rsidR="00672B3D" w:rsidRPr="0065718D">
              <w:rPr>
                <w:rStyle w:val="Hipercze"/>
                <w:b/>
                <w:noProof/>
                <w:lang w:val="en-GB"/>
              </w:rPr>
              <w:t>14.5. Submission to authorities</w:t>
            </w:r>
            <w:r w:rsidR="00672B3D">
              <w:rPr>
                <w:noProof/>
                <w:webHidden/>
              </w:rPr>
              <w:tab/>
            </w:r>
            <w:r>
              <w:rPr>
                <w:noProof/>
                <w:webHidden/>
              </w:rPr>
              <w:fldChar w:fldCharType="begin"/>
            </w:r>
            <w:r w:rsidR="00672B3D">
              <w:rPr>
                <w:noProof/>
                <w:webHidden/>
              </w:rPr>
              <w:instrText xml:space="preserve"> PAGEREF _Toc86608143 \h </w:instrText>
            </w:r>
            <w:r>
              <w:rPr>
                <w:noProof/>
                <w:webHidden/>
              </w:rPr>
            </w:r>
            <w:r>
              <w:rPr>
                <w:noProof/>
                <w:webHidden/>
              </w:rPr>
              <w:fldChar w:fldCharType="separate"/>
            </w:r>
            <w:r w:rsidR="006C528C">
              <w:rPr>
                <w:noProof/>
                <w:webHidden/>
              </w:rPr>
              <w:t>26</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5" w:history="1">
            <w:r w:rsidR="00672B3D" w:rsidRPr="0065718D">
              <w:rPr>
                <w:rStyle w:val="Hipercze"/>
                <w:b/>
                <w:noProof/>
                <w:lang w:val="en-GB"/>
              </w:rPr>
              <w:t>15. Patient confidentiality</w:t>
            </w:r>
            <w:r w:rsidR="00672B3D">
              <w:rPr>
                <w:noProof/>
                <w:webHidden/>
              </w:rPr>
              <w:tab/>
            </w:r>
            <w:r>
              <w:rPr>
                <w:noProof/>
                <w:webHidden/>
              </w:rPr>
              <w:fldChar w:fldCharType="begin"/>
            </w:r>
            <w:r w:rsidR="00672B3D">
              <w:rPr>
                <w:noProof/>
                <w:webHidden/>
              </w:rPr>
              <w:instrText xml:space="preserve"> PAGEREF _Toc86608145 \h </w:instrText>
            </w:r>
            <w:r>
              <w:rPr>
                <w:noProof/>
                <w:webHidden/>
              </w:rPr>
            </w:r>
            <w:r>
              <w:rPr>
                <w:noProof/>
                <w:webHidden/>
              </w:rPr>
              <w:fldChar w:fldCharType="separate"/>
            </w:r>
            <w:r w:rsidR="006C528C">
              <w:rPr>
                <w:noProof/>
                <w:webHidden/>
              </w:rPr>
              <w:t>26</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46" w:history="1">
            <w:r w:rsidR="00672B3D" w:rsidRPr="0065718D">
              <w:rPr>
                <w:rStyle w:val="Hipercze"/>
                <w:b/>
                <w:noProof/>
                <w:lang w:val="en-GB" w:eastAsia="it-IT"/>
              </w:rPr>
              <w:t>16. Data collection, monitoring and quality assurance</w:t>
            </w:r>
            <w:r w:rsidR="00672B3D">
              <w:rPr>
                <w:noProof/>
                <w:webHidden/>
              </w:rPr>
              <w:tab/>
            </w:r>
            <w:r>
              <w:rPr>
                <w:noProof/>
                <w:webHidden/>
              </w:rPr>
              <w:fldChar w:fldCharType="begin"/>
            </w:r>
            <w:r w:rsidR="00672B3D">
              <w:rPr>
                <w:noProof/>
                <w:webHidden/>
              </w:rPr>
              <w:instrText xml:space="preserve"> PAGEREF _Toc86608146 \h </w:instrText>
            </w:r>
            <w:r>
              <w:rPr>
                <w:noProof/>
                <w:webHidden/>
              </w:rPr>
            </w:r>
            <w:r>
              <w:rPr>
                <w:noProof/>
                <w:webHidden/>
              </w:rPr>
              <w:fldChar w:fldCharType="separate"/>
            </w:r>
            <w:r w:rsidR="006C528C">
              <w:rPr>
                <w:noProof/>
                <w:webHidden/>
              </w:rPr>
              <w:t>26</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7" w:history="1">
            <w:r w:rsidR="00672B3D" w:rsidRPr="0065718D">
              <w:rPr>
                <w:rStyle w:val="Hipercze"/>
                <w:b/>
                <w:noProof/>
                <w:lang w:val="en-GB" w:eastAsia="it-IT"/>
              </w:rPr>
              <w:t>16.1 Data collection</w:t>
            </w:r>
            <w:r w:rsidR="00672B3D">
              <w:rPr>
                <w:noProof/>
                <w:webHidden/>
              </w:rPr>
              <w:tab/>
            </w:r>
            <w:r>
              <w:rPr>
                <w:noProof/>
                <w:webHidden/>
              </w:rPr>
              <w:fldChar w:fldCharType="begin"/>
            </w:r>
            <w:r w:rsidR="00672B3D">
              <w:rPr>
                <w:noProof/>
                <w:webHidden/>
              </w:rPr>
              <w:instrText xml:space="preserve"> PAGEREF _Toc86608147 \h </w:instrText>
            </w:r>
            <w:r>
              <w:rPr>
                <w:noProof/>
                <w:webHidden/>
              </w:rPr>
            </w:r>
            <w:r>
              <w:rPr>
                <w:noProof/>
                <w:webHidden/>
              </w:rPr>
              <w:fldChar w:fldCharType="separate"/>
            </w:r>
            <w:r w:rsidR="006C528C">
              <w:rPr>
                <w:noProof/>
                <w:webHidden/>
              </w:rPr>
              <w:t>26</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8" w:history="1">
            <w:r w:rsidR="00672B3D" w:rsidRPr="0065718D">
              <w:rPr>
                <w:rStyle w:val="Hipercze"/>
                <w:b/>
                <w:noProof/>
                <w:lang w:val="en-GB" w:eastAsia="it-IT"/>
              </w:rPr>
              <w:t>16.2 Source data</w:t>
            </w:r>
            <w:r w:rsidR="00672B3D">
              <w:rPr>
                <w:noProof/>
                <w:webHidden/>
              </w:rPr>
              <w:tab/>
            </w:r>
            <w:r>
              <w:rPr>
                <w:noProof/>
                <w:webHidden/>
              </w:rPr>
              <w:fldChar w:fldCharType="begin"/>
            </w:r>
            <w:r w:rsidR="00672B3D">
              <w:rPr>
                <w:noProof/>
                <w:webHidden/>
              </w:rPr>
              <w:instrText xml:space="preserve"> PAGEREF _Toc86608148 \h </w:instrText>
            </w:r>
            <w:r>
              <w:rPr>
                <w:noProof/>
                <w:webHidden/>
              </w:rPr>
            </w:r>
            <w:r>
              <w:rPr>
                <w:noProof/>
                <w:webHidden/>
              </w:rPr>
              <w:fldChar w:fldCharType="separate"/>
            </w:r>
            <w:r w:rsidR="006C528C">
              <w:rPr>
                <w:noProof/>
                <w:webHidden/>
              </w:rPr>
              <w:t>27</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49" w:history="1">
            <w:r w:rsidR="00672B3D" w:rsidRPr="0065718D">
              <w:rPr>
                <w:rStyle w:val="Hipercze"/>
                <w:b/>
                <w:noProof/>
                <w:lang w:val="en-GB" w:eastAsia="it-IT"/>
              </w:rPr>
              <w:t>16.3 Monitoring</w:t>
            </w:r>
            <w:r w:rsidR="00672B3D">
              <w:rPr>
                <w:noProof/>
                <w:webHidden/>
              </w:rPr>
              <w:tab/>
            </w:r>
            <w:r>
              <w:rPr>
                <w:noProof/>
                <w:webHidden/>
              </w:rPr>
              <w:fldChar w:fldCharType="begin"/>
            </w:r>
            <w:r w:rsidR="00672B3D">
              <w:rPr>
                <w:noProof/>
                <w:webHidden/>
              </w:rPr>
              <w:instrText xml:space="preserve"> PAGEREF _Toc86608149 \h </w:instrText>
            </w:r>
            <w:r>
              <w:rPr>
                <w:noProof/>
                <w:webHidden/>
              </w:rPr>
            </w:r>
            <w:r>
              <w:rPr>
                <w:noProof/>
                <w:webHidden/>
              </w:rPr>
              <w:fldChar w:fldCharType="separate"/>
            </w:r>
            <w:r w:rsidR="006C528C">
              <w:rPr>
                <w:noProof/>
                <w:webHidden/>
              </w:rPr>
              <w:t>27</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50" w:history="1">
            <w:r w:rsidR="00672B3D" w:rsidRPr="0065718D">
              <w:rPr>
                <w:rStyle w:val="Hipercze"/>
                <w:b/>
                <w:noProof/>
                <w:lang w:val="en-GB" w:eastAsia="it-IT"/>
              </w:rPr>
              <w:t>16.4 Audits and inspections</w:t>
            </w:r>
            <w:r w:rsidR="00672B3D">
              <w:rPr>
                <w:noProof/>
                <w:webHidden/>
              </w:rPr>
              <w:tab/>
            </w:r>
            <w:r>
              <w:rPr>
                <w:noProof/>
                <w:webHidden/>
              </w:rPr>
              <w:fldChar w:fldCharType="begin"/>
            </w:r>
            <w:r w:rsidR="00672B3D">
              <w:rPr>
                <w:noProof/>
                <w:webHidden/>
              </w:rPr>
              <w:instrText xml:space="preserve"> PAGEREF _Toc86608150 \h </w:instrText>
            </w:r>
            <w:r>
              <w:rPr>
                <w:noProof/>
                <w:webHidden/>
              </w:rPr>
            </w:r>
            <w:r>
              <w:rPr>
                <w:noProof/>
                <w:webHidden/>
              </w:rPr>
              <w:fldChar w:fldCharType="separate"/>
            </w:r>
            <w:r w:rsidR="006C528C">
              <w:rPr>
                <w:noProof/>
                <w:webHidden/>
              </w:rPr>
              <w:t>27</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51" w:history="1">
            <w:r w:rsidR="00672B3D" w:rsidRPr="0065718D">
              <w:rPr>
                <w:rStyle w:val="Hipercze"/>
                <w:b/>
                <w:noProof/>
                <w:lang w:val="en-GB" w:eastAsia="it-IT"/>
              </w:rPr>
              <w:t>16.5 Data management procedures</w:t>
            </w:r>
            <w:r w:rsidR="00672B3D">
              <w:rPr>
                <w:noProof/>
                <w:webHidden/>
              </w:rPr>
              <w:tab/>
            </w:r>
            <w:r>
              <w:rPr>
                <w:noProof/>
                <w:webHidden/>
              </w:rPr>
              <w:fldChar w:fldCharType="begin"/>
            </w:r>
            <w:r w:rsidR="00672B3D">
              <w:rPr>
                <w:noProof/>
                <w:webHidden/>
              </w:rPr>
              <w:instrText xml:space="preserve"> PAGEREF _Toc86608151 \h </w:instrText>
            </w:r>
            <w:r>
              <w:rPr>
                <w:noProof/>
                <w:webHidden/>
              </w:rPr>
            </w:r>
            <w:r>
              <w:rPr>
                <w:noProof/>
                <w:webHidden/>
              </w:rPr>
              <w:fldChar w:fldCharType="separate"/>
            </w:r>
            <w:r w:rsidR="006C528C">
              <w:rPr>
                <w:noProof/>
                <w:webHidden/>
              </w:rPr>
              <w:t>27</w:t>
            </w:r>
            <w:r>
              <w:rPr>
                <w:noProof/>
                <w:webHidden/>
              </w:rPr>
              <w:fldChar w:fldCharType="end"/>
            </w:r>
          </w:hyperlink>
        </w:p>
        <w:p w:rsidR="00672B3D" w:rsidRDefault="0047500D">
          <w:pPr>
            <w:pStyle w:val="Spistreci2"/>
            <w:tabs>
              <w:tab w:val="right" w:leader="dot" w:pos="9054"/>
            </w:tabs>
            <w:rPr>
              <w:rFonts w:asciiTheme="minorHAnsi" w:eastAsiaTheme="minorEastAsia" w:hAnsiTheme="minorHAnsi" w:cstheme="minorBidi"/>
              <w:noProof/>
              <w:sz w:val="22"/>
              <w:szCs w:val="22"/>
              <w:lang w:val="en-US" w:eastAsia="en-US"/>
            </w:rPr>
          </w:pPr>
          <w:hyperlink w:anchor="_Toc86608152" w:history="1">
            <w:r w:rsidR="00672B3D" w:rsidRPr="0065718D">
              <w:rPr>
                <w:rStyle w:val="Hipercze"/>
                <w:b/>
                <w:noProof/>
                <w:lang w:val="en-GB" w:eastAsia="it-IT"/>
              </w:rPr>
              <w:t>16.6 Trial report and publications</w:t>
            </w:r>
            <w:r w:rsidR="00672B3D">
              <w:rPr>
                <w:noProof/>
                <w:webHidden/>
              </w:rPr>
              <w:tab/>
            </w:r>
            <w:r>
              <w:rPr>
                <w:noProof/>
                <w:webHidden/>
              </w:rPr>
              <w:fldChar w:fldCharType="begin"/>
            </w:r>
            <w:r w:rsidR="00672B3D">
              <w:rPr>
                <w:noProof/>
                <w:webHidden/>
              </w:rPr>
              <w:instrText xml:space="preserve"> PAGEREF _Toc86608152 \h </w:instrText>
            </w:r>
            <w:r>
              <w:rPr>
                <w:noProof/>
                <w:webHidden/>
              </w:rPr>
            </w:r>
            <w:r>
              <w:rPr>
                <w:noProof/>
                <w:webHidden/>
              </w:rPr>
              <w:fldChar w:fldCharType="separate"/>
            </w:r>
            <w:r w:rsidR="006C528C">
              <w:rPr>
                <w:noProof/>
                <w:webHidden/>
              </w:rPr>
              <w:t>28</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53" w:history="1">
            <w:r w:rsidR="00672B3D" w:rsidRPr="0065718D">
              <w:rPr>
                <w:rStyle w:val="Hipercze"/>
                <w:b/>
                <w:noProof/>
                <w:lang w:val="en-GB" w:eastAsia="it-IT"/>
              </w:rPr>
              <w:t>17. Trial periods</w:t>
            </w:r>
            <w:r w:rsidR="00672B3D">
              <w:rPr>
                <w:noProof/>
                <w:webHidden/>
              </w:rPr>
              <w:tab/>
            </w:r>
            <w:r>
              <w:rPr>
                <w:noProof/>
                <w:webHidden/>
              </w:rPr>
              <w:fldChar w:fldCharType="begin"/>
            </w:r>
            <w:r w:rsidR="00672B3D">
              <w:rPr>
                <w:noProof/>
                <w:webHidden/>
              </w:rPr>
              <w:instrText xml:space="preserve"> PAGEREF _Toc86608153 \h </w:instrText>
            </w:r>
            <w:r>
              <w:rPr>
                <w:noProof/>
                <w:webHidden/>
              </w:rPr>
            </w:r>
            <w:r>
              <w:rPr>
                <w:noProof/>
                <w:webHidden/>
              </w:rPr>
              <w:fldChar w:fldCharType="separate"/>
            </w:r>
            <w:r w:rsidR="006C528C">
              <w:rPr>
                <w:noProof/>
                <w:webHidden/>
              </w:rPr>
              <w:t>28</w:t>
            </w:r>
            <w:r>
              <w:rPr>
                <w:noProof/>
                <w:webHidden/>
              </w:rPr>
              <w:fldChar w:fldCharType="end"/>
            </w:r>
          </w:hyperlink>
        </w:p>
        <w:p w:rsidR="00672B3D" w:rsidRDefault="0047500D">
          <w:pPr>
            <w:pStyle w:val="Spistreci1"/>
            <w:tabs>
              <w:tab w:val="right" w:leader="dot" w:pos="9054"/>
            </w:tabs>
            <w:rPr>
              <w:rFonts w:asciiTheme="minorHAnsi" w:eastAsiaTheme="minorEastAsia" w:hAnsiTheme="minorHAnsi" w:cstheme="minorBidi"/>
              <w:noProof/>
              <w:sz w:val="22"/>
              <w:szCs w:val="22"/>
              <w:lang w:val="en-US" w:eastAsia="en-US"/>
            </w:rPr>
          </w:pPr>
          <w:hyperlink w:anchor="_Toc86608154" w:history="1">
            <w:r w:rsidR="00672B3D" w:rsidRPr="0065718D">
              <w:rPr>
                <w:rStyle w:val="Hipercze"/>
                <w:rFonts w:eastAsia="Times New Roman"/>
                <w:b/>
                <w:noProof/>
                <w:lang w:val="en-GB"/>
              </w:rPr>
              <w:t>18. References</w:t>
            </w:r>
            <w:r w:rsidR="00672B3D">
              <w:rPr>
                <w:noProof/>
                <w:webHidden/>
              </w:rPr>
              <w:tab/>
            </w:r>
            <w:r>
              <w:rPr>
                <w:noProof/>
                <w:webHidden/>
              </w:rPr>
              <w:fldChar w:fldCharType="begin"/>
            </w:r>
            <w:r w:rsidR="00672B3D">
              <w:rPr>
                <w:noProof/>
                <w:webHidden/>
              </w:rPr>
              <w:instrText xml:space="preserve"> PAGEREF _Toc86608154 \h </w:instrText>
            </w:r>
            <w:r>
              <w:rPr>
                <w:noProof/>
                <w:webHidden/>
              </w:rPr>
            </w:r>
            <w:r>
              <w:rPr>
                <w:noProof/>
                <w:webHidden/>
              </w:rPr>
              <w:fldChar w:fldCharType="separate"/>
            </w:r>
            <w:r w:rsidR="006C528C">
              <w:rPr>
                <w:noProof/>
                <w:webHidden/>
              </w:rPr>
              <w:t>29</w:t>
            </w:r>
            <w:r>
              <w:rPr>
                <w:noProof/>
                <w:webHidden/>
              </w:rPr>
              <w:fldChar w:fldCharType="end"/>
            </w:r>
          </w:hyperlink>
        </w:p>
        <w:p w:rsidR="00364FF4" w:rsidRDefault="0047500D">
          <w:r>
            <w:fldChar w:fldCharType="end"/>
          </w:r>
        </w:p>
      </w:sdtContent>
    </w:sdt>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6C528C" w:rsidRDefault="006C528C" w:rsidP="005C1381">
      <w:pPr>
        <w:autoSpaceDE w:val="0"/>
        <w:autoSpaceDN w:val="0"/>
        <w:adjustRightInd w:val="0"/>
        <w:rPr>
          <w:rFonts w:eastAsia="Times New Roman"/>
          <w:lang w:val="en-GB"/>
        </w:rPr>
      </w:pPr>
    </w:p>
    <w:p w:rsidR="006C528C" w:rsidRDefault="006C528C" w:rsidP="005C1381">
      <w:pPr>
        <w:autoSpaceDE w:val="0"/>
        <w:autoSpaceDN w:val="0"/>
        <w:adjustRightInd w:val="0"/>
        <w:rPr>
          <w:rFonts w:eastAsia="Times New Roman"/>
          <w:lang w:val="en-GB"/>
        </w:rPr>
      </w:pPr>
    </w:p>
    <w:p w:rsidR="006C528C" w:rsidRDefault="006C528C"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3C4A65" w:rsidRDefault="003C4A65" w:rsidP="005C1381">
      <w:pPr>
        <w:autoSpaceDE w:val="0"/>
        <w:autoSpaceDN w:val="0"/>
        <w:adjustRightInd w:val="0"/>
        <w:rPr>
          <w:rFonts w:eastAsia="Times New Roman"/>
          <w:lang w:val="en-GB"/>
        </w:rPr>
      </w:pPr>
    </w:p>
    <w:p w:rsidR="003C4A65" w:rsidRDefault="003C4A65" w:rsidP="005C1381">
      <w:pPr>
        <w:autoSpaceDE w:val="0"/>
        <w:autoSpaceDN w:val="0"/>
        <w:adjustRightInd w:val="0"/>
        <w:rPr>
          <w:rFonts w:eastAsia="Times New Roman"/>
          <w:lang w:val="en-GB"/>
        </w:rPr>
      </w:pPr>
    </w:p>
    <w:p w:rsidR="003C4A65" w:rsidRDefault="003C4A65" w:rsidP="005C1381">
      <w:pPr>
        <w:autoSpaceDE w:val="0"/>
        <w:autoSpaceDN w:val="0"/>
        <w:adjustRightInd w:val="0"/>
        <w:rPr>
          <w:rFonts w:eastAsia="Times New Roman"/>
          <w:lang w:val="en-GB"/>
        </w:rPr>
      </w:pPr>
    </w:p>
    <w:p w:rsidR="003C4A65" w:rsidRDefault="003C4A65" w:rsidP="005C1381">
      <w:pPr>
        <w:autoSpaceDE w:val="0"/>
        <w:autoSpaceDN w:val="0"/>
        <w:adjustRightInd w:val="0"/>
        <w:rPr>
          <w:rFonts w:eastAsia="Times New Roman"/>
          <w:lang w:val="en-GB"/>
        </w:rPr>
      </w:pPr>
    </w:p>
    <w:p w:rsidR="00364FF4" w:rsidRDefault="00364FF4" w:rsidP="005C1381">
      <w:pPr>
        <w:autoSpaceDE w:val="0"/>
        <w:autoSpaceDN w:val="0"/>
        <w:adjustRightInd w:val="0"/>
        <w:rPr>
          <w:rFonts w:eastAsia="Times New Roman"/>
          <w:lang w:val="en-GB"/>
        </w:rPr>
      </w:pPr>
    </w:p>
    <w:p w:rsidR="005917B2" w:rsidRPr="00DC5FBB" w:rsidRDefault="00604672" w:rsidP="00DC5FBB">
      <w:pPr>
        <w:pStyle w:val="Nagwek1"/>
        <w:rPr>
          <w:rFonts w:ascii="Cambria" w:hAnsi="Cambria"/>
          <w:b/>
          <w:color w:val="auto"/>
          <w:sz w:val="24"/>
          <w:szCs w:val="24"/>
          <w:lang w:val="en-GB"/>
        </w:rPr>
      </w:pPr>
      <w:bookmarkStart w:id="0" w:name="_Toc38208546"/>
      <w:bookmarkStart w:id="1" w:name="_Toc86608094"/>
      <w:r w:rsidRPr="00DC5FBB">
        <w:rPr>
          <w:rFonts w:ascii="Cambria" w:hAnsi="Cambria"/>
          <w:b/>
          <w:color w:val="auto"/>
          <w:sz w:val="24"/>
          <w:szCs w:val="24"/>
          <w:lang w:val="en-GB"/>
        </w:rPr>
        <w:lastRenderedPageBreak/>
        <w:t>1. Introduction</w:t>
      </w:r>
      <w:bookmarkEnd w:id="0"/>
      <w:bookmarkEnd w:id="1"/>
      <w:r w:rsidRPr="00DC5FBB">
        <w:rPr>
          <w:rFonts w:ascii="Cambria" w:hAnsi="Cambria"/>
          <w:b/>
          <w:color w:val="auto"/>
          <w:sz w:val="24"/>
          <w:szCs w:val="24"/>
          <w:lang w:val="en-GB"/>
        </w:rPr>
        <w:t xml:space="preserve"> </w:t>
      </w:r>
    </w:p>
    <w:p w:rsidR="00B87AF4" w:rsidRPr="00573C3D" w:rsidRDefault="00BA65FD">
      <w:pPr>
        <w:jc w:val="both"/>
        <w:rPr>
          <w:bCs/>
          <w:lang w:val="en-GB"/>
        </w:rPr>
      </w:pPr>
      <w:r w:rsidRPr="00573C3D">
        <w:rPr>
          <w:rFonts w:cs="Calibri"/>
          <w:color w:val="000000"/>
          <w:lang w:val="en-GB"/>
        </w:rPr>
        <w:t xml:space="preserve">Infection with </w:t>
      </w:r>
      <w:r w:rsidR="00603328" w:rsidRPr="00573C3D">
        <w:rPr>
          <w:rFonts w:cs="Calibri"/>
          <w:color w:val="000000"/>
          <w:lang w:val="en-GB"/>
        </w:rPr>
        <w:t>Severe Acute Respiratory Syndrome Coronavirus 2 (</w:t>
      </w:r>
      <w:r w:rsidRPr="00573C3D">
        <w:rPr>
          <w:rFonts w:cs="Calibri"/>
          <w:color w:val="000000"/>
          <w:lang w:val="en-GB"/>
        </w:rPr>
        <w:t>SARS-CoV-2</w:t>
      </w:r>
      <w:r w:rsidR="00603328" w:rsidRPr="00573C3D">
        <w:rPr>
          <w:rFonts w:cs="Calibri"/>
          <w:color w:val="000000"/>
          <w:lang w:val="en-GB"/>
        </w:rPr>
        <w:t>)</w:t>
      </w:r>
      <w:r w:rsidRPr="00573C3D">
        <w:rPr>
          <w:rFonts w:cs="Calibri"/>
          <w:color w:val="000000"/>
          <w:lang w:val="en-GB"/>
        </w:rPr>
        <w:t>,</w:t>
      </w:r>
      <w:r w:rsidR="00603328" w:rsidRPr="00573C3D">
        <w:rPr>
          <w:rFonts w:cs="Calibri"/>
          <w:color w:val="000000"/>
          <w:lang w:val="en-GB"/>
        </w:rPr>
        <w:t xml:space="preserve"> also</w:t>
      </w:r>
      <w:r w:rsidRPr="00573C3D">
        <w:rPr>
          <w:rFonts w:cs="Calibri"/>
          <w:color w:val="000000"/>
          <w:lang w:val="en-GB"/>
        </w:rPr>
        <w:t xml:space="preserve"> known as coronavirus disease (COVID-19), </w:t>
      </w:r>
      <w:r w:rsidR="00603328" w:rsidRPr="00573C3D">
        <w:rPr>
          <w:rFonts w:cs="Calibri"/>
          <w:color w:val="000000"/>
          <w:lang w:val="en-GB"/>
        </w:rPr>
        <w:t>is</w:t>
      </w:r>
      <w:r w:rsidRPr="00573C3D">
        <w:rPr>
          <w:rFonts w:cs="Calibri"/>
          <w:color w:val="000000"/>
          <w:lang w:val="en-GB"/>
        </w:rPr>
        <w:t xml:space="preserve"> currently classified by </w:t>
      </w:r>
      <w:r w:rsidR="00603328" w:rsidRPr="00573C3D">
        <w:rPr>
          <w:rFonts w:cs="Calibri"/>
          <w:color w:val="000000"/>
          <w:lang w:val="en-GB"/>
        </w:rPr>
        <w:t xml:space="preserve">the </w:t>
      </w:r>
      <w:r w:rsidRPr="00573C3D">
        <w:rPr>
          <w:rFonts w:cs="Calibri"/>
          <w:color w:val="000000"/>
          <w:lang w:val="en-GB"/>
        </w:rPr>
        <w:t xml:space="preserve">World Health Organization </w:t>
      </w:r>
      <w:r w:rsidR="00192DC9" w:rsidRPr="00573C3D">
        <w:rPr>
          <w:rFonts w:cs="Calibri"/>
          <w:color w:val="000000"/>
          <w:lang w:val="en-GB"/>
        </w:rPr>
        <w:t xml:space="preserve">(WHO) </w:t>
      </w:r>
      <w:r w:rsidRPr="00573C3D">
        <w:rPr>
          <w:rFonts w:cs="Calibri"/>
          <w:color w:val="000000"/>
          <w:lang w:val="en-GB"/>
        </w:rPr>
        <w:t>as a</w:t>
      </w:r>
      <w:r w:rsidR="00603328" w:rsidRPr="00573C3D">
        <w:rPr>
          <w:rFonts w:cs="Calibri"/>
          <w:color w:val="000000"/>
          <w:lang w:val="en-GB"/>
        </w:rPr>
        <w:t>n</w:t>
      </w:r>
      <w:r w:rsidRPr="00573C3D">
        <w:rPr>
          <w:rFonts w:cs="Calibri"/>
          <w:color w:val="000000"/>
          <w:lang w:val="en-GB"/>
        </w:rPr>
        <w:t xml:space="preserve"> </w:t>
      </w:r>
      <w:r w:rsidR="00603328" w:rsidRPr="00573C3D">
        <w:rPr>
          <w:rFonts w:cs="Calibri"/>
          <w:color w:val="000000"/>
          <w:lang w:val="en-GB"/>
        </w:rPr>
        <w:t xml:space="preserve">ongoing </w:t>
      </w:r>
      <w:r w:rsidRPr="00573C3D">
        <w:rPr>
          <w:rFonts w:cs="Calibri"/>
          <w:color w:val="000000"/>
          <w:lang w:val="en-GB"/>
        </w:rPr>
        <w:t>pandemic, with thousands of new cases diagnosed every day. In Italy COVID-19 is burdened with high mortality</w:t>
      </w:r>
      <w:r w:rsidR="00BA0400" w:rsidRPr="00573C3D">
        <w:rPr>
          <w:rFonts w:cs="Calibri"/>
          <w:color w:val="000000"/>
          <w:lang w:val="en-GB"/>
        </w:rPr>
        <w:t>, probably due to the more advanced age and cardiovascular risk of the population</w:t>
      </w:r>
      <w:r w:rsidRPr="00573C3D">
        <w:rPr>
          <w:rFonts w:cs="Calibri"/>
          <w:color w:val="000000"/>
          <w:lang w:val="en-GB"/>
        </w:rPr>
        <w:t xml:space="preserve">. </w:t>
      </w:r>
      <w:r w:rsidR="0078366C" w:rsidRPr="00573C3D">
        <w:rPr>
          <w:rFonts w:cs="Calibri"/>
          <w:color w:val="000000"/>
          <w:lang w:val="en-GB"/>
        </w:rPr>
        <w:t xml:space="preserve">With no vaccine available, </w:t>
      </w:r>
      <w:r w:rsidR="00B87AF4" w:rsidRPr="00573C3D">
        <w:rPr>
          <w:rFonts w:cs="Calibri"/>
          <w:color w:val="000000"/>
          <w:lang w:val="en-GB"/>
        </w:rPr>
        <w:t xml:space="preserve"> knowledge </w:t>
      </w:r>
      <w:r w:rsidR="0078366C" w:rsidRPr="00573C3D">
        <w:rPr>
          <w:rFonts w:cs="Calibri"/>
          <w:color w:val="000000"/>
          <w:lang w:val="en-GB"/>
        </w:rPr>
        <w:t>of effective available therapies is</w:t>
      </w:r>
      <w:r w:rsidR="00B87AF4" w:rsidRPr="00573C3D">
        <w:rPr>
          <w:rFonts w:cs="Calibri"/>
          <w:color w:val="000000"/>
          <w:lang w:val="en-GB"/>
        </w:rPr>
        <w:t xml:space="preserve"> limited</w:t>
      </w:r>
      <w:r w:rsidR="0047500D" w:rsidRPr="00573C3D">
        <w:rPr>
          <w:rFonts w:cs="Calibri"/>
          <w:color w:val="000000"/>
          <w:lang w:val="en-GB"/>
        </w:rPr>
        <w:fldChar w:fldCharType="begin"/>
      </w:r>
      <w:r w:rsidR="00771DEA" w:rsidRPr="00573C3D">
        <w:rPr>
          <w:rFonts w:cs="Calibri"/>
          <w:color w:val="000000"/>
          <w:lang w:val="en-GB"/>
        </w:rPr>
        <w:instrText xml:space="preserve"> ADDIN EN.CITE &lt;EndNote&gt;&lt;Cite&gt;&lt;Author&gt;Baden&lt;/Author&gt;&lt;Year&gt;2020&lt;/Year&gt;&lt;RecNum&gt;6&lt;/RecNum&gt;&lt;DisplayText&gt;(1)&lt;/DisplayText&gt;&lt;record&gt;&lt;rec-number&gt;6&lt;/rec-number&gt;&lt;foreign-keys&gt;&lt;key app="EN" db-id="r5p0d5ep0dwrz6ew5w1x5tw9aszaw2exardd" timestamp="1584808591"&gt;6&lt;/key&gt;&lt;/foreign-keys&gt;&lt;ref-type name="Journal Article"&gt;17&lt;/ref-type&gt;&lt;contributors&gt;&lt;authors&gt;&lt;author&gt;Baden, L. R.&lt;/author&gt;&lt;author&gt;Rubin, E. J.&lt;/author&gt;&lt;/authors&gt;&lt;/contributors&gt;&lt;titles&gt;&lt;title&gt;Covid-19 - The Search for Effective Therapy&lt;/title&gt;&lt;secondary-title&gt;N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medicine&lt;/abbr-1&gt;&lt;/alt-periodical&gt;&lt;edition&gt;2020/03/19&lt;/edition&gt;&lt;dates&gt;&lt;year&gt;2020&lt;/year&gt;&lt;pub-dates&gt;&lt;date&gt;Mar 18&lt;/date&gt;&lt;/pub-dates&gt;&lt;/dates&gt;&lt;isbn&gt;1533-4406 (Electronic)&amp;#xD;0028-4793 (Linking)&lt;/isbn&gt;&lt;accession-num&gt;32187463&lt;/accession-num&gt;&lt;urls&gt;&lt;/urls&gt;&lt;electronic-resource-num&gt;10.1056/NEJMe2005477&lt;/electronic-resource-num&gt;&lt;remote-database-provider&gt;NLM&lt;/remote-database-provider&gt;&lt;language&gt;eng&lt;/language&gt;&lt;/record&gt;&lt;/Cite&gt;&lt;/EndNote&gt;</w:instrText>
      </w:r>
      <w:r w:rsidR="0047500D" w:rsidRPr="00573C3D">
        <w:rPr>
          <w:rFonts w:cs="Calibri"/>
          <w:color w:val="000000"/>
          <w:lang w:val="en-GB"/>
        </w:rPr>
        <w:fldChar w:fldCharType="separate"/>
      </w:r>
      <w:r w:rsidR="00771DEA" w:rsidRPr="00573C3D">
        <w:rPr>
          <w:rFonts w:cs="Calibri"/>
          <w:noProof/>
          <w:color w:val="000000"/>
          <w:lang w:val="en-GB"/>
        </w:rPr>
        <w:t>(1)</w:t>
      </w:r>
      <w:r w:rsidR="0047500D" w:rsidRPr="00573C3D">
        <w:rPr>
          <w:rFonts w:cs="Calibri"/>
          <w:color w:val="000000"/>
          <w:lang w:val="en-GB"/>
        </w:rPr>
        <w:fldChar w:fldCharType="end"/>
      </w:r>
      <w:r w:rsidR="005917B2" w:rsidRPr="00573C3D">
        <w:rPr>
          <w:bCs/>
          <w:lang w:val="en-GB"/>
        </w:rPr>
        <w:t>.</w:t>
      </w:r>
      <w:r w:rsidR="007A194B" w:rsidRPr="00573C3D">
        <w:rPr>
          <w:bCs/>
          <w:lang w:val="en-GB"/>
        </w:rPr>
        <w:t xml:space="preserve"> </w:t>
      </w:r>
      <w:r w:rsidR="00011CAC" w:rsidRPr="00573C3D">
        <w:rPr>
          <w:bCs/>
          <w:lang w:val="en-GB"/>
        </w:rPr>
        <w:t xml:space="preserve">Antiviral and antimalarial drugs </w:t>
      </w:r>
      <w:r w:rsidR="00D71647" w:rsidRPr="00573C3D">
        <w:rPr>
          <w:bCs/>
          <w:lang w:val="en-GB"/>
        </w:rPr>
        <w:t>are most</w:t>
      </w:r>
      <w:r w:rsidR="00011CAC" w:rsidRPr="00573C3D">
        <w:rPr>
          <w:bCs/>
          <w:lang w:val="en-GB"/>
        </w:rPr>
        <w:t xml:space="preserve"> commonly used to treat COVID-19, although these agents are not specific for SARS-CoV-2. Use of monoclonal antibodies appears promising, however they can influence course of</w:t>
      </w:r>
      <w:r w:rsidR="00752000" w:rsidRPr="00573C3D">
        <w:rPr>
          <w:bCs/>
          <w:lang w:val="en-GB"/>
        </w:rPr>
        <w:t xml:space="preserve"> the disease only in the latter</w:t>
      </w:r>
      <w:r w:rsidR="00011CAC" w:rsidRPr="00573C3D">
        <w:rPr>
          <w:bCs/>
          <w:lang w:val="en-GB"/>
        </w:rPr>
        <w:t xml:space="preserve"> inflammatory stage when cytokine storm occurs and clinical symptoms exacerbate. </w:t>
      </w:r>
      <w:r w:rsidR="00D71647" w:rsidRPr="00573C3D">
        <w:rPr>
          <w:bCs/>
          <w:lang w:val="en-GB"/>
        </w:rPr>
        <w:t xml:space="preserve">Notably, these antibodies do not affect the initial phase of COVID-19, i.e. penetration of SARS-CoV-2 into cells and </w:t>
      </w:r>
      <w:r w:rsidR="00192DC9" w:rsidRPr="00573C3D">
        <w:rPr>
          <w:bCs/>
          <w:lang w:val="en-GB"/>
        </w:rPr>
        <w:t>viral</w:t>
      </w:r>
      <w:r w:rsidR="00D71647" w:rsidRPr="00573C3D">
        <w:rPr>
          <w:bCs/>
          <w:lang w:val="en-GB"/>
        </w:rPr>
        <w:t xml:space="preserve"> rep</w:t>
      </w:r>
      <w:r w:rsidR="00900A73" w:rsidRPr="00573C3D">
        <w:rPr>
          <w:bCs/>
          <w:lang w:val="en-GB"/>
        </w:rPr>
        <w:t xml:space="preserve">lication. Therefore, there is an </w:t>
      </w:r>
      <w:r w:rsidR="00D71647" w:rsidRPr="00573C3D">
        <w:rPr>
          <w:bCs/>
          <w:lang w:val="en-GB"/>
        </w:rPr>
        <w:t>urgent need to seek pharmacological options to inhibit the initial stages of the infection (penetration and replication of the virus) using currently available drugs, which could be easily and promptly introduced into common clinical practice</w:t>
      </w:r>
      <w:r w:rsidR="00603328" w:rsidRPr="00573C3D">
        <w:rPr>
          <w:bCs/>
          <w:lang w:val="en-GB"/>
        </w:rPr>
        <w:t xml:space="preserve"> worldwide</w:t>
      </w:r>
      <w:r w:rsidR="00D71647" w:rsidRPr="00573C3D">
        <w:rPr>
          <w:bCs/>
          <w:lang w:val="en-GB"/>
        </w:rPr>
        <w:t xml:space="preserve">. </w:t>
      </w:r>
    </w:p>
    <w:p w:rsidR="00E45C46" w:rsidRPr="00573C3D" w:rsidRDefault="00E45C46">
      <w:pPr>
        <w:jc w:val="both"/>
        <w:rPr>
          <w:bCs/>
          <w:lang w:val="en-GB"/>
        </w:rPr>
      </w:pPr>
    </w:p>
    <w:p w:rsidR="008A342B" w:rsidRPr="00573C3D" w:rsidRDefault="008A342B" w:rsidP="00381930">
      <w:pPr>
        <w:pStyle w:val="Nagwek1"/>
        <w:spacing w:before="0"/>
        <w:rPr>
          <w:rFonts w:ascii="Cambria" w:hAnsi="Cambria"/>
          <w:b/>
          <w:color w:val="auto"/>
          <w:sz w:val="24"/>
          <w:szCs w:val="24"/>
          <w:lang w:val="en-GB"/>
        </w:rPr>
      </w:pPr>
    </w:p>
    <w:p w:rsidR="00E45C46" w:rsidRPr="00392B5C" w:rsidRDefault="00604672" w:rsidP="00DC5FBB">
      <w:pPr>
        <w:pStyle w:val="Nagwek1"/>
        <w:rPr>
          <w:rFonts w:ascii="Cambria" w:hAnsi="Cambria"/>
          <w:b/>
          <w:color w:val="auto"/>
          <w:sz w:val="24"/>
          <w:szCs w:val="24"/>
          <w:lang w:val="en-US"/>
        </w:rPr>
      </w:pPr>
      <w:bookmarkStart w:id="2" w:name="_Toc38208547"/>
      <w:bookmarkStart w:id="3" w:name="_Toc86608095"/>
      <w:r w:rsidRPr="00392B5C">
        <w:rPr>
          <w:rFonts w:ascii="Cambria" w:hAnsi="Cambria"/>
          <w:b/>
          <w:color w:val="auto"/>
          <w:sz w:val="24"/>
          <w:szCs w:val="24"/>
          <w:lang w:val="en-US"/>
        </w:rPr>
        <w:t>2. SARS-CoV-2 cell entry mechanism</w:t>
      </w:r>
      <w:bookmarkEnd w:id="2"/>
      <w:bookmarkEnd w:id="3"/>
    </w:p>
    <w:p w:rsidR="002F36EB" w:rsidRPr="00573C3D" w:rsidRDefault="00603328">
      <w:pPr>
        <w:pStyle w:val="Default"/>
        <w:jc w:val="both"/>
        <w:rPr>
          <w:rFonts w:ascii="Cambria" w:hAnsi="Cambria"/>
          <w:lang w:val="en-GB"/>
        </w:rPr>
      </w:pPr>
      <w:r w:rsidRPr="00573C3D">
        <w:rPr>
          <w:rFonts w:ascii="Cambria" w:hAnsi="Cambria"/>
          <w:lang w:val="en-GB"/>
        </w:rPr>
        <w:t xml:space="preserve">SARS-CoV-2 belongs to the family of  </w:t>
      </w:r>
      <w:proofErr w:type="spellStart"/>
      <w:r w:rsidR="00261171" w:rsidRPr="00573C3D">
        <w:rPr>
          <w:rFonts w:ascii="Cambria" w:hAnsi="Cambria"/>
          <w:i/>
          <w:lang w:val="en-GB"/>
        </w:rPr>
        <w:t>Coronaviridae</w:t>
      </w:r>
      <w:proofErr w:type="spellEnd"/>
      <w:r w:rsidR="00E45C46" w:rsidRPr="00573C3D">
        <w:rPr>
          <w:rFonts w:ascii="Cambria" w:hAnsi="Cambria"/>
          <w:lang w:val="en-GB"/>
        </w:rPr>
        <w:t xml:space="preserve">, </w:t>
      </w:r>
      <w:r w:rsidR="00192DC9" w:rsidRPr="00573C3D">
        <w:rPr>
          <w:rFonts w:ascii="Cambria" w:hAnsi="Cambria"/>
          <w:lang w:val="en-GB"/>
        </w:rPr>
        <w:t xml:space="preserve">which </w:t>
      </w:r>
      <w:r w:rsidRPr="00573C3D">
        <w:rPr>
          <w:rFonts w:ascii="Cambria" w:hAnsi="Cambria"/>
          <w:lang w:val="en-GB"/>
        </w:rPr>
        <w:t xml:space="preserve">also includes </w:t>
      </w:r>
      <w:r w:rsidR="00EE2149" w:rsidRPr="00573C3D">
        <w:rPr>
          <w:rFonts w:ascii="Cambria" w:hAnsi="Cambria"/>
          <w:lang w:val="en-GB"/>
        </w:rPr>
        <w:t xml:space="preserve">Severe Acute Respiratory Syndrome </w:t>
      </w:r>
      <w:proofErr w:type="spellStart"/>
      <w:r w:rsidR="00EE2149" w:rsidRPr="00573C3D">
        <w:rPr>
          <w:rFonts w:ascii="Cambria" w:hAnsi="Cambria"/>
          <w:lang w:val="en-GB"/>
        </w:rPr>
        <w:t>Coronavirus</w:t>
      </w:r>
      <w:proofErr w:type="spellEnd"/>
      <w:r w:rsidR="00EE2149" w:rsidRPr="00573C3D">
        <w:rPr>
          <w:rFonts w:ascii="Cambria" w:hAnsi="Cambria"/>
          <w:lang w:val="en-GB"/>
        </w:rPr>
        <w:t xml:space="preserve"> </w:t>
      </w:r>
      <w:r w:rsidRPr="00573C3D">
        <w:rPr>
          <w:rFonts w:ascii="Cambria" w:hAnsi="Cambria"/>
          <w:lang w:val="en-GB"/>
        </w:rPr>
        <w:t>(SARS-</w:t>
      </w:r>
      <w:proofErr w:type="spellStart"/>
      <w:r w:rsidRPr="00573C3D">
        <w:rPr>
          <w:rFonts w:ascii="Cambria" w:hAnsi="Cambria"/>
          <w:lang w:val="en-GB"/>
        </w:rPr>
        <w:t>CoV</w:t>
      </w:r>
      <w:proofErr w:type="spellEnd"/>
      <w:r w:rsidRPr="00573C3D">
        <w:rPr>
          <w:rFonts w:ascii="Cambria" w:hAnsi="Cambria"/>
          <w:lang w:val="en-GB"/>
        </w:rPr>
        <w:t xml:space="preserve">) and </w:t>
      </w:r>
      <w:r w:rsidR="00EE2149" w:rsidRPr="00573C3D">
        <w:rPr>
          <w:rFonts w:ascii="Cambria" w:hAnsi="Cambria"/>
          <w:lang w:val="en-GB"/>
        </w:rPr>
        <w:t xml:space="preserve">Middle East Respiratory Syndrome </w:t>
      </w:r>
      <w:proofErr w:type="spellStart"/>
      <w:r w:rsidR="00EE2149" w:rsidRPr="00573C3D">
        <w:rPr>
          <w:rFonts w:ascii="Cambria" w:hAnsi="Cambria"/>
          <w:lang w:val="en-GB"/>
        </w:rPr>
        <w:t>Coronavirus</w:t>
      </w:r>
      <w:proofErr w:type="spellEnd"/>
      <w:r w:rsidR="00EE2149" w:rsidRPr="00573C3D">
        <w:rPr>
          <w:rFonts w:ascii="Cambria" w:hAnsi="Cambria"/>
          <w:lang w:val="en-GB"/>
        </w:rPr>
        <w:t xml:space="preserve"> (MERS-</w:t>
      </w:r>
      <w:proofErr w:type="spellStart"/>
      <w:r w:rsidR="00EE2149" w:rsidRPr="00573C3D">
        <w:rPr>
          <w:rFonts w:ascii="Cambria" w:hAnsi="Cambria"/>
          <w:lang w:val="en-GB"/>
        </w:rPr>
        <w:t>CoV</w:t>
      </w:r>
      <w:proofErr w:type="spellEnd"/>
      <w:r w:rsidR="00EE2149" w:rsidRPr="00573C3D">
        <w:rPr>
          <w:rFonts w:ascii="Cambria" w:hAnsi="Cambria"/>
          <w:lang w:val="en-GB"/>
        </w:rPr>
        <w:t>)</w:t>
      </w:r>
      <w:r w:rsidR="00A24156" w:rsidRPr="00573C3D">
        <w:rPr>
          <w:rFonts w:ascii="Cambria" w:hAnsi="Cambria"/>
          <w:lang w:val="en-GB"/>
        </w:rPr>
        <w:t xml:space="preserve">. </w:t>
      </w:r>
      <w:r w:rsidRPr="00573C3D">
        <w:rPr>
          <w:rFonts w:ascii="Cambria" w:hAnsi="Cambria"/>
          <w:lang w:val="en-GB"/>
        </w:rPr>
        <w:t xml:space="preserve">SARS-CoV-2 is highly contagious </w:t>
      </w:r>
      <w:r w:rsidR="00192DC9" w:rsidRPr="00573C3D">
        <w:rPr>
          <w:rFonts w:ascii="Cambria" w:hAnsi="Cambria"/>
          <w:lang w:val="en-GB"/>
        </w:rPr>
        <w:t xml:space="preserve">and </w:t>
      </w:r>
      <w:r w:rsidRPr="00573C3D">
        <w:rPr>
          <w:rFonts w:ascii="Cambria" w:hAnsi="Cambria"/>
          <w:lang w:val="en-GB"/>
        </w:rPr>
        <w:t>is transmitted primarily via respiratory droplets.</w:t>
      </w:r>
      <w:r w:rsidR="004A21E3" w:rsidRPr="00573C3D">
        <w:rPr>
          <w:rFonts w:ascii="Cambria" w:hAnsi="Cambria"/>
          <w:lang w:val="en-GB"/>
        </w:rPr>
        <w:t xml:space="preserve"> Coronavirus cell entry mechanism requires binding of viral spike protein (S</w:t>
      </w:r>
      <w:r w:rsidR="00AA2895" w:rsidRPr="00573C3D">
        <w:rPr>
          <w:rFonts w:ascii="Cambria" w:hAnsi="Cambria"/>
          <w:lang w:val="en-GB"/>
        </w:rPr>
        <w:t xml:space="preserve"> protein</w:t>
      </w:r>
      <w:r w:rsidR="004A21E3" w:rsidRPr="00573C3D">
        <w:rPr>
          <w:rFonts w:ascii="Cambria" w:hAnsi="Cambria"/>
          <w:lang w:val="en-GB"/>
        </w:rPr>
        <w:t>) subunit S1 to angiotensin converting enzyme 2 (ACE2) receptors o</w:t>
      </w:r>
      <w:r w:rsidR="00192DC9" w:rsidRPr="00573C3D">
        <w:rPr>
          <w:rFonts w:ascii="Cambria" w:hAnsi="Cambria"/>
          <w:lang w:val="en-GB"/>
        </w:rPr>
        <w:t>n</w:t>
      </w:r>
      <w:r w:rsidR="004A21E3" w:rsidRPr="00573C3D">
        <w:rPr>
          <w:rFonts w:ascii="Cambria" w:hAnsi="Cambria"/>
          <w:lang w:val="en-GB"/>
        </w:rPr>
        <w:t xml:space="preserve"> human cells, and protein S priming by host proteases </w:t>
      </w:r>
      <w:r w:rsidR="00162866" w:rsidRPr="00573C3D">
        <w:rPr>
          <w:rFonts w:ascii="Cambria" w:hAnsi="Cambria"/>
          <w:lang w:val="en-GB"/>
        </w:rPr>
        <w:t xml:space="preserve">is </w:t>
      </w:r>
      <w:r w:rsidR="004A21E3" w:rsidRPr="00573C3D">
        <w:rPr>
          <w:rFonts w:ascii="Cambria" w:hAnsi="Cambria"/>
          <w:lang w:val="en-GB"/>
        </w:rPr>
        <w:t xml:space="preserve">responsible for fragmentation of this protein in S1/S2 location. S2 subunit is responsible for the fusion </w:t>
      </w:r>
      <w:r w:rsidR="00162866" w:rsidRPr="00573C3D">
        <w:rPr>
          <w:rFonts w:ascii="Cambria" w:hAnsi="Cambria"/>
          <w:lang w:val="en-GB"/>
        </w:rPr>
        <w:t>of viral envelope and host cell</w:t>
      </w:r>
      <w:r w:rsidR="00AA2895" w:rsidRPr="00573C3D">
        <w:rPr>
          <w:rFonts w:ascii="Cambria" w:hAnsi="Cambria"/>
          <w:lang w:val="en-GB"/>
        </w:rPr>
        <w:t xml:space="preserve"> membrane. Transmembrane protease, serine 2 (TMPRSS2) is responsible for </w:t>
      </w:r>
      <w:r w:rsidR="00017073" w:rsidRPr="00573C3D">
        <w:rPr>
          <w:rFonts w:ascii="Cambria" w:hAnsi="Cambria"/>
          <w:lang w:val="en-GB"/>
        </w:rPr>
        <w:t xml:space="preserve">the cleavage of the </w:t>
      </w:r>
      <w:r w:rsidR="00AA2895" w:rsidRPr="00573C3D">
        <w:rPr>
          <w:rFonts w:ascii="Cambria" w:hAnsi="Cambria"/>
          <w:lang w:val="en-GB"/>
        </w:rPr>
        <w:t xml:space="preserve">open S protein </w:t>
      </w:r>
      <w:r w:rsidR="00162866" w:rsidRPr="00573C3D">
        <w:rPr>
          <w:rFonts w:ascii="Cambria" w:hAnsi="Cambria"/>
          <w:lang w:val="en-GB"/>
        </w:rPr>
        <w:t>of</w:t>
      </w:r>
      <w:r w:rsidR="00AA2895" w:rsidRPr="00573C3D">
        <w:rPr>
          <w:rFonts w:ascii="Cambria" w:hAnsi="Cambria"/>
          <w:lang w:val="en-GB"/>
        </w:rPr>
        <w:t xml:space="preserve"> SARS-CoV-2 </w:t>
      </w:r>
      <w:r w:rsidR="0047500D" w:rsidRPr="00573C3D">
        <w:rPr>
          <w:rFonts w:ascii="Cambria" w:hAnsi="Cambria"/>
          <w:lang w:val="en-GB"/>
        </w:rPr>
        <w:fldChar w:fldCharType="begin">
          <w:fldData xml:space="preserve">PEVuZE5vdGU+PENpdGU+PEF1dGhvcj5Ib2ZmbWFubjwvQXV0aG9yPjxZZWFyPjIwMjA8L1llYXI+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Q2VsbDwvZnVsbC10aXRsZT48YWJici0xPkNlbGw8L2FiYnItMT48L2FsdC1wZXJpb2RpY2FsPjxl
ZGl0aW9uPjIwMjAvMDMvMDc8L2VkaXRpb24+PGRhdGVzPjx5ZWFyPjIwMjA8L3llYXI+PHB1Yi1k
YXRlcz48ZGF0ZT5NYXIgNDwvZGF0ZT48L3B1Yi1kYXRlcz48L2RhdGVzPjxpc2JuPjEwOTctNDE3
MiAoRWxlY3Ryb25pYykmI3hEOzAwOTItODY3NCAoTGlua2luZyk8L2lzYm4+PGFjY2Vzc2lvbi1u
dW0+MzIxNDI2NTE8L2FjY2Vzc2lvbi1udW0+PHVybHM+PC91cmxzPjxlbGVjdHJvbmljLXJlc291
cmNlLW51bT4xMC4xMDE2L2ouY2VsbC4yMDIwLjAyLjA1MjwvZWxlY3Ryb25pYy1yZXNvdXJjZS1u
dW0+PHJlbW90ZS1kYXRhYmFzZS1wcm92aWRlcj5OTE08L3JlbW90ZS1kYXRhYmFzZS1wcm92aWRl
cj48bGFuZ3VhZ2U+ZW5nPC9sYW5ndWFnZT48L3JlY29yZD48L0NpdGU+PC9FbmROb3RlPgB=
</w:fldData>
        </w:fldChar>
      </w:r>
      <w:r w:rsidR="00771DEA" w:rsidRPr="00573C3D">
        <w:rPr>
          <w:rFonts w:ascii="Cambria" w:hAnsi="Cambria"/>
          <w:lang w:val="en-GB"/>
        </w:rPr>
        <w:instrText xml:space="preserve"> ADDIN EN.CITE </w:instrText>
      </w:r>
      <w:r w:rsidR="0047500D" w:rsidRPr="00573C3D">
        <w:rPr>
          <w:rFonts w:ascii="Cambria" w:hAnsi="Cambria"/>
          <w:lang w:val="en-GB"/>
        </w:rPr>
        <w:fldChar w:fldCharType="begin">
          <w:fldData xml:space="preserve">PEVuZE5vdGU+PENpdGU+PEF1dGhvcj5Ib2ZmbWFubjwvQXV0aG9yPjxZZWFyPjIwMjA8L1llYXI+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Q2VsbDwvZnVsbC10aXRsZT48YWJici0xPkNlbGw8L2FiYnItMT48L2FsdC1wZXJpb2RpY2FsPjxl
ZGl0aW9uPjIwMjAvMDMvMDc8L2VkaXRpb24+PGRhdGVzPjx5ZWFyPjIwMjA8L3llYXI+PHB1Yi1k
YXRlcz48ZGF0ZT5NYXIgNDwvZGF0ZT48L3B1Yi1kYXRlcz48L2RhdGVzPjxpc2JuPjEwOTctNDE3
MiAoRWxlY3Ryb25pYykmI3hEOzAwOTItODY3NCAoTGlua2luZyk8L2lzYm4+PGFjY2Vzc2lvbi1u
dW0+MzIxNDI2NTE8L2FjY2Vzc2lvbi1udW0+PHVybHM+PC91cmxzPjxlbGVjdHJvbmljLXJlc291
cmNlLW51bT4xMC4xMDE2L2ouY2VsbC4yMDIwLjAyLjA1MjwvZWxlY3Ryb25pYy1yZXNvdXJjZS1u
dW0+PHJlbW90ZS1kYXRhYmFzZS1wcm92aWRlcj5OTE08L3JlbW90ZS1kYXRhYmFzZS1wcm92aWRl
cj48bGFuZ3VhZ2U+ZW5nPC9sYW5ndWFnZT48L3JlY29yZD48L0NpdGU+PC9FbmROb3RlPgB=
</w:fldData>
        </w:fldChar>
      </w:r>
      <w:r w:rsidR="00771DEA" w:rsidRPr="00573C3D">
        <w:rPr>
          <w:rFonts w:ascii="Cambria" w:hAnsi="Cambria"/>
          <w:lang w:val="en-GB"/>
        </w:rPr>
        <w:instrText xml:space="preserve"> ADDIN EN.CITE.DATA </w:instrText>
      </w:r>
      <w:r w:rsidR="0047500D" w:rsidRPr="00573C3D">
        <w:rPr>
          <w:rFonts w:ascii="Cambria" w:hAnsi="Cambria"/>
          <w:lang w:val="en-GB"/>
        </w:rPr>
      </w:r>
      <w:r w:rsidR="0047500D" w:rsidRPr="00573C3D">
        <w:rPr>
          <w:rFonts w:ascii="Cambria" w:hAnsi="Cambria"/>
          <w:lang w:val="en-GB"/>
        </w:rPr>
        <w:fldChar w:fldCharType="end"/>
      </w:r>
      <w:r w:rsidR="0047500D" w:rsidRPr="00573C3D">
        <w:rPr>
          <w:rFonts w:ascii="Cambria" w:hAnsi="Cambria"/>
          <w:lang w:val="en-GB"/>
        </w:rPr>
      </w:r>
      <w:r w:rsidR="0047500D" w:rsidRPr="00573C3D">
        <w:rPr>
          <w:rFonts w:ascii="Cambria" w:hAnsi="Cambria"/>
          <w:lang w:val="en-GB"/>
        </w:rPr>
        <w:fldChar w:fldCharType="separate"/>
      </w:r>
      <w:r w:rsidR="00771DEA" w:rsidRPr="00573C3D">
        <w:rPr>
          <w:rFonts w:ascii="Cambria" w:hAnsi="Cambria"/>
          <w:noProof/>
          <w:lang w:val="en-GB"/>
        </w:rPr>
        <w:t>(2)</w:t>
      </w:r>
      <w:r w:rsidR="0047500D" w:rsidRPr="00573C3D">
        <w:rPr>
          <w:rFonts w:ascii="Cambria" w:hAnsi="Cambria"/>
          <w:lang w:val="en-GB"/>
        </w:rPr>
        <w:fldChar w:fldCharType="end"/>
      </w:r>
      <w:r w:rsidR="00780C0E" w:rsidRPr="00573C3D">
        <w:rPr>
          <w:rFonts w:ascii="Cambria" w:hAnsi="Cambria"/>
          <w:lang w:val="en-GB"/>
        </w:rPr>
        <w:t>.</w:t>
      </w:r>
      <w:r w:rsidR="00180F95" w:rsidRPr="00573C3D">
        <w:rPr>
          <w:rFonts w:ascii="Cambria" w:hAnsi="Cambria"/>
          <w:lang w:val="en-GB"/>
        </w:rPr>
        <w:t xml:space="preserve"> </w:t>
      </w:r>
      <w:r w:rsidR="00AA2895" w:rsidRPr="00573C3D">
        <w:rPr>
          <w:rFonts w:ascii="Cambria" w:hAnsi="Cambria"/>
          <w:lang w:val="en-GB"/>
        </w:rPr>
        <w:t>Fusion with the host</w:t>
      </w:r>
      <w:r w:rsidR="00B56B05" w:rsidRPr="00573C3D">
        <w:rPr>
          <w:rFonts w:ascii="Cambria" w:hAnsi="Cambria"/>
          <w:lang w:val="en-GB"/>
        </w:rPr>
        <w:t xml:space="preserve"> cell membrane</w:t>
      </w:r>
      <w:r w:rsidR="0047500D" w:rsidRPr="00573C3D">
        <w:rPr>
          <w:rFonts w:ascii="Cambria" w:hAnsi="Cambria"/>
          <w:lang w:val="en-GB"/>
        </w:rPr>
        <w:fldChar w:fldCharType="begin"/>
      </w:r>
      <w:r w:rsidR="00B56B05" w:rsidRPr="00573C3D">
        <w:rPr>
          <w:rFonts w:ascii="Cambria" w:hAnsi="Cambria"/>
          <w:lang w:val="en-GB"/>
        </w:rPr>
        <w:instrText xml:space="preserve"> ADDIN EN.CITE &lt;EndNote&gt;&lt;Cite&gt;&lt;Author&gt;Millet&lt;/Author&gt;&lt;Year&gt;2018&lt;/Year&gt;&lt;RecNum&gt;3&lt;/RecNum&gt;&lt;DisplayText&gt;(3)&lt;/DisplayText&gt;&lt;record&gt;&lt;rec-number&gt;3&lt;/rec-number&gt;&lt;foreign-keys&gt;&lt;key app="EN" db-id="r5p0d5ep0dwrz6ew5w1x5tw9aszaw2exardd" timestamp="1584808049"&gt;3&lt;/key&gt;&lt;/foreign-keys&gt;&lt;ref-type name="Journal Article"&gt;17&lt;/ref-type&gt;&lt;contributors&gt;&lt;authors&gt;&lt;author&gt;Millet, J. K.&lt;/author&gt;&lt;author&gt;Whittaker, G. R.&lt;/author&gt;&lt;/authors&gt;&lt;/contributors&gt;&lt;auth-address&gt;Department of Microbiology and Immunology, College of Veterinary Medicine, Cornell University, Ithaca, NY 14853, United States.&amp;#xD;Department of Microbiology and Immunology, College of Veterinary Medicine, Cornell University, Ithaca, NY 14853, United States. Electronic address: gary.whittaker@cornell.edu.&lt;/auth-address&gt;&lt;titles&gt;&lt;title&gt;Physiological and molecular triggers for SARS-CoV membrane fusion and entry into host cell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-8&lt;/pages&gt;&lt;volume&gt;517&lt;/volume&gt;&lt;edition&gt;2017/12/26&lt;/edition&gt;&lt;keywords&gt;&lt;keyword&gt;Cell Membrane/ physiology&lt;/keyword&gt;&lt;keyword&gt;Humans&lt;/keyword&gt;&lt;keyword&gt;Membrane Fusion&lt;/keyword&gt;&lt;keyword&gt;SARS Virus/ physiology&lt;/keyword&gt;&lt;keyword&gt;Spike Glycoprotein, Coronavirus/chemistry&lt;/keyword&gt;&lt;keyword&gt;Viral Envelope Proteins&lt;/keyword&gt;&lt;keyword&gt;Virus Internalization&lt;/keyword&gt;&lt;/keywords&gt;&lt;dates&gt;&lt;year&gt;2018&lt;/year&gt;&lt;pub-dates&gt;&lt;date&gt;Apr&lt;/date&gt;&lt;/pub-dates&gt;&lt;/dates&gt;&lt;isbn&gt;1096-0341 (Electronic)&amp;#xD;0042-6822 (Linking)&lt;/isbn&gt;&lt;accession-num&gt;29275820&lt;/accession-num&gt;&lt;urls&gt;&lt;/urls&gt;&lt;electronic-resource-num&gt;10.1016/j.virol.2017.12.015&lt;/electronic-resource-num&gt;&lt;remote-database-provider&gt;NLM&lt;/remote-database-provider&gt;&lt;language&gt;eng&lt;/language&gt;&lt;/record&gt;&lt;/Cite&gt;&lt;/EndNote&gt;</w:instrText>
      </w:r>
      <w:r w:rsidR="0047500D" w:rsidRPr="00573C3D">
        <w:rPr>
          <w:rFonts w:ascii="Cambria" w:hAnsi="Cambria"/>
          <w:lang w:val="en-GB"/>
        </w:rPr>
        <w:fldChar w:fldCharType="separate"/>
      </w:r>
      <w:r w:rsidR="00B56B05" w:rsidRPr="00573C3D">
        <w:rPr>
          <w:rFonts w:ascii="Cambria" w:hAnsi="Cambria"/>
          <w:noProof/>
          <w:lang w:val="en-GB"/>
        </w:rPr>
        <w:t>(3)</w:t>
      </w:r>
      <w:r w:rsidR="0047500D" w:rsidRPr="00573C3D">
        <w:rPr>
          <w:rFonts w:ascii="Cambria" w:hAnsi="Cambria"/>
          <w:lang w:val="en-GB"/>
        </w:rPr>
        <w:fldChar w:fldCharType="end"/>
      </w:r>
      <w:r w:rsidR="00AA2895" w:rsidRPr="00573C3D">
        <w:rPr>
          <w:rFonts w:ascii="Cambria" w:hAnsi="Cambria"/>
          <w:lang w:val="en-GB"/>
        </w:rPr>
        <w:t xml:space="preserve"> is possible thanks to S protein</w:t>
      </w:r>
      <w:r w:rsidR="00162866" w:rsidRPr="00573C3D">
        <w:rPr>
          <w:rFonts w:ascii="Cambria" w:hAnsi="Cambria"/>
          <w:lang w:val="en-GB"/>
        </w:rPr>
        <w:t xml:space="preserve">, which </w:t>
      </w:r>
      <w:r w:rsidR="00AA2895" w:rsidRPr="00573C3D">
        <w:rPr>
          <w:rFonts w:ascii="Cambria" w:hAnsi="Cambria"/>
          <w:lang w:val="en-GB"/>
        </w:rPr>
        <w:t xml:space="preserve">is </w:t>
      </w:r>
      <w:r w:rsidR="00162866" w:rsidRPr="00573C3D">
        <w:rPr>
          <w:rFonts w:ascii="Cambria" w:hAnsi="Cambria"/>
          <w:lang w:val="en-GB"/>
        </w:rPr>
        <w:t>calcium</w:t>
      </w:r>
      <w:r w:rsidR="00AA2895" w:rsidRPr="00573C3D">
        <w:rPr>
          <w:rFonts w:ascii="Cambria" w:hAnsi="Cambria"/>
          <w:lang w:val="en-GB"/>
        </w:rPr>
        <w:t xml:space="preserve"> current-dependent. </w:t>
      </w:r>
      <w:r w:rsidR="00FB78D4" w:rsidRPr="00573C3D">
        <w:rPr>
          <w:rFonts w:ascii="Cambria" w:hAnsi="Cambria"/>
          <w:lang w:val="en-GB"/>
        </w:rPr>
        <w:t>Modification of viral envelope with S protein exposure and fusion with host cell membrane, called endocytosis, constitute</w:t>
      </w:r>
      <w:r w:rsidR="00162866" w:rsidRPr="00573C3D">
        <w:rPr>
          <w:rFonts w:ascii="Cambria" w:hAnsi="Cambria"/>
          <w:lang w:val="en-GB"/>
        </w:rPr>
        <w:t>s</w:t>
      </w:r>
      <w:r w:rsidR="00FB78D4" w:rsidRPr="00573C3D">
        <w:rPr>
          <w:rFonts w:ascii="Cambria" w:hAnsi="Cambria"/>
          <w:lang w:val="en-GB"/>
        </w:rPr>
        <w:t xml:space="preserve"> the initial phase of cell entry and </w:t>
      </w:r>
      <w:r w:rsidR="00162866" w:rsidRPr="00573C3D">
        <w:rPr>
          <w:rFonts w:ascii="Cambria" w:hAnsi="Cambria"/>
          <w:lang w:val="en-GB"/>
        </w:rPr>
        <w:t>leads to</w:t>
      </w:r>
      <w:r w:rsidR="00FB78D4" w:rsidRPr="00573C3D">
        <w:rPr>
          <w:rFonts w:ascii="Cambria" w:hAnsi="Cambria"/>
          <w:lang w:val="en-GB"/>
        </w:rPr>
        <w:t xml:space="preserve"> replication </w:t>
      </w:r>
      <w:r w:rsidR="00162866" w:rsidRPr="00573C3D">
        <w:rPr>
          <w:rFonts w:ascii="Cambria" w:hAnsi="Cambria"/>
          <w:lang w:val="en-GB"/>
        </w:rPr>
        <w:t>of</w:t>
      </w:r>
      <w:r w:rsidR="00FB78D4" w:rsidRPr="00573C3D">
        <w:rPr>
          <w:rFonts w:ascii="Cambria" w:hAnsi="Cambria"/>
          <w:lang w:val="en-GB"/>
        </w:rPr>
        <w:t xml:space="preserve"> the virus (Fig. 1).  </w:t>
      </w:r>
      <w:r w:rsidR="002F36EB" w:rsidRPr="00573C3D">
        <w:rPr>
          <w:rFonts w:ascii="Cambria" w:hAnsi="Cambria"/>
          <w:lang w:val="en-GB"/>
        </w:rPr>
        <w:t xml:space="preserve">The next crucial phase of cell entry is transportation of the virus in endocytic vesicles into endosomal space, where S protein is </w:t>
      </w:r>
      <w:r w:rsidR="00017073" w:rsidRPr="00573C3D">
        <w:rPr>
          <w:rFonts w:ascii="Cambria" w:hAnsi="Cambria"/>
          <w:lang w:val="en-GB"/>
        </w:rPr>
        <w:t xml:space="preserve">cleaved </w:t>
      </w:r>
      <w:r w:rsidR="002F36EB" w:rsidRPr="00573C3D">
        <w:rPr>
          <w:rFonts w:ascii="Cambria" w:hAnsi="Cambria"/>
          <w:lang w:val="en-GB"/>
        </w:rPr>
        <w:t>by cathepsin L, which promotes fusion of viral material with endosomal membranes. This process leads to the release of the viral genome into cytoplasm and subsequent replication of the virus (</w:t>
      </w:r>
      <w:r w:rsidR="002F36EB" w:rsidRPr="00573C3D">
        <w:rPr>
          <w:rFonts w:ascii="Cambria" w:hAnsi="Cambria"/>
          <w:b/>
          <w:lang w:val="en-GB"/>
        </w:rPr>
        <w:t>Fig. 1</w:t>
      </w:r>
      <w:r w:rsidR="002F36EB" w:rsidRPr="00573C3D">
        <w:rPr>
          <w:rFonts w:ascii="Cambria" w:hAnsi="Cambria"/>
          <w:lang w:val="en-GB"/>
        </w:rPr>
        <w:t xml:space="preserve">).  </w:t>
      </w:r>
      <w:r w:rsidR="007B548B" w:rsidRPr="00573C3D">
        <w:rPr>
          <w:rFonts w:ascii="Cambria" w:hAnsi="Cambria"/>
          <w:lang w:val="en-GB"/>
        </w:rPr>
        <w:t>These mechanisms of entry are shared by the new COVID-19 virus.</w:t>
      </w:r>
    </w:p>
    <w:p w:rsidR="00603328" w:rsidRPr="00573C3D" w:rsidRDefault="00603328">
      <w:pPr>
        <w:pStyle w:val="Default"/>
        <w:jc w:val="both"/>
        <w:rPr>
          <w:rFonts w:ascii="Cambria" w:hAnsi="Cambria" w:cs="Times New Roman"/>
          <w:lang w:val="en-GB"/>
        </w:rPr>
      </w:pPr>
    </w:p>
    <w:p w:rsidR="00630DBC" w:rsidRPr="00573C3D" w:rsidRDefault="00630DBC">
      <w:pPr>
        <w:pStyle w:val="Default"/>
        <w:jc w:val="both"/>
        <w:rPr>
          <w:rFonts w:ascii="Cambria" w:hAnsi="Cambria" w:cs="Times New Roman"/>
          <w:lang w:val="en-GB"/>
        </w:rPr>
      </w:pPr>
    </w:p>
    <w:p w:rsidR="00630DBC" w:rsidRPr="00573C3D" w:rsidRDefault="00630DBC">
      <w:pPr>
        <w:pStyle w:val="Default"/>
        <w:jc w:val="both"/>
        <w:rPr>
          <w:rFonts w:ascii="Cambria" w:hAnsi="Cambria" w:cs="Times New Roman"/>
          <w:lang w:val="en-GB"/>
        </w:rPr>
      </w:pPr>
    </w:p>
    <w:p w:rsidR="00630DBC" w:rsidRPr="00573C3D" w:rsidRDefault="00630DBC">
      <w:pPr>
        <w:pStyle w:val="Default"/>
        <w:jc w:val="both"/>
        <w:rPr>
          <w:rFonts w:ascii="Cambria" w:hAnsi="Cambria" w:cs="Times New Roman"/>
          <w:lang w:val="en-GB"/>
        </w:rPr>
      </w:pPr>
    </w:p>
    <w:p w:rsidR="00630DBC" w:rsidRPr="00573C3D" w:rsidRDefault="00630DBC">
      <w:pPr>
        <w:pStyle w:val="Default"/>
        <w:jc w:val="both"/>
        <w:rPr>
          <w:rFonts w:ascii="Cambria" w:hAnsi="Cambria" w:cs="Times New Roman"/>
          <w:lang w:val="en-GB"/>
        </w:rPr>
      </w:pPr>
    </w:p>
    <w:p w:rsidR="00630DBC" w:rsidRDefault="00630DBC">
      <w:pPr>
        <w:pStyle w:val="Default"/>
        <w:jc w:val="both"/>
        <w:rPr>
          <w:rFonts w:ascii="Cambria" w:hAnsi="Cambria" w:cs="Times New Roman"/>
          <w:lang w:val="en-GB"/>
        </w:rPr>
      </w:pPr>
    </w:p>
    <w:p w:rsidR="0041459E" w:rsidRDefault="0041459E">
      <w:pPr>
        <w:pStyle w:val="Default"/>
        <w:jc w:val="both"/>
        <w:rPr>
          <w:rFonts w:ascii="Cambria" w:hAnsi="Cambria" w:cs="Times New Roman"/>
          <w:lang w:val="en-GB"/>
        </w:rPr>
      </w:pPr>
    </w:p>
    <w:p w:rsidR="0041459E" w:rsidRPr="00573C3D" w:rsidRDefault="0041459E">
      <w:pPr>
        <w:pStyle w:val="Default"/>
        <w:jc w:val="both"/>
        <w:rPr>
          <w:rFonts w:ascii="Cambria" w:hAnsi="Cambria" w:cs="Times New Roman"/>
          <w:lang w:val="en-GB"/>
        </w:rPr>
      </w:pPr>
    </w:p>
    <w:p w:rsidR="00630DBC" w:rsidRPr="00573C3D" w:rsidRDefault="00630DBC">
      <w:pPr>
        <w:pStyle w:val="Default"/>
        <w:jc w:val="both"/>
        <w:rPr>
          <w:rFonts w:ascii="Cambria" w:hAnsi="Cambria" w:cs="Times New Roman"/>
          <w:lang w:val="en-GB"/>
        </w:rPr>
      </w:pPr>
    </w:p>
    <w:p w:rsidR="00630DBC" w:rsidRDefault="00630DBC">
      <w:pPr>
        <w:pStyle w:val="Default"/>
        <w:jc w:val="both"/>
        <w:rPr>
          <w:rFonts w:ascii="Cambria" w:hAnsi="Cambria" w:cs="Times New Roman"/>
          <w:lang w:val="en-GB"/>
        </w:rPr>
      </w:pPr>
    </w:p>
    <w:p w:rsidR="00A36AA9" w:rsidRDefault="00A36AA9">
      <w:pPr>
        <w:pStyle w:val="Default"/>
        <w:jc w:val="both"/>
        <w:rPr>
          <w:rFonts w:ascii="Cambria" w:hAnsi="Cambria" w:cs="Times New Roman"/>
          <w:lang w:val="en-GB"/>
        </w:rPr>
      </w:pPr>
    </w:p>
    <w:p w:rsidR="000D00F3" w:rsidRPr="00573C3D" w:rsidRDefault="000D00F3">
      <w:pPr>
        <w:pStyle w:val="Default"/>
        <w:jc w:val="both"/>
        <w:rPr>
          <w:rFonts w:ascii="Cambria" w:hAnsi="Cambria" w:cs="Times New Roman"/>
          <w:lang w:val="en-GB"/>
        </w:rPr>
      </w:pPr>
    </w:p>
    <w:p w:rsidR="00630DBC" w:rsidRPr="00573C3D" w:rsidRDefault="00630DBC">
      <w:pPr>
        <w:pStyle w:val="Default"/>
        <w:jc w:val="both"/>
        <w:rPr>
          <w:rFonts w:ascii="Cambria" w:hAnsi="Cambria" w:cs="Times New Roman"/>
          <w:lang w:val="en-GB"/>
        </w:rPr>
      </w:pPr>
    </w:p>
    <w:p w:rsidR="002F36EB" w:rsidRPr="00573C3D" w:rsidRDefault="002F36EB">
      <w:pPr>
        <w:pStyle w:val="Default"/>
        <w:jc w:val="both"/>
        <w:rPr>
          <w:rFonts w:ascii="Cambria" w:hAnsi="Cambria" w:cs="Times New Roman"/>
          <w:lang w:val="en-GB"/>
        </w:rPr>
      </w:pPr>
      <w:r w:rsidRPr="00573C3D">
        <w:rPr>
          <w:rFonts w:ascii="Cambria" w:hAnsi="Cambria" w:cs="Times New Roman"/>
          <w:b/>
          <w:lang w:val="en-GB"/>
        </w:rPr>
        <w:lastRenderedPageBreak/>
        <w:t>Fig</w:t>
      </w:r>
      <w:r w:rsidR="0094775C" w:rsidRPr="00573C3D">
        <w:rPr>
          <w:rFonts w:ascii="Cambria" w:hAnsi="Cambria" w:cs="Times New Roman"/>
          <w:b/>
          <w:lang w:val="en-GB"/>
        </w:rPr>
        <w:t>. 1</w:t>
      </w:r>
      <w:r w:rsidR="00D65878" w:rsidRPr="00573C3D">
        <w:rPr>
          <w:rFonts w:ascii="Cambria" w:hAnsi="Cambria" w:cs="Times New Roman"/>
          <w:b/>
          <w:lang w:val="en-GB"/>
        </w:rPr>
        <w:t>.</w:t>
      </w:r>
      <w:r w:rsidR="00D65878" w:rsidRPr="00573C3D">
        <w:rPr>
          <w:rFonts w:ascii="Cambria" w:hAnsi="Cambria" w:cs="Times New Roman"/>
          <w:lang w:val="en-GB"/>
        </w:rPr>
        <w:t xml:space="preserve"> </w:t>
      </w:r>
      <w:r w:rsidR="007B548B" w:rsidRPr="00573C3D">
        <w:rPr>
          <w:rFonts w:ascii="Cambria" w:hAnsi="Cambria" w:cs="Times New Roman"/>
          <w:lang w:val="en-GB"/>
        </w:rPr>
        <w:t>SARS-</w:t>
      </w:r>
      <w:proofErr w:type="spellStart"/>
      <w:r w:rsidR="007B548B" w:rsidRPr="00573C3D">
        <w:rPr>
          <w:rFonts w:ascii="Cambria" w:hAnsi="Cambria" w:cs="Times New Roman"/>
          <w:lang w:val="en-GB"/>
        </w:rPr>
        <w:t>CoV</w:t>
      </w:r>
      <w:proofErr w:type="spellEnd"/>
      <w:r w:rsidRPr="00573C3D">
        <w:rPr>
          <w:rFonts w:ascii="Cambria" w:hAnsi="Cambria" w:cs="Times New Roman"/>
          <w:lang w:val="en-GB"/>
        </w:rPr>
        <w:t xml:space="preserve"> cell entry mechanism and potential role of calcium channel blockers. </w:t>
      </w:r>
    </w:p>
    <w:p w:rsidR="00D65878" w:rsidRPr="00573C3D" w:rsidRDefault="00D65878">
      <w:pPr>
        <w:pStyle w:val="Default"/>
        <w:jc w:val="both"/>
        <w:rPr>
          <w:rFonts w:ascii="Cambria" w:hAnsi="Cambria" w:cs="Times New Roman"/>
          <w:lang w:val="en-GB"/>
        </w:rPr>
      </w:pPr>
    </w:p>
    <w:p w:rsidR="0094775C" w:rsidRPr="00573C3D" w:rsidRDefault="00956C27">
      <w:pPr>
        <w:pStyle w:val="Default"/>
        <w:jc w:val="both"/>
        <w:rPr>
          <w:rFonts w:ascii="Cambria" w:hAnsi="Cambria" w:cs="Times New Roman"/>
          <w:lang w:val="en-GB"/>
        </w:rPr>
      </w:pPr>
      <w:r>
        <w:rPr>
          <w:rFonts w:ascii="Cambria" w:hAnsi="Cambria" w:cs="Times New Roman"/>
          <w:noProof/>
          <w:lang w:val="pl-PL"/>
        </w:rPr>
        <w:drawing>
          <wp:inline distT="0" distB="0" distL="0" distR="0">
            <wp:extent cx="5753100" cy="32512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3251200"/>
                    </a:xfrm>
                    <a:prstGeom prst="rect">
                      <a:avLst/>
                    </a:prstGeom>
                    <a:noFill/>
                    <a:ln>
                      <a:noFill/>
                    </a:ln>
                  </pic:spPr>
                </pic:pic>
              </a:graphicData>
            </a:graphic>
          </wp:inline>
        </w:drawing>
      </w:r>
    </w:p>
    <w:p w:rsidR="00D916AD" w:rsidRPr="00573C3D" w:rsidRDefault="00D916AD">
      <w:pPr>
        <w:pStyle w:val="Default"/>
        <w:jc w:val="both"/>
        <w:rPr>
          <w:rFonts w:ascii="Cambria" w:hAnsi="Cambria" w:cs="Times New Roman"/>
          <w:lang w:val="en-GB"/>
        </w:rPr>
      </w:pPr>
    </w:p>
    <w:p w:rsidR="00162866" w:rsidRPr="00573C3D" w:rsidRDefault="00162866">
      <w:pPr>
        <w:pStyle w:val="Default"/>
        <w:jc w:val="both"/>
        <w:rPr>
          <w:rFonts w:ascii="Cambria" w:hAnsi="Cambria" w:cs="Times New Roman"/>
          <w:b/>
          <w:lang w:val="en-GB"/>
        </w:rPr>
      </w:pPr>
    </w:p>
    <w:p w:rsidR="00630DBC" w:rsidRPr="00573C3D" w:rsidRDefault="00630DBC">
      <w:pPr>
        <w:pStyle w:val="Default"/>
        <w:jc w:val="both"/>
        <w:rPr>
          <w:rFonts w:ascii="Cambria" w:hAnsi="Cambria" w:cs="Times New Roman"/>
          <w:b/>
          <w:lang w:val="en-GB"/>
        </w:rPr>
      </w:pPr>
    </w:p>
    <w:p w:rsidR="00610B36" w:rsidRPr="00392B5C" w:rsidRDefault="00604672" w:rsidP="00DC5FBB">
      <w:pPr>
        <w:pStyle w:val="Nagwek1"/>
        <w:rPr>
          <w:rFonts w:ascii="Cambria" w:hAnsi="Cambria"/>
          <w:b/>
          <w:color w:val="auto"/>
          <w:sz w:val="24"/>
          <w:szCs w:val="24"/>
          <w:lang w:val="en-US"/>
        </w:rPr>
      </w:pPr>
      <w:bookmarkStart w:id="4" w:name="_Toc38208548"/>
      <w:bookmarkStart w:id="5" w:name="_Toc86608096"/>
      <w:r w:rsidRPr="00392B5C">
        <w:rPr>
          <w:rFonts w:ascii="Cambria" w:hAnsi="Cambria"/>
          <w:b/>
          <w:color w:val="auto"/>
          <w:sz w:val="24"/>
          <w:szCs w:val="24"/>
          <w:lang w:val="en-US"/>
        </w:rPr>
        <w:t>3. Rationale for use of amiodarone and verapamil in patients with COVID-19.</w:t>
      </w:r>
      <w:bookmarkEnd w:id="4"/>
      <w:bookmarkEnd w:id="5"/>
      <w:r w:rsidRPr="00392B5C">
        <w:rPr>
          <w:rFonts w:ascii="Cambria" w:hAnsi="Cambria"/>
          <w:b/>
          <w:color w:val="auto"/>
          <w:sz w:val="24"/>
          <w:szCs w:val="24"/>
          <w:lang w:val="en-US"/>
        </w:rPr>
        <w:t xml:space="preserve"> </w:t>
      </w:r>
    </w:p>
    <w:p w:rsidR="00BA28D3" w:rsidRDefault="00610B36">
      <w:pPr>
        <w:pStyle w:val="Default"/>
        <w:jc w:val="both"/>
        <w:rPr>
          <w:rFonts w:ascii="Cambria" w:hAnsi="Cambria" w:cs="Times New Roman"/>
          <w:lang w:val="en-GB"/>
        </w:rPr>
      </w:pPr>
      <w:r w:rsidRPr="00573C3D">
        <w:rPr>
          <w:rFonts w:ascii="Cambria" w:hAnsi="Cambria" w:cs="Times New Roman"/>
          <w:lang w:val="en-GB"/>
        </w:rPr>
        <w:t>Amiodaron</w:t>
      </w:r>
      <w:r w:rsidR="009964C4" w:rsidRPr="00573C3D">
        <w:rPr>
          <w:rFonts w:ascii="Cambria" w:hAnsi="Cambria" w:cs="Times New Roman"/>
          <w:lang w:val="en-GB"/>
        </w:rPr>
        <w:t xml:space="preserve">e is an antiarrhythmic agent often used in patients with cardiovascular diseases. It has </w:t>
      </w:r>
      <w:r w:rsidR="00162866" w:rsidRPr="00573C3D">
        <w:rPr>
          <w:rFonts w:ascii="Cambria" w:hAnsi="Cambria" w:cs="Times New Roman"/>
          <w:lang w:val="en-GB"/>
        </w:rPr>
        <w:t xml:space="preserve">a </w:t>
      </w:r>
      <w:r w:rsidR="009964C4" w:rsidRPr="00573C3D">
        <w:rPr>
          <w:rFonts w:ascii="Cambria" w:hAnsi="Cambria" w:cs="Times New Roman"/>
          <w:lang w:val="en-GB"/>
        </w:rPr>
        <w:t xml:space="preserve">complex mechanism of action, inhibiting different ion channels, including </w:t>
      </w:r>
      <w:r w:rsidR="00162866" w:rsidRPr="00573C3D">
        <w:rPr>
          <w:rFonts w:ascii="Cambria" w:hAnsi="Cambria" w:cs="Times New Roman"/>
          <w:lang w:val="en-GB"/>
        </w:rPr>
        <w:t>calcium</w:t>
      </w:r>
      <w:r w:rsidR="00162866" w:rsidRPr="00573C3D">
        <w:rPr>
          <w:rFonts w:ascii="Cambria" w:hAnsi="Cambria" w:cs="Times New Roman"/>
          <w:vertAlign w:val="superscript"/>
          <w:lang w:val="en-GB"/>
        </w:rPr>
        <w:t xml:space="preserve"> </w:t>
      </w:r>
      <w:r w:rsidR="009964C4" w:rsidRPr="00573C3D">
        <w:rPr>
          <w:rFonts w:ascii="Cambria" w:hAnsi="Cambria" w:cs="Times New Roman"/>
          <w:lang w:val="en-GB"/>
        </w:rPr>
        <w:t xml:space="preserve">channels. </w:t>
      </w:r>
      <w:r w:rsidR="001314F5" w:rsidRPr="00573C3D">
        <w:rPr>
          <w:rFonts w:ascii="Cambria" w:hAnsi="Cambria" w:cs="Times New Roman"/>
          <w:lang w:val="en-GB"/>
        </w:rPr>
        <w:t>Earlier studies have shown how amiodarone affect</w:t>
      </w:r>
      <w:r w:rsidR="00162866" w:rsidRPr="00573C3D">
        <w:rPr>
          <w:rFonts w:ascii="Cambria" w:hAnsi="Cambria" w:cs="Times New Roman"/>
          <w:lang w:val="en-GB"/>
        </w:rPr>
        <w:t>s</w:t>
      </w:r>
      <w:r w:rsidR="001314F5" w:rsidRPr="00573C3D">
        <w:rPr>
          <w:rFonts w:ascii="Cambria" w:hAnsi="Cambria" w:cs="Times New Roman"/>
          <w:lang w:val="en-GB"/>
        </w:rPr>
        <w:t xml:space="preserve"> </w:t>
      </w:r>
      <w:proofErr w:type="spellStart"/>
      <w:r w:rsidR="001314F5" w:rsidRPr="00573C3D">
        <w:rPr>
          <w:rFonts w:ascii="Cambria" w:hAnsi="Cambria" w:cs="Times New Roman"/>
          <w:lang w:val="en-GB"/>
        </w:rPr>
        <w:t>endosomal</w:t>
      </w:r>
      <w:proofErr w:type="spellEnd"/>
      <w:r w:rsidR="001314F5" w:rsidRPr="00573C3D">
        <w:rPr>
          <w:rFonts w:ascii="Cambria" w:hAnsi="Cambria" w:cs="Times New Roman"/>
          <w:lang w:val="en-GB"/>
        </w:rPr>
        <w:t xml:space="preserve"> transport in SARS-</w:t>
      </w:r>
      <w:proofErr w:type="spellStart"/>
      <w:r w:rsidR="001314F5" w:rsidRPr="00573C3D">
        <w:rPr>
          <w:rFonts w:ascii="Cambria" w:hAnsi="Cambria" w:cs="Times New Roman"/>
          <w:lang w:val="en-GB"/>
        </w:rPr>
        <w:t>CoV</w:t>
      </w:r>
      <w:proofErr w:type="spellEnd"/>
      <w:r w:rsidR="001314F5" w:rsidRPr="00573C3D">
        <w:rPr>
          <w:rFonts w:ascii="Cambria" w:hAnsi="Cambria" w:cs="Times New Roman"/>
          <w:lang w:val="en-GB"/>
        </w:rPr>
        <w:t xml:space="preserve">-infected cells by blocking </w:t>
      </w:r>
      <w:r w:rsidR="00162866" w:rsidRPr="00573C3D">
        <w:rPr>
          <w:rFonts w:ascii="Cambria" w:hAnsi="Cambria" w:cs="Times New Roman"/>
          <w:lang w:val="en-GB"/>
        </w:rPr>
        <w:t>calcium</w:t>
      </w:r>
      <w:r w:rsidR="000F2196" w:rsidRPr="00573C3D">
        <w:rPr>
          <w:rFonts w:ascii="Cambria" w:hAnsi="Cambria" w:cs="Times New Roman"/>
          <w:lang w:val="en-GB"/>
        </w:rPr>
        <w:t xml:space="preserve"> channels</w:t>
      </w:r>
      <w:r w:rsidR="0047500D" w:rsidRPr="00573C3D">
        <w:rPr>
          <w:rFonts w:ascii="Cambria" w:hAnsi="Cambria" w:cs="Times New Roman"/>
          <w:lang w:val="en-GB"/>
        </w:rPr>
        <w:fldChar w:fldCharType="begin">
          <w:fldData xml:space="preserve">PEVuZE5vdGU+PENpdGU+PEF1dGhvcj5TdGFkbGVyPC9BdXRob3I+PFllYXI+MjAwODwvWWVhcj48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</w:fldData>
        </w:fldChar>
      </w:r>
      <w:r w:rsidR="000F2196" w:rsidRPr="00573C3D">
        <w:rPr>
          <w:rFonts w:ascii="Cambria" w:hAnsi="Cambria" w:cs="Times New Roman"/>
          <w:lang w:val="en-GB"/>
        </w:rPr>
        <w:instrText xml:space="preserve"> ADDIN EN.CITE </w:instrText>
      </w:r>
      <w:r w:rsidR="0047500D" w:rsidRPr="00573C3D">
        <w:rPr>
          <w:rFonts w:ascii="Cambria" w:hAnsi="Cambria" w:cs="Times New Roman"/>
          <w:lang w:val="en-GB"/>
        </w:rPr>
        <w:fldChar w:fldCharType="begin">
          <w:fldData xml:space="preserve">PEVuZE5vdGU+PENpdGU+PEF1dGhvcj5TdGFkbGVyPC9BdXRob3I+PFllYXI+MjAwODwvWWVhcj48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</w:fldData>
        </w:fldChar>
      </w:r>
      <w:r w:rsidR="000F2196" w:rsidRPr="00573C3D">
        <w:rPr>
          <w:rFonts w:ascii="Cambria" w:hAnsi="Cambria" w:cs="Times New Roman"/>
          <w:lang w:val="en-GB"/>
        </w:rPr>
        <w:instrText xml:space="preserve"> ADDIN EN.CITE.DATA </w:instrText>
      </w:r>
      <w:r w:rsidR="0047500D" w:rsidRPr="00573C3D">
        <w:rPr>
          <w:rFonts w:ascii="Cambria" w:hAnsi="Cambria" w:cs="Times New Roman"/>
          <w:lang w:val="en-GB"/>
        </w:rPr>
      </w:r>
      <w:r w:rsidR="0047500D" w:rsidRPr="00573C3D">
        <w:rPr>
          <w:rFonts w:ascii="Cambria" w:hAnsi="Cambria" w:cs="Times New Roman"/>
          <w:lang w:val="en-GB"/>
        </w:rPr>
        <w:fldChar w:fldCharType="end"/>
      </w:r>
      <w:r w:rsidR="0047500D" w:rsidRPr="00573C3D">
        <w:rPr>
          <w:rFonts w:ascii="Cambria" w:hAnsi="Cambria" w:cs="Times New Roman"/>
          <w:lang w:val="en-GB"/>
        </w:rPr>
      </w:r>
      <w:r w:rsidR="0047500D" w:rsidRPr="00573C3D">
        <w:rPr>
          <w:rFonts w:ascii="Cambria" w:hAnsi="Cambria" w:cs="Times New Roman"/>
          <w:lang w:val="en-GB"/>
        </w:rPr>
        <w:fldChar w:fldCharType="separate"/>
      </w:r>
      <w:r w:rsidR="000F2196" w:rsidRPr="00573C3D">
        <w:rPr>
          <w:rFonts w:ascii="Cambria" w:hAnsi="Cambria" w:cs="Times New Roman"/>
          <w:noProof/>
          <w:lang w:val="en-GB"/>
        </w:rPr>
        <w:t>(4)</w:t>
      </w:r>
      <w:r w:rsidR="0047500D" w:rsidRPr="00573C3D">
        <w:rPr>
          <w:rFonts w:ascii="Cambria" w:hAnsi="Cambria" w:cs="Times New Roman"/>
          <w:lang w:val="en-GB"/>
        </w:rPr>
        <w:fldChar w:fldCharType="end"/>
      </w:r>
      <w:r w:rsidR="001314F5" w:rsidRPr="00573C3D">
        <w:rPr>
          <w:rFonts w:ascii="Cambria" w:hAnsi="Cambria" w:cs="Times New Roman"/>
          <w:lang w:val="en-GB"/>
        </w:rPr>
        <w:t xml:space="preserve">. It also </w:t>
      </w:r>
      <w:r w:rsidR="00162866" w:rsidRPr="00573C3D">
        <w:rPr>
          <w:rFonts w:ascii="Cambria" w:hAnsi="Cambria" w:cs="Times New Roman"/>
          <w:lang w:val="en-GB"/>
        </w:rPr>
        <w:t xml:space="preserve">has </w:t>
      </w:r>
      <w:r w:rsidR="001314F5" w:rsidRPr="00573C3D">
        <w:rPr>
          <w:rFonts w:ascii="Cambria" w:hAnsi="Cambria" w:cs="Times New Roman"/>
          <w:lang w:val="en-GB"/>
        </w:rPr>
        <w:t xml:space="preserve">been reported that S protein undergoes </w:t>
      </w:r>
      <w:r w:rsidR="00162866" w:rsidRPr="00573C3D">
        <w:rPr>
          <w:rFonts w:ascii="Cambria" w:hAnsi="Cambria" w:cs="Times New Roman"/>
          <w:lang w:val="en-GB"/>
        </w:rPr>
        <w:t>calcium</w:t>
      </w:r>
      <w:r w:rsidR="001314F5" w:rsidRPr="00573C3D">
        <w:rPr>
          <w:rFonts w:ascii="Cambria" w:hAnsi="Cambria" w:cs="Times New Roman"/>
          <w:lang w:val="en-GB"/>
        </w:rPr>
        <w:t xml:space="preserve">-dependent modulation. </w:t>
      </w:r>
      <w:r w:rsidR="001314F5" w:rsidRPr="00573C3D">
        <w:rPr>
          <w:rFonts w:ascii="Cambria" w:hAnsi="Cambria" w:cs="Times New Roman"/>
          <w:u w:val="single"/>
          <w:lang w:val="en-GB"/>
        </w:rPr>
        <w:t xml:space="preserve">Therefore, we hypothesized that </w:t>
      </w:r>
      <w:r w:rsidR="00162866" w:rsidRPr="00573C3D">
        <w:rPr>
          <w:rFonts w:ascii="Cambria" w:hAnsi="Cambria" w:cs="Times New Roman"/>
          <w:u w:val="single"/>
          <w:lang w:val="en-GB"/>
        </w:rPr>
        <w:t>calcium</w:t>
      </w:r>
      <w:r w:rsidR="001314F5" w:rsidRPr="00573C3D">
        <w:rPr>
          <w:rFonts w:ascii="Cambria" w:hAnsi="Cambria" w:cs="Times New Roman"/>
          <w:u w:val="single"/>
          <w:lang w:val="en-GB"/>
        </w:rPr>
        <w:t>-dependent mechanism</w:t>
      </w:r>
      <w:r w:rsidR="00162866" w:rsidRPr="00573C3D">
        <w:rPr>
          <w:rFonts w:ascii="Cambria" w:hAnsi="Cambria" w:cs="Times New Roman"/>
          <w:u w:val="single"/>
          <w:lang w:val="en-GB"/>
        </w:rPr>
        <w:t xml:space="preserve"> exists</w:t>
      </w:r>
      <w:r w:rsidR="001314F5" w:rsidRPr="00573C3D">
        <w:rPr>
          <w:rFonts w:ascii="Cambria" w:hAnsi="Cambria" w:cs="Times New Roman"/>
          <w:u w:val="single"/>
          <w:lang w:val="en-GB"/>
        </w:rPr>
        <w:t xml:space="preserve">, which allows interaction with the early stages of viral cell entry by conformational modifications of S protein. </w:t>
      </w:r>
      <w:r w:rsidR="001314F5" w:rsidRPr="00573C3D">
        <w:rPr>
          <w:rFonts w:ascii="Cambria" w:hAnsi="Cambria" w:cs="Times New Roman"/>
          <w:lang w:val="en-GB"/>
        </w:rPr>
        <w:t xml:space="preserve">This hypothesis </w:t>
      </w:r>
      <w:r w:rsidR="0007779F" w:rsidRPr="00573C3D">
        <w:rPr>
          <w:rFonts w:ascii="Cambria" w:hAnsi="Cambria" w:cs="Times New Roman"/>
          <w:lang w:val="en-GB"/>
        </w:rPr>
        <w:t xml:space="preserve">is </w:t>
      </w:r>
      <w:r w:rsidR="001314F5" w:rsidRPr="00573C3D">
        <w:rPr>
          <w:rFonts w:ascii="Cambria" w:hAnsi="Cambria" w:cs="Times New Roman"/>
          <w:lang w:val="en-GB"/>
        </w:rPr>
        <w:t xml:space="preserve">clinically supported by recently published data showing that amiodarone, in concentrations obtained during antiarrhythmic therapy, inhibits cell entry by the virus </w:t>
      </w:r>
      <w:r w:rsidR="0047500D" w:rsidRPr="00573C3D">
        <w:rPr>
          <w:rFonts w:ascii="Cambria" w:hAnsi="Cambria" w:cs="Times New Roman"/>
          <w:lang w:val="en-GB"/>
        </w:rPr>
        <w:fldChar w:fldCharType="begin">
          <w:fldData xml:space="preserve">PEVuZE5vdGU+PENpdGU+PEF1dGhvcj5HZWhyaW5nPC9BdXRob3I+PFllYXI+MjAxNDwvWWVhcj48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</w:fldData>
        </w:fldChar>
      </w:r>
      <w:r w:rsidR="00C536F6" w:rsidRPr="00573C3D">
        <w:rPr>
          <w:rFonts w:ascii="Cambria" w:hAnsi="Cambria" w:cs="Times New Roman"/>
          <w:lang w:val="en-GB"/>
        </w:rPr>
        <w:instrText xml:space="preserve"> ADDIN EN.CITE </w:instrText>
      </w:r>
      <w:r w:rsidR="0047500D" w:rsidRPr="00573C3D">
        <w:rPr>
          <w:rFonts w:ascii="Cambria" w:hAnsi="Cambria" w:cs="Times New Roman"/>
          <w:lang w:val="en-GB"/>
        </w:rPr>
        <w:fldChar w:fldCharType="begin">
          <w:fldData xml:space="preserve">PEVuZE5vdGU+PENpdGU+PEF1dGhvcj5HZWhyaW5nPC9BdXRob3I+PFllYXI+MjAxNDwvWWVhcj48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</w:fldData>
        </w:fldChar>
      </w:r>
      <w:r w:rsidR="00C536F6" w:rsidRPr="00573C3D">
        <w:rPr>
          <w:rFonts w:ascii="Cambria" w:hAnsi="Cambria" w:cs="Times New Roman"/>
          <w:lang w:val="en-GB"/>
        </w:rPr>
        <w:instrText xml:space="preserve"> ADDIN EN.CITE.DATA </w:instrText>
      </w:r>
      <w:r w:rsidR="0047500D" w:rsidRPr="00573C3D">
        <w:rPr>
          <w:rFonts w:ascii="Cambria" w:hAnsi="Cambria" w:cs="Times New Roman"/>
          <w:lang w:val="en-GB"/>
        </w:rPr>
      </w:r>
      <w:r w:rsidR="0047500D" w:rsidRPr="00573C3D">
        <w:rPr>
          <w:rFonts w:ascii="Cambria" w:hAnsi="Cambria" w:cs="Times New Roman"/>
          <w:lang w:val="en-GB"/>
        </w:rPr>
        <w:fldChar w:fldCharType="end"/>
      </w:r>
      <w:r w:rsidR="0047500D" w:rsidRPr="00573C3D">
        <w:rPr>
          <w:rFonts w:ascii="Cambria" w:hAnsi="Cambria" w:cs="Times New Roman"/>
          <w:lang w:val="en-GB"/>
        </w:rPr>
      </w:r>
      <w:r w:rsidR="0047500D" w:rsidRPr="00573C3D">
        <w:rPr>
          <w:rFonts w:ascii="Cambria" w:hAnsi="Cambria" w:cs="Times New Roman"/>
          <w:lang w:val="en-GB"/>
        </w:rPr>
        <w:fldChar w:fldCharType="separate"/>
      </w:r>
      <w:r w:rsidR="00C536F6" w:rsidRPr="00573C3D">
        <w:rPr>
          <w:rFonts w:ascii="Cambria" w:hAnsi="Cambria" w:cs="Times New Roman"/>
          <w:noProof/>
          <w:lang w:val="en-GB"/>
        </w:rPr>
        <w:t>(5)</w:t>
      </w:r>
      <w:r w:rsidR="0047500D" w:rsidRPr="00573C3D">
        <w:rPr>
          <w:rFonts w:ascii="Cambria" w:hAnsi="Cambria" w:cs="Times New Roman"/>
          <w:lang w:val="en-GB"/>
        </w:rPr>
        <w:fldChar w:fldCharType="end"/>
      </w:r>
      <w:r w:rsidR="00EF3B85" w:rsidRPr="00573C3D">
        <w:rPr>
          <w:rFonts w:ascii="Cambria" w:hAnsi="Cambria" w:cs="Times New Roman"/>
          <w:lang w:val="en-GB"/>
        </w:rPr>
        <w:t>.</w:t>
      </w:r>
      <w:r w:rsidR="00162866" w:rsidRPr="00573C3D">
        <w:rPr>
          <w:rFonts w:ascii="Cambria" w:hAnsi="Cambria" w:cs="Times New Roman"/>
          <w:lang w:val="en-GB"/>
        </w:rPr>
        <w:t xml:space="preserve"> </w:t>
      </w:r>
      <w:r w:rsidR="009914C0" w:rsidRPr="00573C3D">
        <w:rPr>
          <w:rFonts w:ascii="Cambria" w:hAnsi="Cambria" w:cs="Times New Roman"/>
          <w:lang w:val="en-GB"/>
        </w:rPr>
        <w:t>A s</w:t>
      </w:r>
      <w:r w:rsidR="0007779F" w:rsidRPr="00573C3D">
        <w:rPr>
          <w:rFonts w:ascii="Cambria" w:hAnsi="Cambria" w:cs="Times New Roman"/>
          <w:lang w:val="en-GB"/>
        </w:rPr>
        <w:t>imilar effect was achieved with use of verapamil, a non–dihydropyridine calcium channel blocker</w:t>
      </w:r>
      <w:r w:rsidR="00162866" w:rsidRPr="00573C3D">
        <w:rPr>
          <w:rFonts w:ascii="Cambria" w:hAnsi="Cambria" w:cs="Times New Roman"/>
          <w:lang w:val="en-GB"/>
        </w:rPr>
        <w:t xml:space="preserve">, </w:t>
      </w:r>
      <w:r w:rsidR="0007779F" w:rsidRPr="00573C3D">
        <w:rPr>
          <w:rFonts w:ascii="Cambria" w:hAnsi="Cambria" w:cs="Times New Roman"/>
          <w:lang w:val="en-GB"/>
        </w:rPr>
        <w:t>which exerts antihypertensive, antiarrhythmic and antianginal effects. Verapamil selectively inhibits intracellular transmembrane calcium flow through L-type voltage-dependent calcium channels</w:t>
      </w:r>
      <w:r w:rsidR="00F710DB" w:rsidRPr="00573C3D">
        <w:rPr>
          <w:rFonts w:ascii="Cambria" w:hAnsi="Cambria" w:cs="Times New Roman"/>
          <w:lang w:val="en-GB"/>
        </w:rPr>
        <w:t>.</w:t>
      </w:r>
      <w:r w:rsidR="00162866" w:rsidRPr="00573C3D">
        <w:rPr>
          <w:rFonts w:ascii="Cambria" w:hAnsi="Cambria" w:cs="Times New Roman"/>
          <w:lang w:val="en-GB"/>
        </w:rPr>
        <w:t xml:space="preserve"> </w:t>
      </w:r>
      <w:r w:rsidR="00F710DB" w:rsidRPr="00573C3D">
        <w:rPr>
          <w:rFonts w:ascii="Cambria" w:hAnsi="Cambria" w:cs="Times New Roman"/>
          <w:lang w:val="en-GB"/>
        </w:rPr>
        <w:t xml:space="preserve">It should be underlined, that use of antiarrhythmic agents, such as amiodarone and verapamil, may also have additional beneficial effects due to the fact that up to 40% of COVID-19 patients requiring intensive care may develop arrhythmias related or not related to myocarditis.  Moreover, fever that is present in 85% of COVID-19 cases, leads to tachycardia, and use of medications controlling heart rate may reduce the patient's discomfort. </w:t>
      </w:r>
    </w:p>
    <w:p w:rsidR="0041459E" w:rsidRDefault="0041459E">
      <w:pPr>
        <w:pStyle w:val="Default"/>
        <w:jc w:val="both"/>
        <w:rPr>
          <w:rFonts w:ascii="Cambria" w:hAnsi="Cambria" w:cs="Times New Roman"/>
          <w:lang w:val="en-GB"/>
        </w:rPr>
      </w:pPr>
    </w:p>
    <w:p w:rsidR="00956C27" w:rsidRDefault="00956C27" w:rsidP="006B24F4">
      <w:pPr>
        <w:pStyle w:val="Tekstpodstawowy"/>
      </w:pPr>
    </w:p>
    <w:p w:rsidR="00F33391" w:rsidRDefault="00F33391" w:rsidP="006B24F4">
      <w:pPr>
        <w:pStyle w:val="Tekstpodstawowy"/>
      </w:pPr>
    </w:p>
    <w:p w:rsidR="006B24F4" w:rsidRDefault="006B24F4" w:rsidP="006B24F4">
      <w:pPr>
        <w:pStyle w:val="Tekstpodstawowy"/>
      </w:pPr>
      <w:bookmarkStart w:id="6" w:name="_Toc38208549"/>
    </w:p>
    <w:p w:rsidR="006B24F4" w:rsidRDefault="006B24F4" w:rsidP="006B24F4">
      <w:pPr>
        <w:pStyle w:val="Tekstpodstawowy"/>
      </w:pPr>
    </w:p>
    <w:p w:rsidR="00771F25" w:rsidRPr="00392B5C" w:rsidRDefault="00604672" w:rsidP="00DC5FBB">
      <w:pPr>
        <w:pStyle w:val="Nagwek1"/>
        <w:rPr>
          <w:rFonts w:ascii="Cambria" w:hAnsi="Cambria"/>
          <w:b/>
          <w:color w:val="auto"/>
          <w:sz w:val="24"/>
          <w:szCs w:val="24"/>
          <w:lang w:val="en-US"/>
        </w:rPr>
      </w:pPr>
      <w:bookmarkStart w:id="7" w:name="_Toc86608097"/>
      <w:r w:rsidRPr="00392B5C">
        <w:rPr>
          <w:rFonts w:ascii="Cambria" w:hAnsi="Cambria"/>
          <w:b/>
          <w:color w:val="auto"/>
          <w:sz w:val="24"/>
          <w:szCs w:val="24"/>
          <w:lang w:val="en-US"/>
        </w:rPr>
        <w:lastRenderedPageBreak/>
        <w:t xml:space="preserve">4. The </w:t>
      </w:r>
      <w:proofErr w:type="spellStart"/>
      <w:r w:rsidRPr="00392B5C">
        <w:rPr>
          <w:rFonts w:ascii="Cambria" w:hAnsi="Cambria"/>
          <w:b/>
          <w:color w:val="auto"/>
          <w:sz w:val="24"/>
          <w:szCs w:val="24"/>
          <w:lang w:val="en-US"/>
        </w:rPr>
        <w:t>ReCOVery</w:t>
      </w:r>
      <w:proofErr w:type="spellEnd"/>
      <w:r w:rsidRPr="00392B5C">
        <w:rPr>
          <w:rFonts w:ascii="Cambria" w:hAnsi="Cambria"/>
          <w:b/>
          <w:color w:val="auto"/>
          <w:sz w:val="24"/>
          <w:szCs w:val="24"/>
          <w:lang w:val="en-US"/>
        </w:rPr>
        <w:t>-SIRIO trial</w:t>
      </w:r>
      <w:bookmarkEnd w:id="6"/>
      <w:bookmarkEnd w:id="7"/>
    </w:p>
    <w:p w:rsidR="006B24F4" w:rsidRPr="00392B5C" w:rsidRDefault="006B24F4" w:rsidP="006B24F4">
      <w:pPr>
        <w:rPr>
          <w:lang w:val="en-US"/>
        </w:rPr>
      </w:pPr>
    </w:p>
    <w:p w:rsidR="00E952CA" w:rsidRDefault="00E952CA" w:rsidP="00DC5FBB">
      <w:pPr>
        <w:pStyle w:val="Nagwek2"/>
        <w:rPr>
          <w:rFonts w:ascii="Cambria" w:hAnsi="Cambria"/>
          <w:b/>
          <w:color w:val="auto"/>
          <w:sz w:val="24"/>
          <w:szCs w:val="24"/>
          <w:lang w:val="en-GB"/>
        </w:rPr>
      </w:pPr>
      <w:bookmarkStart w:id="8" w:name="_Toc86608098"/>
      <w:r w:rsidRPr="00DC5FBB">
        <w:rPr>
          <w:rFonts w:ascii="Cambria" w:hAnsi="Cambria"/>
          <w:b/>
          <w:color w:val="auto"/>
          <w:sz w:val="24"/>
          <w:szCs w:val="24"/>
          <w:lang w:val="en-GB"/>
        </w:rPr>
        <w:t>4. 1</w:t>
      </w:r>
      <w:r w:rsidR="0057217A" w:rsidRPr="00DC5FBB">
        <w:rPr>
          <w:rFonts w:ascii="Cambria" w:hAnsi="Cambria"/>
          <w:b/>
          <w:color w:val="auto"/>
          <w:sz w:val="24"/>
          <w:szCs w:val="24"/>
          <w:lang w:val="en-GB"/>
        </w:rPr>
        <w:t>.</w:t>
      </w:r>
      <w:r w:rsidRPr="00DC5FBB">
        <w:rPr>
          <w:rFonts w:ascii="Cambria" w:hAnsi="Cambria"/>
          <w:b/>
          <w:color w:val="auto"/>
          <w:sz w:val="24"/>
          <w:szCs w:val="24"/>
          <w:lang w:val="en-GB"/>
        </w:rPr>
        <w:t xml:space="preserve"> General information</w:t>
      </w:r>
      <w:bookmarkEnd w:id="8"/>
    </w:p>
    <w:p w:rsidR="006B24F4" w:rsidRPr="006B24F4" w:rsidRDefault="006B24F4" w:rsidP="006B24F4">
      <w:pPr>
        <w:rPr>
          <w:lang w:val="en-GB"/>
        </w:rPr>
      </w:pPr>
    </w:p>
    <w:p w:rsidR="00D34F04" w:rsidRPr="00573C3D" w:rsidRDefault="009977D9">
      <w:pPr>
        <w:pStyle w:val="Default"/>
        <w:jc w:val="both"/>
        <w:rPr>
          <w:rFonts w:ascii="Cambria" w:hAnsi="Cambria" w:cs="Times New Roman"/>
          <w:lang w:val="en-GB"/>
        </w:rPr>
      </w:pPr>
      <w:r w:rsidRPr="00573C3D">
        <w:rPr>
          <w:rFonts w:ascii="Cambria" w:hAnsi="Cambria" w:cs="Times New Roman"/>
          <w:lang w:val="en-GB"/>
        </w:rPr>
        <w:t>A r</w:t>
      </w:r>
      <w:r w:rsidR="00D34F04" w:rsidRPr="00573C3D">
        <w:rPr>
          <w:rFonts w:ascii="Cambria" w:hAnsi="Cambria" w:cs="Times New Roman"/>
          <w:lang w:val="en-GB"/>
        </w:rPr>
        <w:t>andomized study assessing amiodarone and verapamil compared with conventional therapy in the early</w:t>
      </w:r>
      <w:r w:rsidR="00436D22" w:rsidRPr="00573C3D">
        <w:rPr>
          <w:rFonts w:ascii="Cambria" w:hAnsi="Cambria" w:cs="Times New Roman"/>
          <w:lang w:val="en-GB"/>
        </w:rPr>
        <w:t>,</w:t>
      </w:r>
      <w:r w:rsidR="00D34F04" w:rsidRPr="00573C3D">
        <w:rPr>
          <w:rFonts w:ascii="Cambria" w:hAnsi="Cambria" w:cs="Times New Roman"/>
          <w:lang w:val="en-GB"/>
        </w:rPr>
        <w:t xml:space="preserve"> </w:t>
      </w:r>
      <w:r w:rsidR="00D34F04" w:rsidRPr="00573C3D">
        <w:rPr>
          <w:rFonts w:ascii="Cambria" w:hAnsi="Cambria" w:cs="Times New Roman"/>
          <w:b/>
          <w:lang w:val="en-GB"/>
        </w:rPr>
        <w:t xml:space="preserve">symptomatic stage of infection in </w:t>
      </w:r>
      <w:r w:rsidR="00B14E25" w:rsidRPr="00573C3D">
        <w:rPr>
          <w:rFonts w:ascii="Cambria" w:hAnsi="Cambria" w:cs="Times New Roman"/>
          <w:b/>
          <w:lang w:val="en-GB"/>
        </w:rPr>
        <w:t xml:space="preserve">symptomatic </w:t>
      </w:r>
      <w:r w:rsidR="00D34F04" w:rsidRPr="00573C3D">
        <w:rPr>
          <w:rFonts w:ascii="Cambria" w:hAnsi="Cambria" w:cs="Times New Roman"/>
          <w:b/>
          <w:lang w:val="en-GB"/>
        </w:rPr>
        <w:t>patients with confirmed COVID-19</w:t>
      </w:r>
      <w:r w:rsidR="004A745F" w:rsidRPr="00573C3D">
        <w:rPr>
          <w:rFonts w:ascii="Cambria" w:hAnsi="Cambria" w:cs="Times New Roman"/>
          <w:lang w:val="en-GB"/>
        </w:rPr>
        <w:t>. The primary end</w:t>
      </w:r>
      <w:r w:rsidR="00D34F04" w:rsidRPr="00573C3D">
        <w:rPr>
          <w:rFonts w:ascii="Cambria" w:hAnsi="Cambria" w:cs="Times New Roman"/>
          <w:lang w:val="en-GB"/>
        </w:rPr>
        <w:t>point is cl</w:t>
      </w:r>
      <w:r w:rsidR="006C7BD4" w:rsidRPr="00573C3D">
        <w:rPr>
          <w:rFonts w:ascii="Cambria" w:hAnsi="Cambria" w:cs="Times New Roman"/>
          <w:lang w:val="en-GB"/>
        </w:rPr>
        <w:t>inical improvement</w:t>
      </w:r>
      <w:r w:rsidR="00630DBC" w:rsidRPr="00573C3D">
        <w:rPr>
          <w:rFonts w:ascii="Cambria" w:hAnsi="Cambria" w:cs="Times New Roman"/>
          <w:lang w:val="en-GB"/>
        </w:rPr>
        <w:t>. Follow up  primary endpoint: 1</w:t>
      </w:r>
      <w:r w:rsidR="006C7BD4" w:rsidRPr="00573C3D">
        <w:rPr>
          <w:rFonts w:ascii="Cambria" w:hAnsi="Cambria" w:cs="Times New Roman"/>
          <w:lang w:val="en-GB"/>
        </w:rPr>
        <w:t>-15</w:t>
      </w:r>
      <w:r w:rsidR="00D34F04" w:rsidRPr="00573C3D">
        <w:rPr>
          <w:rFonts w:ascii="Cambria" w:hAnsi="Cambria" w:cs="Times New Roman"/>
          <w:lang w:val="en-GB"/>
        </w:rPr>
        <w:t xml:space="preserve"> days.</w:t>
      </w:r>
      <w:r w:rsidR="00D4784E" w:rsidRPr="00573C3D">
        <w:rPr>
          <w:rFonts w:ascii="Cambria" w:hAnsi="Cambria" w:cs="Times New Roman"/>
          <w:lang w:val="en-GB"/>
        </w:rPr>
        <w:t xml:space="preserve"> </w:t>
      </w:r>
      <w:r w:rsidR="00FE040F" w:rsidRPr="00573C3D">
        <w:rPr>
          <w:rFonts w:ascii="Cambria" w:hAnsi="Cambria" w:cs="Times New Roman"/>
          <w:lang w:val="en-GB"/>
        </w:rPr>
        <w:t>Assessments</w:t>
      </w:r>
      <w:r w:rsidR="00D4784E" w:rsidRPr="00573C3D">
        <w:rPr>
          <w:rFonts w:ascii="Cambria" w:hAnsi="Cambria" w:cs="Times New Roman"/>
          <w:lang w:val="en-GB"/>
        </w:rPr>
        <w:t xml:space="preserve"> at day 7 and 28</w:t>
      </w:r>
      <w:r w:rsidR="00C22721">
        <w:rPr>
          <w:rFonts w:ascii="Cambria" w:hAnsi="Cambria" w:cs="Times New Roman"/>
          <w:lang w:val="en-GB"/>
        </w:rPr>
        <w:t xml:space="preserve"> or discharge</w:t>
      </w:r>
      <w:r w:rsidR="00D4784E" w:rsidRPr="00573C3D">
        <w:rPr>
          <w:rFonts w:ascii="Cambria" w:hAnsi="Cambria" w:cs="Times New Roman"/>
          <w:lang w:val="en-GB"/>
        </w:rPr>
        <w:t xml:space="preserve"> will also be performed.</w:t>
      </w:r>
    </w:p>
    <w:p w:rsidR="00D34F04" w:rsidRDefault="00FE040F">
      <w:pPr>
        <w:pStyle w:val="Default"/>
        <w:jc w:val="both"/>
        <w:rPr>
          <w:rFonts w:ascii="Cambria" w:hAnsi="Cambria" w:cs="Times New Roman"/>
          <w:lang w:val="en-GB"/>
        </w:rPr>
      </w:pPr>
      <w:r w:rsidRPr="00573C3D">
        <w:rPr>
          <w:rFonts w:ascii="Cambria" w:hAnsi="Cambria" w:cs="Times New Roman"/>
          <w:lang w:val="en-GB"/>
        </w:rPr>
        <w:t xml:space="preserve">The study will be  performed at around 7 sites  in Poland, Italy, Spain and Canada. </w:t>
      </w:r>
    </w:p>
    <w:p w:rsidR="00F33391" w:rsidRPr="00573C3D" w:rsidRDefault="00F33391">
      <w:pPr>
        <w:pStyle w:val="Default"/>
        <w:jc w:val="both"/>
        <w:rPr>
          <w:rFonts w:ascii="Cambria" w:hAnsi="Cambria" w:cs="Times New Roman"/>
          <w:lang w:val="en-GB"/>
        </w:rPr>
      </w:pPr>
    </w:p>
    <w:p w:rsidR="00D34F04" w:rsidRPr="00573C3D" w:rsidRDefault="00FD732B">
      <w:pPr>
        <w:pStyle w:val="Default"/>
        <w:jc w:val="both"/>
        <w:rPr>
          <w:rFonts w:ascii="Cambria" w:hAnsi="Cambria" w:cs="Times New Roman"/>
          <w:lang w:val="en-GB"/>
        </w:rPr>
      </w:pPr>
      <w:r w:rsidRPr="00573C3D">
        <w:rPr>
          <w:rFonts w:ascii="Cambria" w:hAnsi="Cambria" w:cs="Times New Roman"/>
          <w:lang w:val="en-GB"/>
        </w:rPr>
        <w:t xml:space="preserve">A total of </w:t>
      </w:r>
      <w:r w:rsidR="004972CF" w:rsidRPr="00573C3D">
        <w:rPr>
          <w:rFonts w:ascii="Cambria" w:hAnsi="Cambria" w:cs="Times New Roman"/>
          <w:lang w:val="en-GB"/>
        </w:rPr>
        <w:t xml:space="preserve">804 </w:t>
      </w:r>
      <w:r w:rsidR="00D34F04" w:rsidRPr="00573C3D">
        <w:rPr>
          <w:rFonts w:ascii="Cambria" w:hAnsi="Cambria" w:cs="Times New Roman"/>
          <w:lang w:val="en-GB"/>
        </w:rPr>
        <w:t xml:space="preserve">Patients will be randomized into </w:t>
      </w:r>
      <w:r w:rsidR="009150AE" w:rsidRPr="00573C3D">
        <w:rPr>
          <w:rFonts w:ascii="Cambria" w:hAnsi="Cambria" w:cs="Times New Roman"/>
          <w:lang w:val="en-GB"/>
        </w:rPr>
        <w:t>one of three study arms (</w:t>
      </w:r>
      <w:r w:rsidR="009150AE" w:rsidRPr="00573C3D">
        <w:rPr>
          <w:rFonts w:ascii="Cambria" w:hAnsi="Cambria" w:cs="Times New Roman"/>
          <w:b/>
          <w:lang w:val="en-GB"/>
        </w:rPr>
        <w:t>Fig. 2</w:t>
      </w:r>
      <w:r w:rsidR="00D34F04" w:rsidRPr="00573C3D">
        <w:rPr>
          <w:rFonts w:ascii="Cambria" w:hAnsi="Cambria" w:cs="Times New Roman"/>
          <w:lang w:val="en-GB"/>
        </w:rPr>
        <w:t>):</w:t>
      </w:r>
    </w:p>
    <w:p w:rsidR="00D34F04" w:rsidRPr="00573C3D" w:rsidRDefault="00D34F04">
      <w:pPr>
        <w:pStyle w:val="Default"/>
        <w:jc w:val="both"/>
        <w:rPr>
          <w:rFonts w:ascii="Cambria" w:hAnsi="Cambria" w:cs="Times New Roman"/>
          <w:lang w:val="en-GB"/>
        </w:rPr>
      </w:pPr>
      <w:r w:rsidRPr="00573C3D">
        <w:rPr>
          <w:rFonts w:ascii="Cambria" w:hAnsi="Cambria" w:cs="Times New Roman"/>
          <w:lang w:val="en-GB"/>
        </w:rPr>
        <w:t>1) administration of amiodarone</w:t>
      </w:r>
      <w:r w:rsidR="00B82044" w:rsidRPr="00573C3D">
        <w:rPr>
          <w:rFonts w:ascii="Cambria" w:hAnsi="Cambria" w:cs="Times New Roman"/>
          <w:lang w:val="en-GB"/>
        </w:rPr>
        <w:t xml:space="preserve"> (n=268)</w:t>
      </w:r>
      <w:r w:rsidR="00DC396E" w:rsidRPr="00573C3D">
        <w:rPr>
          <w:rFonts w:ascii="Cambria" w:hAnsi="Cambria" w:cs="Times New Roman"/>
          <w:lang w:val="en-GB"/>
        </w:rPr>
        <w:t>;</w:t>
      </w:r>
    </w:p>
    <w:p w:rsidR="00D34F04" w:rsidRPr="00573C3D" w:rsidRDefault="00D34F04">
      <w:pPr>
        <w:pStyle w:val="Default"/>
        <w:jc w:val="both"/>
        <w:rPr>
          <w:rFonts w:ascii="Cambria" w:hAnsi="Cambria" w:cs="Times New Roman"/>
          <w:lang w:val="en-GB"/>
        </w:rPr>
      </w:pPr>
      <w:r w:rsidRPr="00573C3D">
        <w:rPr>
          <w:rFonts w:ascii="Cambria" w:hAnsi="Cambria" w:cs="Times New Roman"/>
          <w:lang w:val="en-GB"/>
        </w:rPr>
        <w:t>2) administration of verapamil</w:t>
      </w:r>
      <w:r w:rsidR="00B82044" w:rsidRPr="00573C3D">
        <w:rPr>
          <w:rFonts w:ascii="Cambria" w:hAnsi="Cambria" w:cs="Times New Roman"/>
          <w:lang w:val="en-GB"/>
        </w:rPr>
        <w:t xml:space="preserve"> (n=268)</w:t>
      </w:r>
      <w:r w:rsidR="00DC396E" w:rsidRPr="00573C3D">
        <w:rPr>
          <w:rFonts w:ascii="Cambria" w:hAnsi="Cambria" w:cs="Times New Roman"/>
          <w:lang w:val="en-GB"/>
        </w:rPr>
        <w:t>;</w:t>
      </w:r>
    </w:p>
    <w:p w:rsidR="00D34F04" w:rsidRPr="00573C3D" w:rsidRDefault="00D34F04">
      <w:pPr>
        <w:pStyle w:val="Default"/>
        <w:jc w:val="both"/>
        <w:rPr>
          <w:rFonts w:ascii="Cambria" w:hAnsi="Cambria" w:cs="Times New Roman"/>
          <w:lang w:val="en-GB"/>
        </w:rPr>
      </w:pPr>
      <w:r w:rsidRPr="00573C3D">
        <w:rPr>
          <w:rFonts w:ascii="Cambria" w:hAnsi="Cambria" w:cs="Times New Roman"/>
          <w:lang w:val="en-GB"/>
        </w:rPr>
        <w:t xml:space="preserve">3) </w:t>
      </w:r>
      <w:r w:rsidR="009E26A5" w:rsidRPr="00573C3D">
        <w:rPr>
          <w:rFonts w:ascii="Cambria" w:hAnsi="Cambria" w:cs="Times New Roman"/>
          <w:lang w:val="en-GB"/>
        </w:rPr>
        <w:t>usual care</w:t>
      </w:r>
      <w:r w:rsidR="00B82044" w:rsidRPr="00573C3D">
        <w:rPr>
          <w:rFonts w:ascii="Cambria" w:hAnsi="Cambria" w:cs="Times New Roman"/>
          <w:lang w:val="en-GB"/>
        </w:rPr>
        <w:t xml:space="preserve"> (n=268)</w:t>
      </w:r>
      <w:r w:rsidR="00DC396E" w:rsidRPr="00573C3D">
        <w:rPr>
          <w:rFonts w:ascii="Cambria" w:hAnsi="Cambria" w:cs="Times New Roman"/>
          <w:lang w:val="en-GB"/>
        </w:rPr>
        <w:t>.</w:t>
      </w:r>
    </w:p>
    <w:p w:rsidR="00D34F04" w:rsidRPr="00573C3D" w:rsidRDefault="00D34F04">
      <w:pPr>
        <w:pStyle w:val="Default"/>
        <w:jc w:val="both"/>
        <w:outlineLvl w:val="0"/>
        <w:rPr>
          <w:rFonts w:ascii="Cambria" w:hAnsi="Cambria" w:cs="Times New Roman"/>
          <w:lang w:val="en-GB"/>
        </w:rPr>
      </w:pPr>
    </w:p>
    <w:p w:rsidR="0045575A" w:rsidRPr="00573C3D" w:rsidRDefault="0045575A">
      <w:pPr>
        <w:pStyle w:val="Default"/>
        <w:jc w:val="both"/>
        <w:outlineLvl w:val="0"/>
        <w:rPr>
          <w:rFonts w:ascii="Cambria" w:hAnsi="Cambria" w:cs="Times New Roman"/>
          <w:b/>
          <w:lang w:val="en-GB"/>
        </w:rPr>
      </w:pPr>
    </w:p>
    <w:p w:rsidR="00D34F04" w:rsidRPr="00573C3D" w:rsidRDefault="00D34F04">
      <w:pPr>
        <w:pStyle w:val="Default"/>
        <w:jc w:val="both"/>
        <w:outlineLvl w:val="0"/>
        <w:rPr>
          <w:rFonts w:ascii="Cambria" w:hAnsi="Cambria" w:cs="Times New Roman"/>
          <w:lang w:val="en-GB"/>
        </w:rPr>
      </w:pPr>
      <w:bookmarkStart w:id="9" w:name="_Toc38208550"/>
      <w:bookmarkStart w:id="10" w:name="_Toc38210597"/>
      <w:bookmarkStart w:id="11" w:name="_Toc38214859"/>
      <w:bookmarkStart w:id="12" w:name="_Toc40961962"/>
      <w:bookmarkStart w:id="13" w:name="_Toc54897279"/>
      <w:bookmarkStart w:id="14" w:name="_Toc86608099"/>
      <w:r w:rsidRPr="00573C3D">
        <w:rPr>
          <w:rFonts w:ascii="Cambria" w:hAnsi="Cambria" w:cs="Times New Roman"/>
          <w:b/>
          <w:lang w:val="en-GB"/>
        </w:rPr>
        <w:t>Fig</w:t>
      </w:r>
      <w:r w:rsidR="00377D61" w:rsidRPr="00573C3D">
        <w:rPr>
          <w:rFonts w:ascii="Cambria" w:hAnsi="Cambria" w:cs="Times New Roman"/>
          <w:b/>
          <w:lang w:val="en-GB"/>
        </w:rPr>
        <w:t>. 2</w:t>
      </w:r>
      <w:r w:rsidR="006711BF" w:rsidRPr="00573C3D">
        <w:rPr>
          <w:rFonts w:ascii="Cambria" w:hAnsi="Cambria" w:cs="Times New Roman"/>
          <w:b/>
          <w:lang w:val="en-GB"/>
        </w:rPr>
        <w:t>.</w:t>
      </w:r>
      <w:r w:rsidR="006711BF" w:rsidRPr="00573C3D">
        <w:rPr>
          <w:rFonts w:ascii="Cambria" w:hAnsi="Cambria" w:cs="Times New Roman"/>
          <w:lang w:val="en-GB"/>
        </w:rPr>
        <w:t xml:space="preserve"> </w:t>
      </w:r>
      <w:r w:rsidRPr="00573C3D">
        <w:rPr>
          <w:rFonts w:ascii="Cambria" w:hAnsi="Cambria" w:cs="Times New Roman"/>
          <w:lang w:val="en-GB"/>
        </w:rPr>
        <w:t xml:space="preserve">The </w:t>
      </w:r>
      <w:proofErr w:type="spellStart"/>
      <w:r w:rsidRPr="00573C3D">
        <w:rPr>
          <w:rFonts w:ascii="Cambria" w:hAnsi="Cambria" w:cs="Times New Roman"/>
          <w:lang w:val="en-GB"/>
        </w:rPr>
        <w:t>ReCOVery</w:t>
      </w:r>
      <w:proofErr w:type="spellEnd"/>
      <w:r w:rsidR="009157DD" w:rsidRPr="00573C3D">
        <w:rPr>
          <w:rFonts w:ascii="Cambria" w:hAnsi="Cambria" w:cs="Times New Roman"/>
          <w:lang w:val="en-GB"/>
        </w:rPr>
        <w:t>-SIRIO</w:t>
      </w:r>
      <w:r w:rsidR="008357ED" w:rsidRPr="00573C3D">
        <w:rPr>
          <w:rFonts w:ascii="Cambria" w:hAnsi="Cambria" w:cs="Times New Roman"/>
          <w:lang w:val="en-GB"/>
        </w:rPr>
        <w:t xml:space="preserve"> study flow-</w:t>
      </w:r>
      <w:r w:rsidRPr="00573C3D">
        <w:rPr>
          <w:rFonts w:ascii="Cambria" w:hAnsi="Cambria" w:cs="Times New Roman"/>
          <w:lang w:val="en-GB"/>
        </w:rPr>
        <w:t>chart.</w:t>
      </w:r>
      <w:bookmarkEnd w:id="9"/>
      <w:bookmarkEnd w:id="10"/>
      <w:bookmarkEnd w:id="11"/>
      <w:bookmarkEnd w:id="12"/>
      <w:bookmarkEnd w:id="13"/>
      <w:bookmarkEnd w:id="14"/>
    </w:p>
    <w:p w:rsidR="006711BF" w:rsidRPr="00573C3D" w:rsidRDefault="006711BF">
      <w:pPr>
        <w:pStyle w:val="Default"/>
        <w:jc w:val="both"/>
        <w:outlineLvl w:val="0"/>
        <w:rPr>
          <w:rFonts w:ascii="Cambria" w:hAnsi="Cambria" w:cs="Times New Roman"/>
          <w:lang w:val="en-GB"/>
        </w:rPr>
      </w:pPr>
    </w:p>
    <w:p w:rsidR="0075623C" w:rsidRPr="00573C3D" w:rsidRDefault="005E6A25">
      <w:pPr>
        <w:pStyle w:val="Default"/>
        <w:jc w:val="center"/>
        <w:rPr>
          <w:rFonts w:ascii="Cambria" w:hAnsi="Cambria" w:cs="Times New Roman"/>
          <w:lang w:val="en-GB"/>
        </w:rPr>
      </w:pPr>
      <w:r>
        <w:rPr>
          <w:rFonts w:ascii="Cambria" w:hAnsi="Cambria" w:cs="Times New Roman"/>
          <w:noProof/>
          <w:lang w:val="pl-PL"/>
        </w:rPr>
        <w:drawing>
          <wp:inline distT="0" distB="0" distL="0" distR="0">
            <wp:extent cx="5753735" cy="1880870"/>
            <wp:effectExtent l="0" t="0" r="0" b="5080"/>
            <wp:docPr id="2" name="Immagine 2" descr="C:\Users\A. Russo G. Navarese\Desktop\eCRF\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Russo G. Navarese\Desktop\eCRF\flowchart.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735" cy="1880870"/>
                    </a:xfrm>
                    <a:prstGeom prst="rect">
                      <a:avLst/>
                    </a:prstGeom>
                    <a:noFill/>
                    <a:ln>
                      <a:noFill/>
                    </a:ln>
                  </pic:spPr>
                </pic:pic>
              </a:graphicData>
            </a:graphic>
          </wp:inline>
        </w:drawing>
      </w:r>
    </w:p>
    <w:p w:rsidR="0017506E" w:rsidRPr="00573C3D" w:rsidRDefault="0017506E">
      <w:pPr>
        <w:pStyle w:val="Default"/>
        <w:jc w:val="center"/>
        <w:rPr>
          <w:rFonts w:ascii="Cambria" w:hAnsi="Cambria" w:cs="Times New Roman"/>
          <w:lang w:val="en-GB"/>
        </w:rPr>
      </w:pPr>
    </w:p>
    <w:p w:rsidR="0057217A" w:rsidRDefault="0057217A" w:rsidP="005E6A25">
      <w:pPr>
        <w:jc w:val="both"/>
        <w:outlineLvl w:val="0"/>
        <w:rPr>
          <w:rFonts w:eastAsia="Times New Roman"/>
          <w:b/>
          <w:lang w:val="en-GB"/>
        </w:rPr>
      </w:pPr>
      <w:bookmarkStart w:id="15" w:name="_Toc38208551"/>
    </w:p>
    <w:p w:rsidR="002E28FC" w:rsidRDefault="002E28FC" w:rsidP="005E6A25">
      <w:pPr>
        <w:jc w:val="both"/>
        <w:outlineLvl w:val="0"/>
        <w:rPr>
          <w:rFonts w:eastAsia="Times New Roman"/>
          <w:b/>
          <w:lang w:val="en-GB"/>
        </w:rPr>
      </w:pPr>
    </w:p>
    <w:p w:rsidR="005E6A25" w:rsidRPr="00884F60" w:rsidRDefault="005E6A25" w:rsidP="005E6A25">
      <w:pPr>
        <w:jc w:val="both"/>
        <w:outlineLvl w:val="0"/>
        <w:rPr>
          <w:rFonts w:eastAsia="Times New Roman"/>
          <w:b/>
          <w:lang w:val="en-GB"/>
        </w:rPr>
      </w:pPr>
      <w:bookmarkStart w:id="16" w:name="_Toc38210598"/>
      <w:bookmarkStart w:id="17" w:name="_Toc38214860"/>
      <w:bookmarkStart w:id="18" w:name="_Toc54897280"/>
      <w:bookmarkStart w:id="19" w:name="_Toc86608100"/>
      <w:r w:rsidRPr="00884F60">
        <w:rPr>
          <w:rFonts w:eastAsia="Times New Roman"/>
          <w:b/>
          <w:lang w:val="en-GB"/>
        </w:rPr>
        <w:t xml:space="preserve">Perspectives of the </w:t>
      </w:r>
      <w:proofErr w:type="spellStart"/>
      <w:r w:rsidRPr="00884F60">
        <w:rPr>
          <w:rFonts w:eastAsia="Times New Roman"/>
          <w:b/>
          <w:lang w:val="en-GB"/>
        </w:rPr>
        <w:t>ReCOVery</w:t>
      </w:r>
      <w:proofErr w:type="spellEnd"/>
      <w:r w:rsidRPr="00884F60">
        <w:rPr>
          <w:rFonts w:eastAsia="Times New Roman"/>
          <w:b/>
          <w:lang w:val="en-GB"/>
        </w:rPr>
        <w:t>-SIRIO trial</w:t>
      </w:r>
      <w:bookmarkEnd w:id="15"/>
      <w:bookmarkEnd w:id="16"/>
      <w:bookmarkEnd w:id="17"/>
      <w:bookmarkEnd w:id="18"/>
      <w:bookmarkEnd w:id="19"/>
    </w:p>
    <w:p w:rsidR="005E6A25" w:rsidRPr="00884F60" w:rsidRDefault="005E6A25" w:rsidP="005E6A25">
      <w:pPr>
        <w:jc w:val="both"/>
        <w:outlineLvl w:val="0"/>
        <w:rPr>
          <w:rFonts w:eastAsia="Times New Roman"/>
          <w:b/>
          <w:lang w:val="en-GB"/>
        </w:rPr>
      </w:pPr>
    </w:p>
    <w:p w:rsidR="005E6A25" w:rsidRPr="00884F60" w:rsidRDefault="005E6A25" w:rsidP="005E6A25">
      <w:pPr>
        <w:jc w:val="both"/>
        <w:rPr>
          <w:rFonts w:eastAsia="Times New Roman"/>
          <w:lang w:val="en-GB"/>
        </w:rPr>
      </w:pPr>
      <w:r w:rsidRPr="00884F60">
        <w:rPr>
          <w:rFonts w:eastAsia="Times New Roman"/>
          <w:lang w:val="en-GB"/>
        </w:rPr>
        <w:t>Inhibition of viral replication and its potential for cell entry may have substantial influence on the clinical course of COVID-19 infection.</w:t>
      </w:r>
    </w:p>
    <w:p w:rsidR="00663486" w:rsidRDefault="00663486" w:rsidP="00663486">
      <w:pPr>
        <w:pStyle w:val="Default"/>
        <w:rPr>
          <w:rFonts w:ascii="Cambria" w:hAnsi="Cambria" w:cs="Times New Roman"/>
          <w:lang w:val="en-GB"/>
        </w:rPr>
      </w:pPr>
    </w:p>
    <w:p w:rsidR="00E952CA" w:rsidRPr="00DC5FBB" w:rsidRDefault="00E952CA" w:rsidP="00DC5FBB">
      <w:pPr>
        <w:pStyle w:val="Nagwek2"/>
        <w:rPr>
          <w:rFonts w:ascii="Cambria" w:hAnsi="Cambria"/>
          <w:b/>
          <w:color w:val="auto"/>
          <w:sz w:val="24"/>
          <w:szCs w:val="24"/>
          <w:lang w:val="en-GB"/>
        </w:rPr>
      </w:pPr>
      <w:bookmarkStart w:id="20" w:name="_Toc86608101"/>
      <w:r w:rsidRPr="00DC5FBB">
        <w:rPr>
          <w:rFonts w:ascii="Cambria" w:hAnsi="Cambria"/>
          <w:b/>
          <w:color w:val="auto"/>
          <w:sz w:val="24"/>
          <w:szCs w:val="24"/>
          <w:lang w:val="en-GB"/>
        </w:rPr>
        <w:t>4.2 Study population – Inclusion Criteria</w:t>
      </w:r>
      <w:bookmarkEnd w:id="20"/>
    </w:p>
    <w:p w:rsidR="00E952CA" w:rsidRPr="00573C3D" w:rsidRDefault="00E952CA" w:rsidP="00E952CA">
      <w:pPr>
        <w:pStyle w:val="Default"/>
        <w:rPr>
          <w:rFonts w:ascii="Cambria" w:hAnsi="Cambria" w:cs="Times New Roman"/>
          <w:b/>
          <w:lang w:val="en-GB"/>
        </w:rPr>
      </w:pPr>
    </w:p>
    <w:p w:rsidR="00E952CA" w:rsidRPr="00573C3D" w:rsidRDefault="00E952CA" w:rsidP="00CF2405">
      <w:pPr>
        <w:pStyle w:val="Akapitzlist"/>
        <w:numPr>
          <w:ilvl w:val="0"/>
          <w:numId w:val="12"/>
        </w:numPr>
        <w:jc w:val="both"/>
        <w:rPr>
          <w:lang w:val="en-GB"/>
        </w:rPr>
      </w:pPr>
      <w:r w:rsidRPr="00573C3D">
        <w:rPr>
          <w:lang w:val="en-GB"/>
        </w:rPr>
        <w:t>Hospitalized patients with confirmed COVID-19 and symptoms. Confirmation of COVID-19 diagnosis should be made with Real-Time PCR</w:t>
      </w:r>
      <w:r w:rsidR="000E1ECF">
        <w:rPr>
          <w:lang w:val="en-GB"/>
        </w:rPr>
        <w:t xml:space="preserve"> (nasopharyngeal or oropharyngeal swabs, sputum, tracheal aspirates)</w:t>
      </w:r>
      <w:r w:rsidRPr="00573C3D">
        <w:rPr>
          <w:lang w:val="en-GB"/>
        </w:rPr>
        <w:t>.</w:t>
      </w:r>
    </w:p>
    <w:p w:rsidR="00E952CA" w:rsidRPr="00573C3D" w:rsidRDefault="00604672" w:rsidP="00CF2405">
      <w:pPr>
        <w:pStyle w:val="m-399672602724054557default"/>
        <w:numPr>
          <w:ilvl w:val="0"/>
          <w:numId w:val="12"/>
        </w:numPr>
        <w:shd w:val="clear" w:color="auto" w:fill="FFFFFF"/>
        <w:spacing w:before="0" w:beforeAutospacing="0" w:after="37" w:afterAutospacing="0"/>
        <w:jc w:val="both"/>
        <w:rPr>
          <w:rFonts w:ascii="Cambria" w:hAnsi="Cambria"/>
          <w:color w:val="000000"/>
          <w:lang w:val="en-GB"/>
        </w:rPr>
      </w:pPr>
      <w:r w:rsidRPr="00604672">
        <w:rPr>
          <w:rFonts w:ascii="Cambria" w:hAnsi="Cambria"/>
          <w:color w:val="000000"/>
          <w:lang w:val="en-GB"/>
        </w:rPr>
        <w:t xml:space="preserve">Written informed consent given prior to any trial-related procedure. </w:t>
      </w:r>
    </w:p>
    <w:p w:rsidR="00E952CA" w:rsidRPr="00573C3D" w:rsidRDefault="00E952CA" w:rsidP="00CF2405">
      <w:pPr>
        <w:pStyle w:val="Akapitzlist"/>
        <w:numPr>
          <w:ilvl w:val="0"/>
          <w:numId w:val="12"/>
        </w:numPr>
        <w:jc w:val="both"/>
        <w:rPr>
          <w:lang w:val="en-GB"/>
        </w:rPr>
      </w:pPr>
      <w:r w:rsidRPr="00573C3D">
        <w:rPr>
          <w:lang w:val="en-GB"/>
        </w:rPr>
        <w:t>Male and female age 18 or more at the time of signing the informed consent.</w:t>
      </w:r>
    </w:p>
    <w:p w:rsidR="00A579BB" w:rsidRDefault="00E952CA" w:rsidP="00A579BB">
      <w:pPr>
        <w:pStyle w:val="Akapitzlist"/>
        <w:numPr>
          <w:ilvl w:val="0"/>
          <w:numId w:val="12"/>
        </w:numPr>
        <w:jc w:val="both"/>
        <w:rPr>
          <w:lang w:val="en-GB"/>
        </w:rPr>
      </w:pPr>
      <w:r w:rsidRPr="00573C3D">
        <w:rPr>
          <w:lang w:val="en-GB"/>
        </w:rPr>
        <w:t>An oxygenation index defined as quotient of partial pressure of oxygen in arterial blood (PaO2, in mmHg) and fraction of inspired oxygen (FiO2) &gt; 200.</w:t>
      </w:r>
      <w:r w:rsidR="00A579BB">
        <w:rPr>
          <w:lang w:val="en-GB"/>
        </w:rPr>
        <w:t xml:space="preserve"> It is recommended to measure partial pressure of oxygen (PaO2) using an arterial blood gas (ABG). </w:t>
      </w:r>
      <w:r w:rsidR="00A579BB" w:rsidRPr="00A579BB">
        <w:rPr>
          <w:lang w:val="en-GB"/>
        </w:rPr>
        <w:t>Optionally, if arterial blood cann</w:t>
      </w:r>
      <w:r w:rsidR="00A579BB">
        <w:rPr>
          <w:lang w:val="en-GB"/>
        </w:rPr>
        <w:t>ot be collected, the Pa</w:t>
      </w:r>
      <w:r w:rsidR="00A579BB" w:rsidRPr="00A579BB">
        <w:rPr>
          <w:lang w:val="en-GB"/>
        </w:rPr>
        <w:t xml:space="preserve">O2 </w:t>
      </w:r>
      <w:r w:rsidR="00A579BB">
        <w:rPr>
          <w:lang w:val="en-GB"/>
        </w:rPr>
        <w:t>level should be determined</w:t>
      </w:r>
      <w:r w:rsidR="00A579BB" w:rsidRPr="00A579BB">
        <w:rPr>
          <w:lang w:val="en-GB"/>
        </w:rPr>
        <w:t xml:space="preserve"> according to the table below</w:t>
      </w:r>
      <w:r w:rsidR="00BE4316">
        <w:rPr>
          <w:lang w:val="en-GB"/>
        </w:rPr>
        <w:t xml:space="preserve"> (Table 1)</w:t>
      </w:r>
      <w:r w:rsidR="00A579BB" w:rsidRPr="00A579BB">
        <w:rPr>
          <w:lang w:val="en-GB"/>
        </w:rPr>
        <w:t>.</w:t>
      </w:r>
      <w:r w:rsidR="00BE4316">
        <w:rPr>
          <w:lang w:val="en-GB"/>
        </w:rPr>
        <w:t xml:space="preserve"> </w:t>
      </w:r>
      <w:r w:rsidR="00BE4316">
        <w:rPr>
          <w:lang w:val="en-GB"/>
        </w:rPr>
        <w:lastRenderedPageBreak/>
        <w:t>Fraction of inspired oxygen (FiO2</w:t>
      </w:r>
      <w:r w:rsidR="00FD30D8">
        <w:rPr>
          <w:lang w:val="en-GB"/>
        </w:rPr>
        <w:t xml:space="preserve">) for different oxygen therapy systems are given in Table 2. </w:t>
      </w:r>
    </w:p>
    <w:p w:rsidR="00663486" w:rsidRDefault="00663486" w:rsidP="00663486">
      <w:pPr>
        <w:jc w:val="both"/>
        <w:rPr>
          <w:lang w:val="en-GB"/>
        </w:rPr>
      </w:pPr>
    </w:p>
    <w:p w:rsidR="00663486" w:rsidRPr="00663486" w:rsidRDefault="00663486" w:rsidP="00663486">
      <w:pPr>
        <w:jc w:val="both"/>
      </w:pPr>
      <w:r w:rsidRPr="00663486">
        <w:rPr>
          <w:b/>
        </w:rPr>
        <w:t>Table 1.</w:t>
      </w:r>
      <w:r w:rsidRPr="00663486">
        <w:t xml:space="preserve"> SpO2 to pO2 c</w:t>
      </w:r>
      <w:r w:rsidR="00A579BB">
        <w:t>onversion</w:t>
      </w:r>
    </w:p>
    <w:tbl>
      <w:tblPr>
        <w:tblStyle w:val="Tabela-Siatka"/>
        <w:tblW w:w="0" w:type="auto"/>
        <w:jc w:val="center"/>
        <w:tblLook w:val="04A0"/>
      </w:tblPr>
      <w:tblGrid>
        <w:gridCol w:w="1692"/>
        <w:gridCol w:w="1692"/>
      </w:tblGrid>
      <w:tr w:rsidR="00A579BB" w:rsidRPr="00A579BB" w:rsidTr="00BE4316">
        <w:trPr>
          <w:trHeight w:val="247"/>
          <w:jc w:val="center"/>
        </w:trPr>
        <w:tc>
          <w:tcPr>
            <w:tcW w:w="1692" w:type="dxa"/>
            <w:vAlign w:val="center"/>
          </w:tcPr>
          <w:p w:rsidR="00663486" w:rsidRPr="00663486" w:rsidRDefault="00663486" w:rsidP="00663486">
            <w:pPr>
              <w:jc w:val="center"/>
              <w:rPr>
                <w:b/>
              </w:rPr>
            </w:pPr>
            <w:r w:rsidRPr="00663486">
              <w:rPr>
                <w:b/>
              </w:rPr>
              <w:t>SpO2 [%]</w:t>
            </w:r>
          </w:p>
        </w:tc>
        <w:tc>
          <w:tcPr>
            <w:tcW w:w="1692" w:type="dxa"/>
            <w:vAlign w:val="center"/>
          </w:tcPr>
          <w:p w:rsidR="00663486" w:rsidRPr="00663486" w:rsidRDefault="00663486" w:rsidP="00663486">
            <w:pPr>
              <w:jc w:val="center"/>
              <w:rPr>
                <w:b/>
              </w:rPr>
            </w:pPr>
            <w:r w:rsidRPr="00663486">
              <w:rPr>
                <w:b/>
              </w:rPr>
              <w:t>pO2 [mmHg]</w:t>
            </w:r>
          </w:p>
        </w:tc>
      </w:tr>
      <w:tr w:rsidR="00EA50CB" w:rsidRPr="00A579BB" w:rsidTr="00BE4316">
        <w:trPr>
          <w:trHeight w:val="262"/>
          <w:jc w:val="center"/>
        </w:trPr>
        <w:tc>
          <w:tcPr>
            <w:tcW w:w="1692" w:type="dxa"/>
            <w:vAlign w:val="center"/>
          </w:tcPr>
          <w:p w:rsidR="00EA50CB" w:rsidRDefault="00EA50CB" w:rsidP="00BE4316">
            <w:pPr>
              <w:jc w:val="center"/>
            </w:pPr>
            <w:r>
              <w:t>80</w:t>
            </w:r>
          </w:p>
        </w:tc>
        <w:tc>
          <w:tcPr>
            <w:tcW w:w="1692" w:type="dxa"/>
            <w:vAlign w:val="center"/>
          </w:tcPr>
          <w:p w:rsidR="00EA50CB" w:rsidRDefault="00EA50CB" w:rsidP="00BE4316">
            <w:pPr>
              <w:jc w:val="center"/>
            </w:pPr>
            <w:r>
              <w:t>44</w:t>
            </w:r>
          </w:p>
        </w:tc>
      </w:tr>
      <w:tr w:rsidR="00EA50CB" w:rsidRPr="00A579BB" w:rsidTr="00BE4316">
        <w:trPr>
          <w:trHeight w:val="262"/>
          <w:jc w:val="center"/>
        </w:trPr>
        <w:tc>
          <w:tcPr>
            <w:tcW w:w="1692" w:type="dxa"/>
            <w:vAlign w:val="center"/>
          </w:tcPr>
          <w:p w:rsidR="00EA50CB" w:rsidRDefault="00EA50CB" w:rsidP="00BE4316">
            <w:pPr>
              <w:jc w:val="center"/>
            </w:pPr>
            <w:r>
              <w:t>81</w:t>
            </w:r>
          </w:p>
        </w:tc>
        <w:tc>
          <w:tcPr>
            <w:tcW w:w="1692" w:type="dxa"/>
            <w:vAlign w:val="center"/>
          </w:tcPr>
          <w:p w:rsidR="00EA50CB" w:rsidRDefault="00EA50CB" w:rsidP="00BE4316">
            <w:pPr>
              <w:jc w:val="center"/>
            </w:pPr>
            <w:r>
              <w:t>45</w:t>
            </w:r>
          </w:p>
        </w:tc>
      </w:tr>
      <w:tr w:rsidR="00EA50CB" w:rsidRPr="00A579BB" w:rsidTr="00BE4316">
        <w:trPr>
          <w:trHeight w:val="262"/>
          <w:jc w:val="center"/>
        </w:trPr>
        <w:tc>
          <w:tcPr>
            <w:tcW w:w="1692" w:type="dxa"/>
            <w:vAlign w:val="center"/>
          </w:tcPr>
          <w:p w:rsidR="00EA50CB" w:rsidRDefault="00EA50CB" w:rsidP="00BE4316">
            <w:pPr>
              <w:jc w:val="center"/>
            </w:pPr>
            <w:r>
              <w:t>82</w:t>
            </w:r>
          </w:p>
        </w:tc>
        <w:tc>
          <w:tcPr>
            <w:tcW w:w="1692" w:type="dxa"/>
            <w:vAlign w:val="center"/>
          </w:tcPr>
          <w:p w:rsidR="00EA50CB" w:rsidRDefault="00EA50CB" w:rsidP="00BE4316">
            <w:pPr>
              <w:jc w:val="center"/>
            </w:pPr>
            <w:r>
              <w:t>46</w:t>
            </w:r>
          </w:p>
        </w:tc>
      </w:tr>
      <w:tr w:rsidR="00EA50CB" w:rsidRPr="00A579BB" w:rsidTr="00BE4316">
        <w:trPr>
          <w:trHeight w:val="262"/>
          <w:jc w:val="center"/>
        </w:trPr>
        <w:tc>
          <w:tcPr>
            <w:tcW w:w="1692" w:type="dxa"/>
            <w:vAlign w:val="center"/>
          </w:tcPr>
          <w:p w:rsidR="00EA50CB" w:rsidRDefault="00EA50CB" w:rsidP="00BE4316">
            <w:pPr>
              <w:jc w:val="center"/>
            </w:pPr>
            <w:r>
              <w:t>83</w:t>
            </w:r>
          </w:p>
        </w:tc>
        <w:tc>
          <w:tcPr>
            <w:tcW w:w="1692" w:type="dxa"/>
            <w:vAlign w:val="center"/>
          </w:tcPr>
          <w:p w:rsidR="00EA50CB" w:rsidRDefault="00EA50CB" w:rsidP="00BE4316">
            <w:pPr>
              <w:jc w:val="center"/>
            </w:pPr>
            <w:r>
              <w:t>47</w:t>
            </w:r>
          </w:p>
        </w:tc>
      </w:tr>
      <w:tr w:rsidR="00EA50CB" w:rsidRPr="00A579BB" w:rsidTr="00BE4316">
        <w:trPr>
          <w:trHeight w:val="262"/>
          <w:jc w:val="center"/>
        </w:trPr>
        <w:tc>
          <w:tcPr>
            <w:tcW w:w="1692" w:type="dxa"/>
            <w:vAlign w:val="center"/>
          </w:tcPr>
          <w:p w:rsidR="00EA50CB" w:rsidRDefault="00EA50CB" w:rsidP="00BE4316">
            <w:pPr>
              <w:jc w:val="center"/>
            </w:pPr>
            <w:r>
              <w:t>84</w:t>
            </w:r>
          </w:p>
        </w:tc>
        <w:tc>
          <w:tcPr>
            <w:tcW w:w="1692" w:type="dxa"/>
            <w:vAlign w:val="center"/>
          </w:tcPr>
          <w:p w:rsidR="00EA50CB" w:rsidRDefault="00EA50CB" w:rsidP="00BE4316">
            <w:pPr>
              <w:jc w:val="center"/>
            </w:pPr>
            <w:r>
              <w:t>49</w:t>
            </w:r>
          </w:p>
        </w:tc>
      </w:tr>
      <w:tr w:rsidR="00A579BB" w:rsidRPr="00A579BB" w:rsidTr="00BE4316">
        <w:trPr>
          <w:trHeight w:val="262"/>
          <w:jc w:val="center"/>
        </w:trPr>
        <w:tc>
          <w:tcPr>
            <w:tcW w:w="1692" w:type="dxa"/>
            <w:vAlign w:val="center"/>
          </w:tcPr>
          <w:p w:rsidR="00663486" w:rsidRPr="00663486" w:rsidRDefault="00A579BB" w:rsidP="00663486">
            <w:pPr>
              <w:jc w:val="center"/>
            </w:pPr>
            <w:r>
              <w:t>85</w:t>
            </w:r>
          </w:p>
        </w:tc>
        <w:tc>
          <w:tcPr>
            <w:tcW w:w="1692" w:type="dxa"/>
            <w:vAlign w:val="center"/>
          </w:tcPr>
          <w:p w:rsidR="00663486" w:rsidRPr="00663486" w:rsidRDefault="00BE4316" w:rsidP="00663486">
            <w:pPr>
              <w:jc w:val="center"/>
            </w:pPr>
            <w:r>
              <w:t>50</w:t>
            </w:r>
          </w:p>
        </w:tc>
      </w:tr>
      <w:tr w:rsidR="00A579BB" w:rsidRPr="00A579BB" w:rsidTr="00BE4316">
        <w:trPr>
          <w:trHeight w:val="262"/>
          <w:jc w:val="center"/>
        </w:trPr>
        <w:tc>
          <w:tcPr>
            <w:tcW w:w="1692" w:type="dxa"/>
            <w:vAlign w:val="center"/>
          </w:tcPr>
          <w:p w:rsidR="00663486" w:rsidRPr="00663486" w:rsidRDefault="00BE4316" w:rsidP="00663486">
            <w:pPr>
              <w:jc w:val="center"/>
            </w:pPr>
            <w:r>
              <w:t>86</w:t>
            </w:r>
          </w:p>
        </w:tc>
        <w:tc>
          <w:tcPr>
            <w:tcW w:w="1692" w:type="dxa"/>
            <w:vAlign w:val="center"/>
          </w:tcPr>
          <w:p w:rsidR="00663486" w:rsidRPr="00663486" w:rsidRDefault="00BE4316" w:rsidP="00663486">
            <w:pPr>
              <w:jc w:val="center"/>
            </w:pPr>
            <w:r>
              <w:t>51</w:t>
            </w:r>
          </w:p>
        </w:tc>
      </w:tr>
      <w:tr w:rsidR="00A579BB" w:rsidRPr="00A579BB" w:rsidTr="00BE4316">
        <w:trPr>
          <w:trHeight w:val="247"/>
          <w:jc w:val="center"/>
        </w:trPr>
        <w:tc>
          <w:tcPr>
            <w:tcW w:w="1692" w:type="dxa"/>
            <w:vAlign w:val="center"/>
          </w:tcPr>
          <w:p w:rsidR="00663486" w:rsidRPr="00663486" w:rsidRDefault="00BE4316" w:rsidP="00663486">
            <w:pPr>
              <w:jc w:val="center"/>
            </w:pPr>
            <w:r>
              <w:t>87</w:t>
            </w:r>
          </w:p>
        </w:tc>
        <w:tc>
          <w:tcPr>
            <w:tcW w:w="1692" w:type="dxa"/>
            <w:vAlign w:val="center"/>
          </w:tcPr>
          <w:p w:rsidR="00663486" w:rsidRPr="00663486" w:rsidRDefault="00BE4316" w:rsidP="00663486">
            <w:pPr>
              <w:jc w:val="center"/>
            </w:pPr>
            <w:r>
              <w:t>52</w:t>
            </w:r>
          </w:p>
        </w:tc>
      </w:tr>
      <w:tr w:rsidR="00A579BB" w:rsidRPr="00A579BB" w:rsidTr="00BE4316">
        <w:trPr>
          <w:trHeight w:val="262"/>
          <w:jc w:val="center"/>
        </w:trPr>
        <w:tc>
          <w:tcPr>
            <w:tcW w:w="1692" w:type="dxa"/>
            <w:vAlign w:val="center"/>
          </w:tcPr>
          <w:p w:rsidR="00663486" w:rsidRPr="00663486" w:rsidRDefault="00BE4316" w:rsidP="00663486">
            <w:pPr>
              <w:jc w:val="center"/>
            </w:pPr>
            <w:r>
              <w:t>88</w:t>
            </w:r>
          </w:p>
        </w:tc>
        <w:tc>
          <w:tcPr>
            <w:tcW w:w="1692" w:type="dxa"/>
            <w:vAlign w:val="center"/>
          </w:tcPr>
          <w:p w:rsidR="00663486" w:rsidRPr="00663486" w:rsidRDefault="00BE4316" w:rsidP="00663486">
            <w:pPr>
              <w:jc w:val="center"/>
            </w:pPr>
            <w:r>
              <w:t>54</w:t>
            </w:r>
          </w:p>
        </w:tc>
      </w:tr>
      <w:tr w:rsidR="00A579BB" w:rsidRPr="00A579BB" w:rsidTr="00BE4316">
        <w:trPr>
          <w:trHeight w:val="247"/>
          <w:jc w:val="center"/>
        </w:trPr>
        <w:tc>
          <w:tcPr>
            <w:tcW w:w="1692" w:type="dxa"/>
            <w:vAlign w:val="center"/>
          </w:tcPr>
          <w:p w:rsidR="00663486" w:rsidRPr="00663486" w:rsidRDefault="00BE4316" w:rsidP="00663486">
            <w:pPr>
              <w:jc w:val="center"/>
            </w:pPr>
            <w:r>
              <w:t>89</w:t>
            </w:r>
          </w:p>
        </w:tc>
        <w:tc>
          <w:tcPr>
            <w:tcW w:w="1692" w:type="dxa"/>
            <w:vAlign w:val="center"/>
          </w:tcPr>
          <w:p w:rsidR="00663486" w:rsidRPr="00663486" w:rsidRDefault="00BE4316" w:rsidP="00663486">
            <w:pPr>
              <w:jc w:val="center"/>
            </w:pPr>
            <w:r>
              <w:t>56</w:t>
            </w:r>
          </w:p>
        </w:tc>
      </w:tr>
      <w:tr w:rsidR="00A579BB" w:rsidRPr="00A579BB" w:rsidTr="00BE4316">
        <w:trPr>
          <w:trHeight w:val="262"/>
          <w:jc w:val="center"/>
        </w:trPr>
        <w:tc>
          <w:tcPr>
            <w:tcW w:w="1692" w:type="dxa"/>
            <w:vAlign w:val="center"/>
          </w:tcPr>
          <w:p w:rsidR="00663486" w:rsidRPr="00663486" w:rsidRDefault="00BE4316" w:rsidP="00663486">
            <w:pPr>
              <w:jc w:val="center"/>
            </w:pPr>
            <w:r>
              <w:t>90</w:t>
            </w:r>
          </w:p>
        </w:tc>
        <w:tc>
          <w:tcPr>
            <w:tcW w:w="1692" w:type="dxa"/>
            <w:vAlign w:val="center"/>
          </w:tcPr>
          <w:p w:rsidR="00663486" w:rsidRPr="00663486" w:rsidRDefault="00BE4316" w:rsidP="00663486">
            <w:pPr>
              <w:jc w:val="center"/>
            </w:pPr>
            <w:r>
              <w:t>58</w:t>
            </w:r>
          </w:p>
        </w:tc>
      </w:tr>
      <w:tr w:rsidR="00A579BB" w:rsidRPr="00A579BB" w:rsidTr="00BE4316">
        <w:trPr>
          <w:trHeight w:val="247"/>
          <w:jc w:val="center"/>
        </w:trPr>
        <w:tc>
          <w:tcPr>
            <w:tcW w:w="1692" w:type="dxa"/>
            <w:vAlign w:val="center"/>
          </w:tcPr>
          <w:p w:rsidR="00663486" w:rsidRPr="00663486" w:rsidRDefault="00BE4316" w:rsidP="00663486">
            <w:pPr>
              <w:jc w:val="center"/>
            </w:pPr>
            <w:r>
              <w:t>91</w:t>
            </w:r>
          </w:p>
        </w:tc>
        <w:tc>
          <w:tcPr>
            <w:tcW w:w="1692" w:type="dxa"/>
            <w:vAlign w:val="center"/>
          </w:tcPr>
          <w:p w:rsidR="00663486" w:rsidRPr="00663486" w:rsidRDefault="00BE4316" w:rsidP="00663486">
            <w:pPr>
              <w:jc w:val="center"/>
            </w:pPr>
            <w:r>
              <w:t>60</w:t>
            </w:r>
          </w:p>
        </w:tc>
      </w:tr>
      <w:tr w:rsidR="00A579BB" w:rsidRPr="00A579BB" w:rsidTr="00BE4316">
        <w:trPr>
          <w:trHeight w:val="262"/>
          <w:jc w:val="center"/>
        </w:trPr>
        <w:tc>
          <w:tcPr>
            <w:tcW w:w="1692" w:type="dxa"/>
            <w:vAlign w:val="center"/>
          </w:tcPr>
          <w:p w:rsidR="00663486" w:rsidRPr="00663486" w:rsidRDefault="00BE4316" w:rsidP="00663486">
            <w:pPr>
              <w:jc w:val="center"/>
            </w:pPr>
            <w:r>
              <w:t>92</w:t>
            </w:r>
          </w:p>
        </w:tc>
        <w:tc>
          <w:tcPr>
            <w:tcW w:w="1692" w:type="dxa"/>
            <w:vAlign w:val="center"/>
          </w:tcPr>
          <w:p w:rsidR="00663486" w:rsidRPr="00663486" w:rsidRDefault="00BE4316" w:rsidP="00663486">
            <w:pPr>
              <w:jc w:val="center"/>
            </w:pPr>
            <w:r>
              <w:t>64</w:t>
            </w:r>
          </w:p>
        </w:tc>
      </w:tr>
      <w:tr w:rsidR="00A579BB" w:rsidRPr="00A579BB" w:rsidTr="00BE4316">
        <w:trPr>
          <w:trHeight w:val="262"/>
          <w:jc w:val="center"/>
        </w:trPr>
        <w:tc>
          <w:tcPr>
            <w:tcW w:w="1692" w:type="dxa"/>
            <w:vAlign w:val="center"/>
          </w:tcPr>
          <w:p w:rsidR="00663486" w:rsidRPr="00663486" w:rsidRDefault="00BE4316" w:rsidP="00663486">
            <w:pPr>
              <w:jc w:val="center"/>
            </w:pPr>
            <w:r>
              <w:t>93</w:t>
            </w:r>
          </w:p>
        </w:tc>
        <w:tc>
          <w:tcPr>
            <w:tcW w:w="1692" w:type="dxa"/>
            <w:vAlign w:val="center"/>
          </w:tcPr>
          <w:p w:rsidR="00663486" w:rsidRPr="00663486" w:rsidRDefault="00BE4316" w:rsidP="00663486">
            <w:pPr>
              <w:jc w:val="center"/>
            </w:pPr>
            <w:r>
              <w:t>68</w:t>
            </w:r>
          </w:p>
        </w:tc>
      </w:tr>
      <w:tr w:rsidR="00A579BB" w:rsidRPr="00A579BB" w:rsidTr="00BE4316">
        <w:trPr>
          <w:trHeight w:val="247"/>
          <w:jc w:val="center"/>
        </w:trPr>
        <w:tc>
          <w:tcPr>
            <w:tcW w:w="1692" w:type="dxa"/>
            <w:vAlign w:val="center"/>
          </w:tcPr>
          <w:p w:rsidR="00663486" w:rsidRPr="00663486" w:rsidRDefault="00BE4316" w:rsidP="00663486">
            <w:pPr>
              <w:jc w:val="center"/>
            </w:pPr>
            <w:r>
              <w:t>94</w:t>
            </w:r>
          </w:p>
        </w:tc>
        <w:tc>
          <w:tcPr>
            <w:tcW w:w="1692" w:type="dxa"/>
            <w:vAlign w:val="center"/>
          </w:tcPr>
          <w:p w:rsidR="00663486" w:rsidRPr="00663486" w:rsidRDefault="00BE4316" w:rsidP="00663486">
            <w:pPr>
              <w:jc w:val="center"/>
            </w:pPr>
            <w:r>
              <w:t>73</w:t>
            </w:r>
          </w:p>
        </w:tc>
      </w:tr>
      <w:tr w:rsidR="00A579BB" w:rsidRPr="00A579BB" w:rsidTr="00BE4316">
        <w:trPr>
          <w:trHeight w:val="262"/>
          <w:jc w:val="center"/>
        </w:trPr>
        <w:tc>
          <w:tcPr>
            <w:tcW w:w="1692" w:type="dxa"/>
            <w:vAlign w:val="center"/>
          </w:tcPr>
          <w:p w:rsidR="00663486" w:rsidRPr="00663486" w:rsidRDefault="00BE4316" w:rsidP="00663486">
            <w:pPr>
              <w:jc w:val="center"/>
            </w:pPr>
            <w:r>
              <w:t>95</w:t>
            </w:r>
          </w:p>
        </w:tc>
        <w:tc>
          <w:tcPr>
            <w:tcW w:w="1692" w:type="dxa"/>
            <w:vAlign w:val="center"/>
          </w:tcPr>
          <w:p w:rsidR="00663486" w:rsidRPr="00663486" w:rsidRDefault="00BE4316" w:rsidP="00663486">
            <w:pPr>
              <w:jc w:val="center"/>
            </w:pPr>
            <w:r>
              <w:t>80</w:t>
            </w:r>
          </w:p>
        </w:tc>
      </w:tr>
      <w:tr w:rsidR="00A579BB" w:rsidRPr="00A579BB" w:rsidTr="00BE4316">
        <w:trPr>
          <w:trHeight w:val="247"/>
          <w:jc w:val="center"/>
        </w:trPr>
        <w:tc>
          <w:tcPr>
            <w:tcW w:w="1692" w:type="dxa"/>
            <w:vAlign w:val="center"/>
          </w:tcPr>
          <w:p w:rsidR="00663486" w:rsidRPr="00663486" w:rsidRDefault="00BE4316" w:rsidP="00663486">
            <w:pPr>
              <w:jc w:val="center"/>
            </w:pPr>
            <w:r>
              <w:t>96</w:t>
            </w:r>
          </w:p>
        </w:tc>
        <w:tc>
          <w:tcPr>
            <w:tcW w:w="1692" w:type="dxa"/>
            <w:vAlign w:val="center"/>
          </w:tcPr>
          <w:p w:rsidR="00663486" w:rsidRPr="00663486" w:rsidRDefault="00BE4316" w:rsidP="00663486">
            <w:pPr>
              <w:jc w:val="center"/>
            </w:pPr>
            <w:r>
              <w:t>90</w:t>
            </w:r>
          </w:p>
        </w:tc>
      </w:tr>
      <w:tr w:rsidR="00A579BB" w:rsidRPr="00A579BB" w:rsidTr="00BE4316">
        <w:trPr>
          <w:trHeight w:val="276"/>
          <w:jc w:val="center"/>
        </w:trPr>
        <w:tc>
          <w:tcPr>
            <w:tcW w:w="1692" w:type="dxa"/>
            <w:vAlign w:val="center"/>
          </w:tcPr>
          <w:p w:rsidR="00663486" w:rsidRPr="00663486" w:rsidRDefault="00BE4316" w:rsidP="00663486">
            <w:pPr>
              <w:jc w:val="center"/>
            </w:pPr>
            <w:r>
              <w:t>97</w:t>
            </w:r>
          </w:p>
        </w:tc>
        <w:tc>
          <w:tcPr>
            <w:tcW w:w="1692" w:type="dxa"/>
            <w:vAlign w:val="center"/>
          </w:tcPr>
          <w:p w:rsidR="00663486" w:rsidRPr="00663486" w:rsidRDefault="00BE4316" w:rsidP="00663486">
            <w:pPr>
              <w:jc w:val="center"/>
            </w:pPr>
            <w:r>
              <w:t>100</w:t>
            </w:r>
          </w:p>
        </w:tc>
      </w:tr>
      <w:tr w:rsidR="00EA50CB" w:rsidRPr="00A579BB" w:rsidTr="00BE4316">
        <w:trPr>
          <w:trHeight w:val="276"/>
          <w:jc w:val="center"/>
        </w:trPr>
        <w:tc>
          <w:tcPr>
            <w:tcW w:w="1692" w:type="dxa"/>
            <w:vAlign w:val="center"/>
          </w:tcPr>
          <w:p w:rsidR="00EA50CB" w:rsidRDefault="00EA50CB" w:rsidP="00BE4316">
            <w:pPr>
              <w:jc w:val="center"/>
            </w:pPr>
            <w:r>
              <w:t>98</w:t>
            </w:r>
          </w:p>
        </w:tc>
        <w:tc>
          <w:tcPr>
            <w:tcW w:w="1692" w:type="dxa"/>
            <w:vAlign w:val="center"/>
          </w:tcPr>
          <w:p w:rsidR="00EA50CB" w:rsidRDefault="00EA50CB" w:rsidP="00BE4316">
            <w:pPr>
              <w:jc w:val="center"/>
            </w:pPr>
            <w:r>
              <w:t>112</w:t>
            </w:r>
          </w:p>
        </w:tc>
      </w:tr>
      <w:tr w:rsidR="00EA50CB" w:rsidRPr="00A579BB" w:rsidTr="00BE4316">
        <w:trPr>
          <w:trHeight w:val="276"/>
          <w:jc w:val="center"/>
        </w:trPr>
        <w:tc>
          <w:tcPr>
            <w:tcW w:w="1692" w:type="dxa"/>
            <w:vAlign w:val="center"/>
          </w:tcPr>
          <w:p w:rsidR="00EA50CB" w:rsidRDefault="00EA50CB" w:rsidP="00BE4316">
            <w:pPr>
              <w:jc w:val="center"/>
            </w:pPr>
            <w:r>
              <w:t>99</w:t>
            </w:r>
          </w:p>
        </w:tc>
        <w:tc>
          <w:tcPr>
            <w:tcW w:w="1692" w:type="dxa"/>
            <w:vAlign w:val="center"/>
          </w:tcPr>
          <w:p w:rsidR="00EA50CB" w:rsidRDefault="00EA50CB" w:rsidP="00BE4316">
            <w:pPr>
              <w:jc w:val="center"/>
            </w:pPr>
            <w:r>
              <w:t>145</w:t>
            </w:r>
          </w:p>
        </w:tc>
      </w:tr>
    </w:tbl>
    <w:p w:rsidR="00663486" w:rsidRDefault="00663486" w:rsidP="00663486">
      <w:pPr>
        <w:jc w:val="both"/>
      </w:pPr>
    </w:p>
    <w:p w:rsidR="00663486" w:rsidRPr="00663486" w:rsidRDefault="00663486" w:rsidP="00663486">
      <w:pPr>
        <w:jc w:val="both"/>
        <w:rPr>
          <w:lang w:val="en-GB"/>
        </w:rPr>
      </w:pPr>
      <w:r w:rsidRPr="00663486">
        <w:rPr>
          <w:b/>
          <w:lang w:val="en-GB"/>
        </w:rPr>
        <w:t>Table 2.</w:t>
      </w:r>
      <w:r w:rsidRPr="00663486">
        <w:rPr>
          <w:lang w:val="en-GB"/>
        </w:rPr>
        <w:t xml:space="preserve"> Fraction of Inspired </w:t>
      </w:r>
      <w:r w:rsidR="00FD30D8">
        <w:rPr>
          <w:lang w:val="en-GB"/>
        </w:rPr>
        <w:t>Oxygen (FiO2) for different methods of oxygen administration</w:t>
      </w:r>
    </w:p>
    <w:tbl>
      <w:tblPr>
        <w:tblStyle w:val="Tabela-Siatka"/>
        <w:tblW w:w="0" w:type="auto"/>
        <w:tblLook w:val="04A0"/>
      </w:tblPr>
      <w:tblGrid>
        <w:gridCol w:w="4602"/>
        <w:gridCol w:w="4602"/>
      </w:tblGrid>
      <w:tr w:rsidR="00FD30D8" w:rsidRPr="006C528C" w:rsidTr="00E37274">
        <w:trPr>
          <w:trHeight w:val="70"/>
        </w:trPr>
        <w:tc>
          <w:tcPr>
            <w:tcW w:w="4602" w:type="dxa"/>
            <w:vAlign w:val="center"/>
          </w:tcPr>
          <w:p w:rsidR="00663486" w:rsidRPr="00663486" w:rsidRDefault="00663486" w:rsidP="00663486">
            <w:pPr>
              <w:jc w:val="center"/>
              <w:rPr>
                <w:b/>
                <w:lang w:val="en-GB"/>
              </w:rPr>
            </w:pPr>
            <w:r w:rsidRPr="00663486">
              <w:rPr>
                <w:b/>
                <w:lang w:val="en-GB"/>
              </w:rPr>
              <w:t xml:space="preserve">Oxygen tank flow rate in </w:t>
            </w:r>
            <w:proofErr w:type="spellStart"/>
            <w:r w:rsidRPr="00663486">
              <w:rPr>
                <w:b/>
                <w:lang w:val="en-GB"/>
              </w:rPr>
              <w:t>liters</w:t>
            </w:r>
            <w:proofErr w:type="spellEnd"/>
            <w:r w:rsidRPr="00663486">
              <w:rPr>
                <w:b/>
                <w:lang w:val="en-GB"/>
              </w:rPr>
              <w:t>/min</w:t>
            </w:r>
          </w:p>
        </w:tc>
        <w:tc>
          <w:tcPr>
            <w:tcW w:w="4602" w:type="dxa"/>
            <w:vAlign w:val="center"/>
          </w:tcPr>
          <w:p w:rsidR="00663486" w:rsidRPr="00663486" w:rsidRDefault="00663486" w:rsidP="00663486">
            <w:pPr>
              <w:jc w:val="center"/>
              <w:rPr>
                <w:b/>
                <w:lang w:val="en-GB"/>
              </w:rPr>
            </w:pPr>
            <w:r w:rsidRPr="00663486">
              <w:rPr>
                <w:b/>
                <w:lang w:val="en-GB"/>
              </w:rPr>
              <w:t>FiO2. Fraction of inspired Oxygen value</w:t>
            </w:r>
          </w:p>
        </w:tc>
      </w:tr>
      <w:tr w:rsidR="00FD30D8" w:rsidRPr="00FD30D8" w:rsidTr="00E37274">
        <w:tc>
          <w:tcPr>
            <w:tcW w:w="9204" w:type="dxa"/>
            <w:gridSpan w:val="2"/>
            <w:vAlign w:val="center"/>
          </w:tcPr>
          <w:p w:rsidR="00663486" w:rsidRPr="00663486" w:rsidRDefault="00663486" w:rsidP="00663486">
            <w:pPr>
              <w:jc w:val="center"/>
              <w:rPr>
                <w:b/>
                <w:lang w:val="en-GB"/>
              </w:rPr>
            </w:pPr>
            <w:r w:rsidRPr="00663486">
              <w:rPr>
                <w:b/>
                <w:lang w:val="en-GB"/>
              </w:rPr>
              <w:t xml:space="preserve">Nasal </w:t>
            </w:r>
            <w:proofErr w:type="spellStart"/>
            <w:r w:rsidRPr="00663486">
              <w:rPr>
                <w:b/>
                <w:lang w:val="en-GB"/>
              </w:rPr>
              <w:t>Cannula</w:t>
            </w:r>
            <w:proofErr w:type="spellEnd"/>
          </w:p>
        </w:tc>
      </w:tr>
      <w:tr w:rsidR="00FD30D8" w:rsidRPr="00FD30D8" w:rsidTr="00E37274">
        <w:tc>
          <w:tcPr>
            <w:tcW w:w="4602" w:type="dxa"/>
            <w:vAlign w:val="center"/>
          </w:tcPr>
          <w:p w:rsidR="00663486" w:rsidRPr="00663486" w:rsidRDefault="00FD30D8" w:rsidP="00663486">
            <w:pPr>
              <w:jc w:val="center"/>
              <w:rPr>
                <w:lang w:val="en-GB"/>
              </w:rPr>
            </w:pPr>
            <w:r>
              <w:rPr>
                <w:lang w:val="en-GB"/>
              </w:rPr>
              <w:t>0</w:t>
            </w:r>
          </w:p>
        </w:tc>
        <w:tc>
          <w:tcPr>
            <w:tcW w:w="4602" w:type="dxa"/>
            <w:vAlign w:val="center"/>
          </w:tcPr>
          <w:p w:rsidR="00663486" w:rsidRPr="00663486" w:rsidRDefault="00FD30D8" w:rsidP="00663486">
            <w:pPr>
              <w:jc w:val="center"/>
              <w:rPr>
                <w:lang w:val="en-GB"/>
              </w:rPr>
            </w:pPr>
            <w:r>
              <w:rPr>
                <w:lang w:val="en-GB"/>
              </w:rPr>
              <w:t>0.21</w:t>
            </w:r>
          </w:p>
        </w:tc>
      </w:tr>
      <w:tr w:rsidR="00FD30D8" w:rsidRPr="00FD30D8" w:rsidTr="00E37274">
        <w:tc>
          <w:tcPr>
            <w:tcW w:w="4602" w:type="dxa"/>
            <w:vAlign w:val="center"/>
          </w:tcPr>
          <w:p w:rsidR="00663486" w:rsidRPr="00663486" w:rsidRDefault="00FD30D8" w:rsidP="00663486">
            <w:pPr>
              <w:jc w:val="center"/>
              <w:rPr>
                <w:lang w:val="en-GB"/>
              </w:rPr>
            </w:pPr>
            <w:r>
              <w:rPr>
                <w:lang w:val="en-GB"/>
              </w:rPr>
              <w:t>1</w:t>
            </w:r>
          </w:p>
        </w:tc>
        <w:tc>
          <w:tcPr>
            <w:tcW w:w="4602" w:type="dxa"/>
            <w:vAlign w:val="center"/>
          </w:tcPr>
          <w:p w:rsidR="00663486" w:rsidRPr="00663486" w:rsidRDefault="00FD30D8" w:rsidP="00663486">
            <w:pPr>
              <w:jc w:val="center"/>
              <w:rPr>
                <w:lang w:val="en-GB"/>
              </w:rPr>
            </w:pPr>
            <w:r>
              <w:rPr>
                <w:lang w:val="en-GB"/>
              </w:rPr>
              <w:t>0.24</w:t>
            </w:r>
          </w:p>
        </w:tc>
      </w:tr>
      <w:tr w:rsidR="00FD30D8" w:rsidRPr="00FD30D8" w:rsidTr="00E37274">
        <w:tc>
          <w:tcPr>
            <w:tcW w:w="4602" w:type="dxa"/>
            <w:vAlign w:val="center"/>
          </w:tcPr>
          <w:p w:rsidR="00663486" w:rsidRPr="00663486" w:rsidRDefault="00FD30D8" w:rsidP="00663486">
            <w:pPr>
              <w:jc w:val="center"/>
              <w:rPr>
                <w:lang w:val="en-GB"/>
              </w:rPr>
            </w:pPr>
            <w:r>
              <w:rPr>
                <w:lang w:val="en-GB"/>
              </w:rPr>
              <w:t>2</w:t>
            </w:r>
          </w:p>
        </w:tc>
        <w:tc>
          <w:tcPr>
            <w:tcW w:w="4602" w:type="dxa"/>
            <w:vAlign w:val="center"/>
          </w:tcPr>
          <w:p w:rsidR="00663486" w:rsidRPr="00663486" w:rsidRDefault="00FD30D8" w:rsidP="00663486">
            <w:pPr>
              <w:jc w:val="center"/>
              <w:rPr>
                <w:lang w:val="en-GB"/>
              </w:rPr>
            </w:pPr>
            <w:r>
              <w:rPr>
                <w:lang w:val="en-GB"/>
              </w:rPr>
              <w:t>0.28</w:t>
            </w:r>
          </w:p>
        </w:tc>
      </w:tr>
      <w:tr w:rsidR="00FD30D8" w:rsidRPr="00FD30D8" w:rsidTr="00E37274">
        <w:tc>
          <w:tcPr>
            <w:tcW w:w="4602" w:type="dxa"/>
            <w:vAlign w:val="center"/>
          </w:tcPr>
          <w:p w:rsidR="00663486" w:rsidRPr="00663486" w:rsidRDefault="00FD30D8" w:rsidP="00663486">
            <w:pPr>
              <w:jc w:val="center"/>
              <w:rPr>
                <w:lang w:val="en-GB"/>
              </w:rPr>
            </w:pPr>
            <w:r>
              <w:rPr>
                <w:lang w:val="en-GB"/>
              </w:rPr>
              <w:t>3</w:t>
            </w:r>
          </w:p>
        </w:tc>
        <w:tc>
          <w:tcPr>
            <w:tcW w:w="4602" w:type="dxa"/>
            <w:vAlign w:val="center"/>
          </w:tcPr>
          <w:p w:rsidR="00663486" w:rsidRPr="00663486" w:rsidRDefault="00FD30D8" w:rsidP="00663486">
            <w:pPr>
              <w:jc w:val="center"/>
              <w:rPr>
                <w:lang w:val="en-GB"/>
              </w:rPr>
            </w:pPr>
            <w:r>
              <w:rPr>
                <w:lang w:val="en-GB"/>
              </w:rPr>
              <w:t>0.32</w:t>
            </w:r>
          </w:p>
        </w:tc>
      </w:tr>
      <w:tr w:rsidR="00FD30D8" w:rsidRPr="00FD30D8" w:rsidTr="00E37274">
        <w:tc>
          <w:tcPr>
            <w:tcW w:w="4602" w:type="dxa"/>
            <w:vAlign w:val="center"/>
          </w:tcPr>
          <w:p w:rsidR="00663486" w:rsidRPr="00663486" w:rsidRDefault="00FD30D8" w:rsidP="00663486">
            <w:pPr>
              <w:jc w:val="center"/>
              <w:rPr>
                <w:lang w:val="en-GB"/>
              </w:rPr>
            </w:pPr>
            <w:r>
              <w:rPr>
                <w:lang w:val="en-GB"/>
              </w:rPr>
              <w:t>4</w:t>
            </w:r>
          </w:p>
        </w:tc>
        <w:tc>
          <w:tcPr>
            <w:tcW w:w="4602" w:type="dxa"/>
            <w:vAlign w:val="center"/>
          </w:tcPr>
          <w:p w:rsidR="00663486" w:rsidRPr="00663486" w:rsidRDefault="00FD30D8" w:rsidP="00663486">
            <w:pPr>
              <w:jc w:val="center"/>
              <w:rPr>
                <w:lang w:val="en-GB"/>
              </w:rPr>
            </w:pPr>
            <w:r>
              <w:rPr>
                <w:lang w:val="en-GB"/>
              </w:rPr>
              <w:t>0.36</w:t>
            </w:r>
          </w:p>
        </w:tc>
      </w:tr>
      <w:tr w:rsidR="00FD30D8" w:rsidRPr="00FD30D8" w:rsidTr="00E37274">
        <w:tc>
          <w:tcPr>
            <w:tcW w:w="4602" w:type="dxa"/>
            <w:vAlign w:val="center"/>
          </w:tcPr>
          <w:p w:rsidR="00663486" w:rsidRPr="00663486" w:rsidRDefault="00FD30D8" w:rsidP="00663486">
            <w:pPr>
              <w:jc w:val="center"/>
              <w:rPr>
                <w:lang w:val="en-GB"/>
              </w:rPr>
            </w:pPr>
            <w:r>
              <w:rPr>
                <w:lang w:val="en-GB"/>
              </w:rPr>
              <w:t>5</w:t>
            </w:r>
          </w:p>
        </w:tc>
        <w:tc>
          <w:tcPr>
            <w:tcW w:w="4602" w:type="dxa"/>
            <w:vAlign w:val="center"/>
          </w:tcPr>
          <w:p w:rsidR="00663486" w:rsidRPr="00663486" w:rsidRDefault="00FD30D8" w:rsidP="00663486">
            <w:pPr>
              <w:jc w:val="center"/>
              <w:rPr>
                <w:lang w:val="en-GB"/>
              </w:rPr>
            </w:pPr>
            <w:r>
              <w:rPr>
                <w:lang w:val="en-GB"/>
              </w:rPr>
              <w:t>0.40</w:t>
            </w:r>
          </w:p>
        </w:tc>
      </w:tr>
      <w:tr w:rsidR="00FD30D8" w:rsidRPr="00FD30D8" w:rsidTr="00E37274">
        <w:tc>
          <w:tcPr>
            <w:tcW w:w="4602" w:type="dxa"/>
            <w:vAlign w:val="center"/>
          </w:tcPr>
          <w:p w:rsidR="00663486" w:rsidRPr="00663486" w:rsidRDefault="00FD30D8" w:rsidP="00663486">
            <w:pPr>
              <w:jc w:val="center"/>
              <w:rPr>
                <w:lang w:val="en-GB"/>
              </w:rPr>
            </w:pPr>
            <w:r>
              <w:rPr>
                <w:lang w:val="en-GB"/>
              </w:rPr>
              <w:t>6</w:t>
            </w:r>
          </w:p>
        </w:tc>
        <w:tc>
          <w:tcPr>
            <w:tcW w:w="4602" w:type="dxa"/>
            <w:vAlign w:val="center"/>
          </w:tcPr>
          <w:p w:rsidR="00663486" w:rsidRPr="00663486" w:rsidRDefault="00FD30D8" w:rsidP="00663486">
            <w:pPr>
              <w:jc w:val="center"/>
              <w:rPr>
                <w:lang w:val="en-GB"/>
              </w:rPr>
            </w:pPr>
            <w:r>
              <w:rPr>
                <w:lang w:val="en-GB"/>
              </w:rPr>
              <w:t>0.44</w:t>
            </w:r>
          </w:p>
        </w:tc>
      </w:tr>
      <w:tr w:rsidR="00FD30D8" w:rsidRPr="00FD30D8" w:rsidTr="00E37274">
        <w:tc>
          <w:tcPr>
            <w:tcW w:w="9204" w:type="dxa"/>
            <w:gridSpan w:val="2"/>
            <w:vAlign w:val="center"/>
          </w:tcPr>
          <w:p w:rsidR="00663486" w:rsidRPr="00663486" w:rsidRDefault="00663486" w:rsidP="00663486">
            <w:pPr>
              <w:jc w:val="center"/>
              <w:rPr>
                <w:b/>
                <w:lang w:val="en-GB"/>
              </w:rPr>
            </w:pPr>
            <w:r w:rsidRPr="00663486">
              <w:rPr>
                <w:b/>
                <w:lang w:val="en-GB"/>
              </w:rPr>
              <w:t>Face mask</w:t>
            </w:r>
          </w:p>
        </w:tc>
      </w:tr>
      <w:tr w:rsidR="00FD30D8" w:rsidRPr="00FD30D8" w:rsidTr="00E37274">
        <w:tc>
          <w:tcPr>
            <w:tcW w:w="4602" w:type="dxa"/>
            <w:vAlign w:val="center"/>
          </w:tcPr>
          <w:p w:rsidR="00663486" w:rsidRDefault="00EA50CB" w:rsidP="00663486">
            <w:pPr>
              <w:jc w:val="center"/>
              <w:rPr>
                <w:rFonts w:ascii="Cambria" w:eastAsia="MS Mincho" w:hAnsi="Cambria" w:cs="Times New Roman"/>
                <w:lang w:val="en-GB"/>
              </w:rPr>
            </w:pPr>
            <w:r>
              <w:rPr>
                <w:lang w:val="en-GB"/>
              </w:rPr>
              <w:t>5</w:t>
            </w:r>
          </w:p>
        </w:tc>
        <w:tc>
          <w:tcPr>
            <w:tcW w:w="4602" w:type="dxa"/>
            <w:vAlign w:val="center"/>
          </w:tcPr>
          <w:p w:rsidR="00663486" w:rsidRDefault="00EA50CB" w:rsidP="00663486">
            <w:pPr>
              <w:jc w:val="center"/>
              <w:rPr>
                <w:rFonts w:ascii="Cambria" w:eastAsia="MS Mincho" w:hAnsi="Cambria" w:cs="Times New Roman"/>
                <w:lang w:val="en-GB"/>
              </w:rPr>
            </w:pPr>
            <w:r>
              <w:rPr>
                <w:lang w:val="en-GB"/>
              </w:rPr>
              <w:t>40</w:t>
            </w:r>
          </w:p>
        </w:tc>
      </w:tr>
      <w:tr w:rsidR="00FD30D8" w:rsidRPr="00FD30D8" w:rsidTr="00E37274">
        <w:tc>
          <w:tcPr>
            <w:tcW w:w="4602" w:type="dxa"/>
            <w:vAlign w:val="center"/>
          </w:tcPr>
          <w:p w:rsidR="00663486" w:rsidRDefault="00EA50CB" w:rsidP="00663486">
            <w:pPr>
              <w:jc w:val="center"/>
              <w:rPr>
                <w:rFonts w:ascii="Cambria" w:eastAsia="MS Mincho" w:hAnsi="Cambria" w:cs="Times New Roman"/>
                <w:lang w:val="en-GB"/>
              </w:rPr>
            </w:pPr>
            <w:r>
              <w:rPr>
                <w:lang w:val="en-GB"/>
              </w:rPr>
              <w:t>6-7</w:t>
            </w:r>
          </w:p>
        </w:tc>
        <w:tc>
          <w:tcPr>
            <w:tcW w:w="4602" w:type="dxa"/>
            <w:vAlign w:val="center"/>
          </w:tcPr>
          <w:p w:rsidR="00663486" w:rsidRDefault="00EA50CB" w:rsidP="00663486">
            <w:pPr>
              <w:jc w:val="center"/>
              <w:rPr>
                <w:rFonts w:ascii="Cambria" w:eastAsia="MS Mincho" w:hAnsi="Cambria" w:cs="Times New Roman"/>
                <w:lang w:val="en-GB"/>
              </w:rPr>
            </w:pPr>
            <w:r>
              <w:rPr>
                <w:lang w:val="en-GB"/>
              </w:rPr>
              <w:t>50</w:t>
            </w:r>
          </w:p>
        </w:tc>
      </w:tr>
      <w:tr w:rsidR="00FD30D8" w:rsidRPr="00FD30D8" w:rsidTr="00E37274">
        <w:tc>
          <w:tcPr>
            <w:tcW w:w="4602" w:type="dxa"/>
            <w:vAlign w:val="center"/>
          </w:tcPr>
          <w:p w:rsidR="00663486" w:rsidRDefault="00EA50CB" w:rsidP="00663486">
            <w:pPr>
              <w:jc w:val="center"/>
              <w:rPr>
                <w:rFonts w:ascii="Cambria" w:eastAsia="MS Mincho" w:hAnsi="Cambria" w:cs="Times New Roman"/>
                <w:lang w:val="en-GB"/>
              </w:rPr>
            </w:pPr>
            <w:r>
              <w:rPr>
                <w:lang w:val="en-GB"/>
              </w:rPr>
              <w:t>7-8</w:t>
            </w:r>
          </w:p>
        </w:tc>
        <w:tc>
          <w:tcPr>
            <w:tcW w:w="4602" w:type="dxa"/>
            <w:vAlign w:val="center"/>
          </w:tcPr>
          <w:p w:rsidR="00663486" w:rsidRDefault="00EA50CB" w:rsidP="00663486">
            <w:pPr>
              <w:jc w:val="center"/>
              <w:rPr>
                <w:rFonts w:ascii="Cambria" w:eastAsia="MS Mincho" w:hAnsi="Cambria" w:cs="Times New Roman"/>
                <w:lang w:val="en-GB"/>
              </w:rPr>
            </w:pPr>
            <w:r>
              <w:rPr>
                <w:lang w:val="en-GB"/>
              </w:rPr>
              <w:t>60</w:t>
            </w:r>
          </w:p>
        </w:tc>
      </w:tr>
      <w:tr w:rsidR="00EA50CB" w:rsidRPr="00FD30D8" w:rsidTr="00E37274">
        <w:tc>
          <w:tcPr>
            <w:tcW w:w="9204" w:type="dxa"/>
            <w:gridSpan w:val="2"/>
            <w:vAlign w:val="center"/>
          </w:tcPr>
          <w:p w:rsidR="00663486" w:rsidRPr="00663486" w:rsidRDefault="00663486" w:rsidP="00663486">
            <w:pPr>
              <w:jc w:val="center"/>
              <w:rPr>
                <w:b/>
                <w:lang w:val="en-GB"/>
              </w:rPr>
            </w:pPr>
            <w:r w:rsidRPr="00663486">
              <w:rPr>
                <w:b/>
                <w:lang w:val="en-GB"/>
              </w:rPr>
              <w:t>Face mask with reservoir</w:t>
            </w:r>
          </w:p>
        </w:tc>
      </w:tr>
      <w:tr w:rsidR="00FD30D8" w:rsidRPr="00FD30D8" w:rsidTr="00E37274">
        <w:tc>
          <w:tcPr>
            <w:tcW w:w="4602" w:type="dxa"/>
            <w:vAlign w:val="center"/>
          </w:tcPr>
          <w:p w:rsidR="00663486" w:rsidRDefault="00E37274" w:rsidP="00663486">
            <w:pPr>
              <w:jc w:val="center"/>
              <w:rPr>
                <w:rFonts w:ascii="Cambria" w:eastAsia="MS Mincho" w:hAnsi="Cambria" w:cs="Times New Roman"/>
                <w:lang w:val="en-GB"/>
              </w:rPr>
            </w:pPr>
            <w:r>
              <w:rPr>
                <w:lang w:val="en-GB"/>
              </w:rPr>
              <w:t>6</w:t>
            </w:r>
          </w:p>
        </w:tc>
        <w:tc>
          <w:tcPr>
            <w:tcW w:w="4602" w:type="dxa"/>
            <w:vAlign w:val="center"/>
          </w:tcPr>
          <w:p w:rsidR="00663486" w:rsidRDefault="00E37274" w:rsidP="00663486">
            <w:pPr>
              <w:jc w:val="center"/>
              <w:rPr>
                <w:rFonts w:ascii="Cambria" w:eastAsia="MS Mincho" w:hAnsi="Cambria" w:cs="Times New Roman"/>
                <w:lang w:val="en-GB"/>
              </w:rPr>
            </w:pPr>
            <w:r>
              <w:rPr>
                <w:lang w:val="en-GB"/>
              </w:rPr>
              <w:t>60</w:t>
            </w:r>
          </w:p>
        </w:tc>
      </w:tr>
      <w:tr w:rsidR="00FD30D8" w:rsidRPr="00FD30D8" w:rsidTr="00E37274">
        <w:tc>
          <w:tcPr>
            <w:tcW w:w="4602" w:type="dxa"/>
            <w:vAlign w:val="center"/>
          </w:tcPr>
          <w:p w:rsidR="00663486" w:rsidRDefault="00E37274" w:rsidP="00663486">
            <w:pPr>
              <w:jc w:val="center"/>
              <w:rPr>
                <w:rFonts w:ascii="Cambria" w:eastAsia="MS Mincho" w:hAnsi="Cambria" w:cs="Times New Roman"/>
                <w:lang w:val="en-GB"/>
              </w:rPr>
            </w:pPr>
            <w:r>
              <w:rPr>
                <w:lang w:val="en-GB"/>
              </w:rPr>
              <w:t>7</w:t>
            </w:r>
          </w:p>
        </w:tc>
        <w:tc>
          <w:tcPr>
            <w:tcW w:w="4602" w:type="dxa"/>
            <w:vAlign w:val="center"/>
          </w:tcPr>
          <w:p w:rsidR="00663486" w:rsidRDefault="00E37274" w:rsidP="00663486">
            <w:pPr>
              <w:jc w:val="center"/>
              <w:rPr>
                <w:rFonts w:ascii="Cambria" w:eastAsia="MS Mincho" w:hAnsi="Cambria" w:cs="Times New Roman"/>
                <w:lang w:val="en-GB"/>
              </w:rPr>
            </w:pPr>
            <w:r>
              <w:rPr>
                <w:lang w:val="en-GB"/>
              </w:rPr>
              <w:t>70</w:t>
            </w:r>
          </w:p>
        </w:tc>
      </w:tr>
      <w:tr w:rsidR="00E37274" w:rsidRPr="00FD30D8" w:rsidTr="00E37274">
        <w:tc>
          <w:tcPr>
            <w:tcW w:w="4602" w:type="dxa"/>
            <w:vAlign w:val="center"/>
          </w:tcPr>
          <w:p w:rsidR="00663486" w:rsidRDefault="00E37274" w:rsidP="00663486">
            <w:pPr>
              <w:jc w:val="center"/>
              <w:rPr>
                <w:rFonts w:ascii="Cambria" w:eastAsia="MS Mincho" w:hAnsi="Cambria" w:cs="Times New Roman"/>
                <w:lang w:val="en-GB"/>
              </w:rPr>
            </w:pPr>
            <w:r>
              <w:rPr>
                <w:lang w:val="en-GB"/>
              </w:rPr>
              <w:t>8</w:t>
            </w:r>
          </w:p>
        </w:tc>
        <w:tc>
          <w:tcPr>
            <w:tcW w:w="4602" w:type="dxa"/>
            <w:vAlign w:val="center"/>
          </w:tcPr>
          <w:p w:rsidR="00663486" w:rsidRDefault="00E37274" w:rsidP="00663486">
            <w:pPr>
              <w:jc w:val="center"/>
              <w:rPr>
                <w:rFonts w:ascii="Cambria" w:eastAsia="MS Mincho" w:hAnsi="Cambria" w:cs="Times New Roman"/>
                <w:lang w:val="en-GB"/>
              </w:rPr>
            </w:pPr>
            <w:r>
              <w:rPr>
                <w:lang w:val="en-GB"/>
              </w:rPr>
              <w:t>80</w:t>
            </w:r>
          </w:p>
        </w:tc>
      </w:tr>
      <w:tr w:rsidR="00E37274" w:rsidRPr="00FD30D8" w:rsidTr="00E37274">
        <w:tc>
          <w:tcPr>
            <w:tcW w:w="4602" w:type="dxa"/>
            <w:vAlign w:val="center"/>
          </w:tcPr>
          <w:p w:rsidR="00663486" w:rsidRDefault="00E37274" w:rsidP="00663486">
            <w:pPr>
              <w:jc w:val="center"/>
              <w:rPr>
                <w:rFonts w:ascii="Cambria" w:eastAsia="MS Mincho" w:hAnsi="Cambria" w:cs="Times New Roman"/>
                <w:lang w:val="en-GB"/>
              </w:rPr>
            </w:pPr>
            <w:r>
              <w:rPr>
                <w:lang w:val="en-GB"/>
              </w:rPr>
              <w:t>9</w:t>
            </w:r>
          </w:p>
        </w:tc>
        <w:tc>
          <w:tcPr>
            <w:tcW w:w="4602" w:type="dxa"/>
            <w:vAlign w:val="center"/>
          </w:tcPr>
          <w:p w:rsidR="00663486" w:rsidRDefault="00E37274" w:rsidP="00663486">
            <w:pPr>
              <w:jc w:val="center"/>
              <w:rPr>
                <w:rFonts w:ascii="Cambria" w:eastAsia="MS Mincho" w:hAnsi="Cambria" w:cs="Times New Roman"/>
                <w:lang w:val="en-GB"/>
              </w:rPr>
            </w:pPr>
            <w:r>
              <w:rPr>
                <w:lang w:val="en-GB"/>
              </w:rPr>
              <w:t>90</w:t>
            </w:r>
          </w:p>
        </w:tc>
      </w:tr>
      <w:tr w:rsidR="00E37274" w:rsidRPr="00FD30D8" w:rsidTr="00E37274">
        <w:tc>
          <w:tcPr>
            <w:tcW w:w="4602" w:type="dxa"/>
            <w:vAlign w:val="center"/>
          </w:tcPr>
          <w:p w:rsidR="00663486" w:rsidRDefault="00E37274" w:rsidP="00663486">
            <w:pPr>
              <w:jc w:val="center"/>
              <w:rPr>
                <w:rFonts w:ascii="Cambria" w:eastAsia="MS Mincho" w:hAnsi="Cambria" w:cs="Times New Roman"/>
                <w:lang w:val="en-GB"/>
              </w:rPr>
            </w:pPr>
            <w:r>
              <w:rPr>
                <w:lang w:val="en-GB"/>
              </w:rPr>
              <w:t>10</w:t>
            </w:r>
          </w:p>
        </w:tc>
        <w:tc>
          <w:tcPr>
            <w:tcW w:w="4602" w:type="dxa"/>
            <w:vAlign w:val="center"/>
          </w:tcPr>
          <w:p w:rsidR="00663486" w:rsidRDefault="00E37274" w:rsidP="00663486">
            <w:pPr>
              <w:jc w:val="center"/>
              <w:rPr>
                <w:rFonts w:ascii="Cambria" w:eastAsia="MS Mincho" w:hAnsi="Cambria" w:cs="Times New Roman"/>
                <w:lang w:val="en-GB"/>
              </w:rPr>
            </w:pPr>
            <w:r>
              <w:rPr>
                <w:lang w:val="en-GB"/>
              </w:rPr>
              <w:t>95</w:t>
            </w:r>
          </w:p>
        </w:tc>
      </w:tr>
    </w:tbl>
    <w:p w:rsidR="00663486" w:rsidRDefault="00663486" w:rsidP="00663486">
      <w:pPr>
        <w:jc w:val="center"/>
        <w:rPr>
          <w:lang w:val="en-GB"/>
        </w:rPr>
      </w:pPr>
    </w:p>
    <w:p w:rsidR="00E37274" w:rsidRPr="00FD30D8" w:rsidRDefault="00E37274" w:rsidP="00E37274">
      <w:pPr>
        <w:jc w:val="both"/>
        <w:rPr>
          <w:lang w:val="en-GB"/>
        </w:rPr>
      </w:pPr>
    </w:p>
    <w:p w:rsidR="00663486" w:rsidRDefault="00663486" w:rsidP="00663486">
      <w:pPr>
        <w:jc w:val="both"/>
        <w:rPr>
          <w:lang w:val="en-GB"/>
        </w:rPr>
      </w:pPr>
    </w:p>
    <w:p w:rsidR="00DD7456" w:rsidRPr="00573C3D" w:rsidRDefault="00604672" w:rsidP="00CF2405">
      <w:pPr>
        <w:pStyle w:val="Akapitzlist"/>
        <w:numPr>
          <w:ilvl w:val="0"/>
          <w:numId w:val="12"/>
        </w:numPr>
        <w:jc w:val="both"/>
        <w:rPr>
          <w:lang w:val="en-GB"/>
        </w:rPr>
      </w:pPr>
      <w:r w:rsidRPr="00604672">
        <w:rPr>
          <w:color w:val="000000"/>
          <w:lang w:val="en-GB"/>
        </w:rPr>
        <w:t>Willingness and ability to comply with the protocol.</w:t>
      </w:r>
    </w:p>
    <w:p w:rsidR="00D927C2" w:rsidRPr="00573C3D" w:rsidRDefault="00E952CA" w:rsidP="00D927C2">
      <w:pPr>
        <w:pStyle w:val="Akapitzlist"/>
        <w:numPr>
          <w:ilvl w:val="0"/>
          <w:numId w:val="12"/>
        </w:numPr>
        <w:jc w:val="both"/>
        <w:rPr>
          <w:lang w:val="en-GB"/>
        </w:rPr>
      </w:pPr>
      <w:r w:rsidRPr="00573C3D">
        <w:rPr>
          <w:lang w:val="en-GB"/>
        </w:rPr>
        <w:lastRenderedPageBreak/>
        <w:t>Contraception and fertility</w:t>
      </w:r>
      <w:r w:rsidR="00D927C2" w:rsidRPr="00573C3D">
        <w:rPr>
          <w:lang w:val="en-GB"/>
        </w:rPr>
        <w:t>:</w:t>
      </w:r>
    </w:p>
    <w:p w:rsidR="00E952CA" w:rsidRPr="00573C3D" w:rsidRDefault="00604672" w:rsidP="00D927C2">
      <w:pPr>
        <w:pStyle w:val="m-399672602724054557default"/>
        <w:numPr>
          <w:ilvl w:val="0"/>
          <w:numId w:val="16"/>
        </w:numPr>
        <w:shd w:val="clear" w:color="auto" w:fill="FFFFFF"/>
        <w:spacing w:before="0" w:beforeAutospacing="0" w:after="37" w:afterAutospacing="0"/>
        <w:rPr>
          <w:rFonts w:ascii="Cambria" w:hAnsi="Cambria"/>
          <w:lang w:val="en-GB"/>
        </w:rPr>
      </w:pPr>
      <w:r w:rsidRPr="00604672">
        <w:rPr>
          <w:rFonts w:ascii="Cambria" w:hAnsi="Cambria"/>
          <w:b/>
          <w:bCs/>
          <w:lang w:val="en-GB"/>
        </w:rPr>
        <w:t>Female patients:</w:t>
      </w:r>
    </w:p>
    <w:p w:rsidR="00E952CA" w:rsidRPr="00573C3D" w:rsidRDefault="00604672" w:rsidP="00CF2405">
      <w:pPr>
        <w:pStyle w:val="m-399672602724054557default"/>
        <w:numPr>
          <w:ilvl w:val="1"/>
          <w:numId w:val="12"/>
        </w:numPr>
        <w:shd w:val="clear" w:color="auto" w:fill="FFFFFF"/>
        <w:spacing w:before="0" w:beforeAutospacing="0" w:after="37" w:afterAutospacing="0"/>
        <w:jc w:val="both"/>
        <w:rPr>
          <w:rFonts w:ascii="Cambria" w:hAnsi="Cambria"/>
          <w:color w:val="000000"/>
          <w:lang w:val="en-GB"/>
        </w:rPr>
      </w:pPr>
      <w:r w:rsidRPr="00604672">
        <w:rPr>
          <w:rFonts w:ascii="Cambria" w:hAnsi="Cambria"/>
          <w:color w:val="000000"/>
          <w:lang w:val="en-GB"/>
        </w:rPr>
        <w:t>must be of non-child-bearing potential i.e. surgically sterilized (hysterectomy, bilateral salpingectomy, bilateral oophorectomy at least 6 weeks before screening/enrolment) or post-menopausal (where postmenopausal is defined as no menses for 12 months without an alternative medical cause), or</w:t>
      </w:r>
    </w:p>
    <w:p w:rsidR="00E952CA" w:rsidRPr="00573C3D" w:rsidRDefault="00604672" w:rsidP="00CF2405">
      <w:pPr>
        <w:pStyle w:val="m-399672602724054557default"/>
        <w:numPr>
          <w:ilvl w:val="1"/>
          <w:numId w:val="12"/>
        </w:numPr>
        <w:shd w:val="clear" w:color="auto" w:fill="FFFFFF"/>
        <w:spacing w:before="0" w:beforeAutospacing="0" w:after="0" w:afterAutospacing="0"/>
        <w:jc w:val="both"/>
        <w:rPr>
          <w:rFonts w:ascii="Cambria" w:hAnsi="Cambria"/>
          <w:color w:val="000000"/>
          <w:lang w:val="en-GB"/>
        </w:rPr>
      </w:pPr>
      <w:r w:rsidRPr="00604672">
        <w:rPr>
          <w:rFonts w:ascii="Cambria" w:hAnsi="Cambria"/>
          <w:color w:val="000000"/>
          <w:lang w:val="en-GB"/>
        </w:rPr>
        <w:t>if of child-bearing potential, must have a negative pregnancy test before the first IMP intake (blood / urine pregnancy test). They must agree not to attempt to become pregnant, must not donate ova, and must use a highly effective contraceptive method (see below) together with a barrier method during the clinical trial.</w:t>
      </w:r>
    </w:p>
    <w:p w:rsidR="00E952CA" w:rsidRPr="00573C3D" w:rsidRDefault="00E952CA" w:rsidP="00CF2405">
      <w:pPr>
        <w:pStyle w:val="m-399672602724054557default"/>
        <w:shd w:val="clear" w:color="auto" w:fill="FFFFFF"/>
        <w:spacing w:before="0" w:beforeAutospacing="0" w:after="37" w:afterAutospacing="0"/>
        <w:jc w:val="both"/>
        <w:rPr>
          <w:rFonts w:ascii="Cambria" w:hAnsi="Cambria"/>
          <w:color w:val="000000"/>
          <w:lang w:val="en-GB"/>
        </w:rPr>
      </w:pPr>
    </w:p>
    <w:p w:rsidR="00E952CA" w:rsidRPr="00573C3D" w:rsidRDefault="00604672" w:rsidP="00CF2405">
      <w:pPr>
        <w:pStyle w:val="m-399672602724054557default"/>
        <w:numPr>
          <w:ilvl w:val="0"/>
          <w:numId w:val="16"/>
        </w:numPr>
        <w:shd w:val="clear" w:color="auto" w:fill="FFFFFF"/>
        <w:spacing w:before="0" w:beforeAutospacing="0" w:after="37" w:afterAutospacing="0"/>
        <w:jc w:val="both"/>
        <w:rPr>
          <w:rFonts w:ascii="Cambria" w:hAnsi="Cambria"/>
          <w:color w:val="000000"/>
          <w:lang w:val="en-GB"/>
        </w:rPr>
      </w:pPr>
      <w:r w:rsidRPr="00604672">
        <w:rPr>
          <w:rFonts w:ascii="Cambria" w:hAnsi="Cambria"/>
          <w:b/>
          <w:bCs/>
          <w:lang w:val="en-GB"/>
        </w:rPr>
        <w:t>Male patients</w:t>
      </w:r>
      <w:r w:rsidRPr="00604672">
        <w:rPr>
          <w:rFonts w:ascii="Cambria" w:hAnsi="Cambria"/>
          <w:color w:val="FF0000"/>
          <w:lang w:val="en-GB"/>
        </w:rPr>
        <w:t> </w:t>
      </w:r>
      <w:r w:rsidRPr="00604672">
        <w:rPr>
          <w:rFonts w:ascii="Cambria" w:hAnsi="Cambria"/>
          <w:color w:val="000000"/>
          <w:lang w:val="en-GB"/>
        </w:rPr>
        <w:t>must agree not to father a child or to donate sperm starting at Screening, during the clinical trial. Male patients must also</w:t>
      </w:r>
    </w:p>
    <w:p w:rsidR="00E952CA" w:rsidRPr="00573C3D" w:rsidRDefault="00604672" w:rsidP="00CF2405">
      <w:pPr>
        <w:pStyle w:val="m-399672602724054557default"/>
        <w:numPr>
          <w:ilvl w:val="1"/>
          <w:numId w:val="12"/>
        </w:numPr>
        <w:shd w:val="clear" w:color="auto" w:fill="FFFFFF"/>
        <w:spacing w:before="0" w:beforeAutospacing="0" w:after="0" w:afterAutospacing="0"/>
        <w:jc w:val="both"/>
        <w:rPr>
          <w:rFonts w:ascii="Cambria" w:hAnsi="Cambria"/>
          <w:color w:val="000000"/>
          <w:lang w:val="en-GB"/>
        </w:rPr>
      </w:pPr>
      <w:r w:rsidRPr="00604672">
        <w:rPr>
          <w:rFonts w:ascii="Cambria" w:hAnsi="Cambria"/>
          <w:color w:val="000000"/>
          <w:lang w:val="en-GB"/>
        </w:rPr>
        <w:t>abstain from sexual intercourse with a female partner (acceptable only if it is the patient’s usual form of birth control/lifestyle choice), or</w:t>
      </w:r>
    </w:p>
    <w:p w:rsidR="00E952CA" w:rsidRPr="00573C3D" w:rsidRDefault="00604672" w:rsidP="00CF2405">
      <w:pPr>
        <w:pStyle w:val="m-399672602724054557default"/>
        <w:numPr>
          <w:ilvl w:val="1"/>
          <w:numId w:val="12"/>
        </w:numPr>
        <w:shd w:val="clear" w:color="auto" w:fill="FFFFFF"/>
        <w:spacing w:before="0" w:beforeAutospacing="0" w:after="37" w:afterAutospacing="0"/>
        <w:jc w:val="both"/>
        <w:rPr>
          <w:rFonts w:ascii="Cambria" w:hAnsi="Cambria"/>
          <w:color w:val="000000"/>
          <w:lang w:val="en-GB"/>
        </w:rPr>
      </w:pPr>
      <w:r w:rsidRPr="00604672">
        <w:rPr>
          <w:rFonts w:ascii="Cambria" w:hAnsi="Cambria"/>
          <w:color w:val="000000"/>
          <w:lang w:val="en-GB"/>
        </w:rPr>
        <w:t>use adequate barrier contraception during treatment with the IMP, and</w:t>
      </w:r>
    </w:p>
    <w:p w:rsidR="00E952CA" w:rsidRPr="00573C3D" w:rsidRDefault="00604672" w:rsidP="00CF2405">
      <w:pPr>
        <w:pStyle w:val="m-399672602724054557default"/>
        <w:numPr>
          <w:ilvl w:val="1"/>
          <w:numId w:val="12"/>
        </w:numPr>
        <w:shd w:val="clear" w:color="auto" w:fill="FFFFFF"/>
        <w:spacing w:before="0" w:beforeAutospacing="0" w:after="37" w:afterAutospacing="0"/>
        <w:jc w:val="both"/>
        <w:rPr>
          <w:rFonts w:ascii="Cambria" w:hAnsi="Cambria"/>
          <w:color w:val="000000"/>
          <w:lang w:val="en-GB"/>
        </w:rPr>
      </w:pPr>
      <w:r w:rsidRPr="00604672">
        <w:rPr>
          <w:rFonts w:ascii="Cambria" w:hAnsi="Cambria"/>
          <w:color w:val="000000"/>
          <w:lang w:val="en-GB"/>
        </w:rPr>
        <w:t>if they have a female partner of childbearing potential, the partner should use a highly effective contraceptive method.</w:t>
      </w:r>
    </w:p>
    <w:p w:rsidR="00D927C2" w:rsidRPr="00573C3D" w:rsidRDefault="00604672" w:rsidP="00CF2405">
      <w:pPr>
        <w:pStyle w:val="m-399672602724054557default"/>
        <w:numPr>
          <w:ilvl w:val="1"/>
          <w:numId w:val="12"/>
        </w:numPr>
        <w:shd w:val="clear" w:color="auto" w:fill="FFFFFF"/>
        <w:spacing w:before="0" w:beforeAutospacing="0" w:after="37" w:afterAutospacing="0"/>
        <w:jc w:val="both"/>
        <w:rPr>
          <w:rFonts w:ascii="Cambria" w:hAnsi="Cambria"/>
          <w:color w:val="000000"/>
          <w:lang w:val="en-GB"/>
        </w:rPr>
      </w:pPr>
      <w:r w:rsidRPr="00604672">
        <w:rPr>
          <w:rFonts w:ascii="Cambria" w:hAnsi="Cambria" w:cs="Courier New"/>
          <w:color w:val="000000"/>
          <w:lang w:val="en-GB"/>
        </w:rPr>
        <w:t>o </w:t>
      </w:r>
      <w:r w:rsidRPr="00604672">
        <w:rPr>
          <w:rFonts w:ascii="Cambria" w:hAnsi="Cambria"/>
          <w:color w:val="000000"/>
          <w:lang w:val="en-GB"/>
        </w:rPr>
        <w:t xml:space="preserve">if they have a pregnant partner, they must use condoms while taking the IMP to avoid exposure of the </w:t>
      </w:r>
      <w:proofErr w:type="spellStart"/>
      <w:r w:rsidRPr="00604672">
        <w:rPr>
          <w:rFonts w:ascii="Cambria" w:hAnsi="Cambria"/>
          <w:color w:val="000000"/>
          <w:lang w:val="en-GB"/>
        </w:rPr>
        <w:t>fetus</w:t>
      </w:r>
      <w:proofErr w:type="spellEnd"/>
      <w:r w:rsidRPr="00604672">
        <w:rPr>
          <w:rFonts w:ascii="Cambria" w:hAnsi="Cambria"/>
          <w:color w:val="000000"/>
          <w:lang w:val="en-GB"/>
        </w:rPr>
        <w:t xml:space="preserve"> to the IMP</w:t>
      </w:r>
    </w:p>
    <w:p w:rsidR="00D927C2" w:rsidRPr="00573C3D" w:rsidRDefault="00D927C2" w:rsidP="00CF2405">
      <w:pPr>
        <w:pStyle w:val="m-399672602724054557default"/>
        <w:shd w:val="clear" w:color="auto" w:fill="FFFFFF"/>
        <w:spacing w:before="0" w:beforeAutospacing="0" w:after="37" w:afterAutospacing="0"/>
        <w:ind w:left="1789"/>
        <w:jc w:val="both"/>
        <w:rPr>
          <w:rFonts w:ascii="Cambria" w:hAnsi="Cambria"/>
          <w:color w:val="000000"/>
          <w:lang w:val="en-GB"/>
        </w:rPr>
      </w:pPr>
    </w:p>
    <w:p w:rsidR="00D927C2" w:rsidRPr="00573C3D" w:rsidRDefault="00604672" w:rsidP="00CF2405">
      <w:pPr>
        <w:pStyle w:val="m-399672602724054557default"/>
        <w:shd w:val="clear" w:color="auto" w:fill="FFFFFF"/>
        <w:spacing w:before="0" w:beforeAutospacing="0" w:after="0" w:afterAutospacing="0"/>
        <w:ind w:left="1276"/>
        <w:jc w:val="both"/>
        <w:rPr>
          <w:rFonts w:ascii="Cambria" w:hAnsi="Cambria"/>
          <w:b/>
          <w:color w:val="000000"/>
          <w:lang w:val="en-GB"/>
        </w:rPr>
      </w:pPr>
      <w:r w:rsidRPr="00604672">
        <w:rPr>
          <w:rFonts w:ascii="Cambria" w:hAnsi="Cambria"/>
          <w:b/>
          <w:color w:val="000000"/>
          <w:lang w:val="en-GB"/>
        </w:rPr>
        <w:t>Highly effective methods of contraception meaning</w:t>
      </w:r>
      <w:r w:rsidR="00F33391">
        <w:rPr>
          <w:rFonts w:ascii="Cambria" w:hAnsi="Cambria"/>
          <w:b/>
          <w:color w:val="000000"/>
          <w:lang w:val="en-GB"/>
        </w:rPr>
        <w:t>.</w:t>
      </w:r>
    </w:p>
    <w:p w:rsidR="00D927C2" w:rsidRPr="00573C3D" w:rsidRDefault="00604672" w:rsidP="00CF2405">
      <w:pPr>
        <w:pStyle w:val="m-399672602724054557default"/>
        <w:shd w:val="clear" w:color="auto" w:fill="FFFFFF"/>
        <w:spacing w:before="0" w:beforeAutospacing="0" w:after="0" w:afterAutospacing="0"/>
        <w:ind w:left="1276"/>
        <w:jc w:val="both"/>
        <w:rPr>
          <w:rFonts w:ascii="Cambria" w:hAnsi="Cambria"/>
          <w:color w:val="000000"/>
          <w:lang w:val="en-GB"/>
        </w:rPr>
      </w:pPr>
      <w:r w:rsidRPr="00604672">
        <w:rPr>
          <w:rFonts w:ascii="Cambria" w:hAnsi="Cambria"/>
          <w:color w:val="000000"/>
          <w:lang w:val="en-GB"/>
        </w:rPr>
        <w:t>Highly effective forms of birth control are those with a failure rate less than 1% per year and include:</w:t>
      </w:r>
    </w:p>
    <w:p w:rsidR="00D927C2" w:rsidRPr="00573C3D" w:rsidRDefault="00604672" w:rsidP="00CF2405">
      <w:pPr>
        <w:pStyle w:val="m-399672602724054557default"/>
        <w:shd w:val="clear" w:color="auto" w:fill="FFFFFF"/>
        <w:spacing w:before="0" w:beforeAutospacing="0" w:after="57" w:afterAutospacing="0"/>
        <w:ind w:left="1276"/>
        <w:jc w:val="both"/>
        <w:rPr>
          <w:rFonts w:ascii="Cambria" w:hAnsi="Cambria"/>
          <w:color w:val="000000"/>
          <w:lang w:val="en-GB"/>
        </w:rPr>
      </w:pPr>
      <w:r w:rsidRPr="00604672">
        <w:rPr>
          <w:rFonts w:ascii="Cambria" w:hAnsi="Cambria"/>
          <w:color w:val="000000"/>
          <w:lang w:val="en-GB"/>
        </w:rPr>
        <w:t xml:space="preserve">− oral, intravaginal, or </w:t>
      </w:r>
      <w:proofErr w:type="spellStart"/>
      <w:r w:rsidRPr="00604672">
        <w:rPr>
          <w:rFonts w:ascii="Cambria" w:hAnsi="Cambria"/>
          <w:color w:val="000000"/>
          <w:lang w:val="en-GB"/>
        </w:rPr>
        <w:t>transdermal</w:t>
      </w:r>
      <w:proofErr w:type="spellEnd"/>
      <w:r w:rsidRPr="00604672">
        <w:rPr>
          <w:rFonts w:ascii="Cambria" w:hAnsi="Cambria"/>
          <w:color w:val="000000"/>
          <w:lang w:val="en-GB"/>
        </w:rPr>
        <w:t xml:space="preserve"> combined (</w:t>
      </w:r>
      <w:proofErr w:type="spellStart"/>
      <w:r w:rsidRPr="00604672">
        <w:rPr>
          <w:rFonts w:ascii="Cambria" w:hAnsi="Cambria"/>
          <w:color w:val="000000"/>
          <w:lang w:val="en-GB"/>
        </w:rPr>
        <w:t>estrogen</w:t>
      </w:r>
      <w:proofErr w:type="spellEnd"/>
      <w:r w:rsidRPr="00604672">
        <w:rPr>
          <w:rFonts w:ascii="Cambria" w:hAnsi="Cambria"/>
          <w:color w:val="000000"/>
          <w:lang w:val="en-GB"/>
        </w:rPr>
        <w:t xml:space="preserve"> and </w:t>
      </w:r>
      <w:proofErr w:type="spellStart"/>
      <w:r w:rsidRPr="00604672">
        <w:rPr>
          <w:rFonts w:ascii="Cambria" w:hAnsi="Cambria"/>
          <w:color w:val="000000"/>
          <w:lang w:val="en-GB"/>
        </w:rPr>
        <w:t>progestogen</w:t>
      </w:r>
      <w:proofErr w:type="spellEnd"/>
      <w:r w:rsidRPr="00604672">
        <w:rPr>
          <w:rFonts w:ascii="Cambria" w:hAnsi="Cambria"/>
          <w:color w:val="000000"/>
          <w:lang w:val="en-GB"/>
        </w:rPr>
        <w:t xml:space="preserve"> containing) hormonal contraceptives associated with inhibition of ovulation</w:t>
      </w:r>
    </w:p>
    <w:p w:rsidR="00D927C2" w:rsidRPr="00573C3D" w:rsidRDefault="00604672" w:rsidP="00CF2405">
      <w:pPr>
        <w:pStyle w:val="m-399672602724054557default"/>
        <w:shd w:val="clear" w:color="auto" w:fill="FFFFFF"/>
        <w:spacing w:before="0" w:beforeAutospacing="0" w:after="57" w:afterAutospacing="0"/>
        <w:ind w:left="1276"/>
        <w:jc w:val="both"/>
        <w:rPr>
          <w:rFonts w:ascii="Cambria" w:hAnsi="Cambria"/>
          <w:color w:val="000000"/>
          <w:lang w:val="en-GB"/>
        </w:rPr>
      </w:pPr>
      <w:r w:rsidRPr="00604672">
        <w:rPr>
          <w:rFonts w:ascii="Cambria" w:hAnsi="Cambria"/>
          <w:color w:val="000000"/>
          <w:lang w:val="en-GB"/>
        </w:rPr>
        <w:t>− oral, injectable, or implantable progestogen-only hormonal contraceptives associated with inhibition of ovulation</w:t>
      </w:r>
    </w:p>
    <w:p w:rsidR="00D927C2" w:rsidRPr="00573C3D" w:rsidRDefault="00604672" w:rsidP="00CF2405">
      <w:pPr>
        <w:pStyle w:val="m-399672602724054557default"/>
        <w:shd w:val="clear" w:color="auto" w:fill="FFFFFF"/>
        <w:spacing w:before="0" w:beforeAutospacing="0" w:after="57" w:afterAutospacing="0"/>
        <w:ind w:left="1276"/>
        <w:jc w:val="both"/>
        <w:rPr>
          <w:rFonts w:ascii="Cambria" w:hAnsi="Cambria"/>
          <w:color w:val="000000"/>
          <w:lang w:val="en-GB"/>
        </w:rPr>
      </w:pPr>
      <w:r w:rsidRPr="00604672">
        <w:rPr>
          <w:rFonts w:ascii="Cambria" w:hAnsi="Cambria"/>
          <w:color w:val="000000"/>
          <w:lang w:val="en-GB"/>
        </w:rPr>
        <w:t>− intrauterine device or intrauterine hormone-releasing system</w:t>
      </w:r>
    </w:p>
    <w:p w:rsidR="00D927C2" w:rsidRPr="00573C3D" w:rsidRDefault="00604672" w:rsidP="00CF2405">
      <w:pPr>
        <w:pStyle w:val="m-399672602724054557default"/>
        <w:shd w:val="clear" w:color="auto" w:fill="FFFFFF"/>
        <w:spacing w:before="0" w:beforeAutospacing="0" w:after="57" w:afterAutospacing="0"/>
        <w:ind w:left="1276"/>
        <w:jc w:val="both"/>
        <w:rPr>
          <w:rFonts w:ascii="Cambria" w:hAnsi="Cambria"/>
          <w:color w:val="000000"/>
          <w:lang w:val="en-GB"/>
        </w:rPr>
      </w:pPr>
      <w:r w:rsidRPr="00604672">
        <w:rPr>
          <w:rFonts w:ascii="Cambria" w:hAnsi="Cambria"/>
          <w:color w:val="000000"/>
          <w:lang w:val="en-GB"/>
        </w:rPr>
        <w:t>− bilateral tubal occlusion</w:t>
      </w:r>
    </w:p>
    <w:p w:rsidR="00D927C2" w:rsidRPr="00573C3D" w:rsidRDefault="00604672" w:rsidP="00CF2405">
      <w:pPr>
        <w:pStyle w:val="m-399672602724054557default"/>
        <w:shd w:val="clear" w:color="auto" w:fill="FFFFFF"/>
        <w:spacing w:before="0" w:beforeAutospacing="0" w:after="57" w:afterAutospacing="0"/>
        <w:ind w:left="1276"/>
        <w:jc w:val="both"/>
        <w:rPr>
          <w:rFonts w:ascii="Cambria" w:hAnsi="Cambria"/>
          <w:color w:val="000000"/>
          <w:lang w:val="en-GB"/>
        </w:rPr>
      </w:pPr>
      <w:r w:rsidRPr="00604672">
        <w:rPr>
          <w:rFonts w:ascii="Cambria" w:hAnsi="Cambria"/>
          <w:color w:val="000000"/>
          <w:lang w:val="en-GB"/>
        </w:rPr>
        <w:t>− vasectomized partner (i.e. the patient’s male partner underwent effective surgical sterilization before the female patient entered the clinical trial and is the sole sexual partner of the female patient during the clinical trial)</w:t>
      </w:r>
    </w:p>
    <w:p w:rsidR="00D927C2" w:rsidRPr="00573C3D" w:rsidRDefault="00604672" w:rsidP="00CF2405">
      <w:pPr>
        <w:pStyle w:val="m-399672602724054557default"/>
        <w:shd w:val="clear" w:color="auto" w:fill="FFFFFF"/>
        <w:spacing w:before="0" w:beforeAutospacing="0" w:after="0" w:afterAutospacing="0"/>
        <w:ind w:left="1276"/>
        <w:jc w:val="both"/>
        <w:rPr>
          <w:rFonts w:ascii="Cambria" w:hAnsi="Cambria"/>
          <w:color w:val="000000"/>
          <w:lang w:val="en-GB"/>
        </w:rPr>
      </w:pPr>
      <w:r w:rsidRPr="00604672">
        <w:rPr>
          <w:rFonts w:ascii="Cambria" w:hAnsi="Cambria"/>
          <w:color w:val="000000"/>
          <w:lang w:val="en-GB"/>
        </w:rPr>
        <w:t xml:space="preserve">− sexual abstinence (acceptable only if it is the patient’s usual form of birth control/lifestyle choice; periodic abstinence [e.g. calendar, ovulation, </w:t>
      </w:r>
      <w:proofErr w:type="spellStart"/>
      <w:r w:rsidRPr="00604672">
        <w:rPr>
          <w:rFonts w:ascii="Cambria" w:hAnsi="Cambria"/>
          <w:color w:val="000000"/>
          <w:lang w:val="en-GB"/>
        </w:rPr>
        <w:t>symptothermal</w:t>
      </w:r>
      <w:proofErr w:type="spellEnd"/>
      <w:r w:rsidRPr="00604672">
        <w:rPr>
          <w:rFonts w:ascii="Cambria" w:hAnsi="Cambria"/>
          <w:color w:val="000000"/>
          <w:lang w:val="en-GB"/>
        </w:rPr>
        <w:t xml:space="preserve">, </w:t>
      </w:r>
      <w:proofErr w:type="spellStart"/>
      <w:r w:rsidRPr="00604672">
        <w:rPr>
          <w:rFonts w:ascii="Cambria" w:hAnsi="Cambria"/>
          <w:color w:val="000000"/>
          <w:lang w:val="en-GB"/>
        </w:rPr>
        <w:t>postovulation</w:t>
      </w:r>
      <w:proofErr w:type="spellEnd"/>
      <w:r w:rsidRPr="00604672">
        <w:rPr>
          <w:rFonts w:ascii="Cambria" w:hAnsi="Cambria"/>
          <w:color w:val="000000"/>
          <w:lang w:val="en-GB"/>
        </w:rPr>
        <w:t xml:space="preserve"> methods] and withdrawal are no acceptable methods of contraception)</w:t>
      </w:r>
    </w:p>
    <w:p w:rsidR="00D927C2" w:rsidRPr="00573C3D" w:rsidRDefault="00D927C2" w:rsidP="00CF2405">
      <w:pPr>
        <w:pStyle w:val="m-399672602724054557default"/>
        <w:shd w:val="clear" w:color="auto" w:fill="FFFFFF"/>
        <w:spacing w:before="0" w:beforeAutospacing="0" w:after="0" w:afterAutospacing="0"/>
        <w:ind w:left="1276"/>
        <w:jc w:val="both"/>
        <w:rPr>
          <w:rFonts w:ascii="Cambria" w:hAnsi="Cambria"/>
          <w:color w:val="000000"/>
          <w:lang w:val="en-GB"/>
        </w:rPr>
      </w:pPr>
    </w:p>
    <w:p w:rsidR="00D927C2" w:rsidRPr="00573C3D" w:rsidRDefault="00604672" w:rsidP="00CF2405">
      <w:pPr>
        <w:pStyle w:val="m-399672602724054557default"/>
        <w:shd w:val="clear" w:color="auto" w:fill="FFFFFF"/>
        <w:spacing w:before="0" w:beforeAutospacing="0" w:after="0" w:afterAutospacing="0"/>
        <w:ind w:left="1276"/>
        <w:jc w:val="both"/>
        <w:rPr>
          <w:rFonts w:ascii="Cambria" w:hAnsi="Cambria"/>
          <w:b/>
          <w:color w:val="000000"/>
          <w:lang w:val="en-GB"/>
        </w:rPr>
      </w:pPr>
      <w:r w:rsidRPr="00604672">
        <w:rPr>
          <w:rFonts w:ascii="Cambria" w:hAnsi="Cambria"/>
          <w:b/>
          <w:color w:val="000000"/>
          <w:lang w:val="en-GB"/>
        </w:rPr>
        <w:t>Barrier methods of contraception include:</w:t>
      </w:r>
    </w:p>
    <w:p w:rsidR="00D927C2" w:rsidRPr="00573C3D" w:rsidRDefault="00604672" w:rsidP="00CF2405">
      <w:pPr>
        <w:pStyle w:val="m-399672602724054557default"/>
        <w:shd w:val="clear" w:color="auto" w:fill="FFFFFF"/>
        <w:spacing w:before="0" w:beforeAutospacing="0" w:after="57" w:afterAutospacing="0"/>
        <w:ind w:left="1276"/>
        <w:jc w:val="both"/>
        <w:rPr>
          <w:rFonts w:ascii="Cambria" w:hAnsi="Cambria"/>
          <w:color w:val="000000"/>
          <w:lang w:val="en-GB"/>
        </w:rPr>
      </w:pPr>
      <w:r w:rsidRPr="00604672">
        <w:rPr>
          <w:rFonts w:ascii="Cambria" w:hAnsi="Cambria"/>
          <w:color w:val="000000"/>
          <w:lang w:val="en-GB"/>
        </w:rPr>
        <w:t>− Condom (without spermicidal foam/gel/film/cream/suppository or fat- or oil-containing lubricants)</w:t>
      </w:r>
    </w:p>
    <w:p w:rsidR="00D927C2" w:rsidRDefault="00604672" w:rsidP="00CF2405">
      <w:pPr>
        <w:pStyle w:val="m-399672602724054557default"/>
        <w:shd w:val="clear" w:color="auto" w:fill="FFFFFF"/>
        <w:spacing w:before="0" w:beforeAutospacing="0" w:after="0" w:afterAutospacing="0"/>
        <w:ind w:left="1276"/>
        <w:jc w:val="both"/>
        <w:rPr>
          <w:rFonts w:ascii="Cambria" w:hAnsi="Cambria"/>
          <w:color w:val="000000"/>
          <w:lang w:val="en-GB"/>
        </w:rPr>
      </w:pPr>
      <w:r w:rsidRPr="00604672">
        <w:rPr>
          <w:rFonts w:ascii="Cambria" w:hAnsi="Cambria"/>
          <w:color w:val="000000"/>
          <w:lang w:val="en-GB"/>
        </w:rPr>
        <w:t>− Occlusive cap (diaphragm or cervical/vault caps) with spermicidal gel/film/cream/suppository</w:t>
      </w:r>
      <w:r w:rsidR="00F33391">
        <w:rPr>
          <w:rFonts w:ascii="Cambria" w:hAnsi="Cambria"/>
          <w:color w:val="000000"/>
          <w:lang w:val="en-GB"/>
        </w:rPr>
        <w:t>.</w:t>
      </w:r>
    </w:p>
    <w:p w:rsidR="00F33391" w:rsidRDefault="00F33391" w:rsidP="00DD7456">
      <w:pPr>
        <w:pStyle w:val="m-399672602724054557default"/>
        <w:shd w:val="clear" w:color="auto" w:fill="FFFFFF"/>
        <w:spacing w:before="0" w:beforeAutospacing="0" w:after="0" w:afterAutospacing="0"/>
        <w:ind w:left="1276"/>
        <w:rPr>
          <w:rFonts w:ascii="Cambria" w:hAnsi="Cambria"/>
          <w:color w:val="000000"/>
          <w:lang w:val="en-GB"/>
        </w:rPr>
      </w:pPr>
    </w:p>
    <w:p w:rsidR="00DC5FBB" w:rsidRDefault="00DC5FBB" w:rsidP="00D927C2">
      <w:pPr>
        <w:pStyle w:val="Default"/>
        <w:rPr>
          <w:rFonts w:ascii="Cambria" w:hAnsi="Cambria"/>
          <w:lang w:val="en-GB"/>
        </w:rPr>
      </w:pPr>
    </w:p>
    <w:p w:rsidR="00D927C2" w:rsidRPr="00DC5FBB" w:rsidRDefault="00D927C2" w:rsidP="00DC5FBB">
      <w:pPr>
        <w:pStyle w:val="Nagwek2"/>
        <w:rPr>
          <w:rFonts w:ascii="Cambria" w:hAnsi="Cambria"/>
          <w:b/>
          <w:color w:val="auto"/>
          <w:sz w:val="24"/>
          <w:szCs w:val="24"/>
          <w:lang w:val="en-GB"/>
        </w:rPr>
      </w:pPr>
      <w:bookmarkStart w:id="21" w:name="_Toc86608102"/>
      <w:r w:rsidRPr="00DC5FBB">
        <w:rPr>
          <w:rFonts w:ascii="Cambria" w:hAnsi="Cambria"/>
          <w:b/>
          <w:color w:val="auto"/>
          <w:sz w:val="24"/>
          <w:szCs w:val="24"/>
          <w:lang w:val="en-GB"/>
        </w:rPr>
        <w:lastRenderedPageBreak/>
        <w:t>4.3 Study population – Exclusion Criteria</w:t>
      </w:r>
      <w:bookmarkEnd w:id="21"/>
    </w:p>
    <w:p w:rsidR="00C265F0" w:rsidRPr="00573C3D" w:rsidRDefault="00C265F0" w:rsidP="00D927C2">
      <w:pPr>
        <w:pStyle w:val="Default"/>
        <w:rPr>
          <w:rFonts w:ascii="Cambria" w:hAnsi="Cambria" w:cs="Times New Roman"/>
          <w:b/>
          <w:lang w:val="en-GB"/>
        </w:rPr>
      </w:pPr>
    </w:p>
    <w:p w:rsidR="00D927C2" w:rsidRPr="00573C3D" w:rsidRDefault="004C47FC" w:rsidP="00D927C2">
      <w:pPr>
        <w:numPr>
          <w:ilvl w:val="0"/>
          <w:numId w:val="17"/>
        </w:numPr>
        <w:jc w:val="both"/>
        <w:rPr>
          <w:rFonts w:eastAsia="Times New Roman"/>
          <w:lang w:val="en-GB"/>
        </w:rPr>
      </w:pPr>
      <w:r w:rsidRPr="00573C3D">
        <w:rPr>
          <w:rFonts w:eastAsia="Times New Roman"/>
          <w:lang w:val="en-GB"/>
        </w:rPr>
        <w:t>A</w:t>
      </w:r>
      <w:r w:rsidR="00D927C2" w:rsidRPr="00573C3D">
        <w:rPr>
          <w:rFonts w:eastAsia="Times New Roman"/>
          <w:lang w:val="en-GB"/>
        </w:rPr>
        <w:t>cute respiratory</w:t>
      </w:r>
      <w:r w:rsidR="00F33391">
        <w:rPr>
          <w:rFonts w:eastAsia="Times New Roman"/>
          <w:lang w:val="en-GB"/>
        </w:rPr>
        <w:t xml:space="preserve"> </w:t>
      </w:r>
      <w:r w:rsidR="00D927C2" w:rsidRPr="00573C3D">
        <w:rPr>
          <w:rFonts w:eastAsia="Times New Roman"/>
          <w:lang w:val="en-GB"/>
        </w:rPr>
        <w:t>distress syndrome (ARDS)</w:t>
      </w:r>
      <w:r w:rsidRPr="00573C3D">
        <w:rPr>
          <w:rFonts w:eastAsia="Times New Roman"/>
          <w:lang w:val="en-GB"/>
        </w:rPr>
        <w:t>.</w:t>
      </w:r>
    </w:p>
    <w:p w:rsidR="00D927C2" w:rsidRPr="00573C3D" w:rsidRDefault="004C47FC" w:rsidP="00D927C2">
      <w:pPr>
        <w:numPr>
          <w:ilvl w:val="0"/>
          <w:numId w:val="17"/>
        </w:numPr>
        <w:jc w:val="both"/>
        <w:rPr>
          <w:rFonts w:eastAsia="Times New Roman"/>
          <w:lang w:val="en-GB"/>
        </w:rPr>
      </w:pPr>
      <w:r w:rsidRPr="00573C3D">
        <w:rPr>
          <w:rFonts w:eastAsia="Times New Roman"/>
          <w:lang w:val="en-GB"/>
        </w:rPr>
        <w:t>C</w:t>
      </w:r>
      <w:r w:rsidR="00D927C2" w:rsidRPr="00573C3D">
        <w:rPr>
          <w:rFonts w:eastAsia="Times New Roman"/>
          <w:lang w:val="en-GB"/>
        </w:rPr>
        <w:t>ontraindications for or known hypersensitivity to amiodarone or calcium channel blockers</w:t>
      </w:r>
      <w:r w:rsidRPr="00573C3D">
        <w:rPr>
          <w:rFonts w:eastAsia="Times New Roman"/>
          <w:lang w:val="en-GB"/>
        </w:rPr>
        <w:t>.</w:t>
      </w:r>
    </w:p>
    <w:p w:rsidR="00D927C2" w:rsidRPr="00573C3D" w:rsidRDefault="004C47FC" w:rsidP="00D927C2">
      <w:pPr>
        <w:numPr>
          <w:ilvl w:val="0"/>
          <w:numId w:val="17"/>
        </w:numPr>
        <w:jc w:val="both"/>
        <w:rPr>
          <w:rFonts w:eastAsia="Times New Roman"/>
          <w:lang w:val="en-GB"/>
        </w:rPr>
      </w:pPr>
      <w:r w:rsidRPr="00573C3D">
        <w:rPr>
          <w:rFonts w:eastAsia="Times New Roman"/>
          <w:lang w:val="en-GB"/>
        </w:rPr>
        <w:t>L</w:t>
      </w:r>
      <w:r w:rsidR="00D927C2" w:rsidRPr="00573C3D">
        <w:rPr>
          <w:rFonts w:eastAsia="Times New Roman"/>
          <w:lang w:val="en-GB"/>
        </w:rPr>
        <w:t>ong QT syndrome</w:t>
      </w:r>
      <w:r w:rsidRPr="00573C3D">
        <w:rPr>
          <w:rFonts w:eastAsia="Times New Roman"/>
          <w:lang w:val="en-GB"/>
        </w:rPr>
        <w:t>.</w:t>
      </w:r>
      <w:r w:rsidR="00D927C2" w:rsidRPr="00573C3D">
        <w:rPr>
          <w:rFonts w:eastAsia="Times New Roman"/>
          <w:lang w:val="en-GB"/>
        </w:rPr>
        <w:t xml:space="preserve"> </w:t>
      </w:r>
    </w:p>
    <w:p w:rsidR="00D927C2" w:rsidRPr="00573C3D" w:rsidRDefault="004C47FC" w:rsidP="00D927C2">
      <w:pPr>
        <w:numPr>
          <w:ilvl w:val="0"/>
          <w:numId w:val="17"/>
        </w:numPr>
        <w:jc w:val="both"/>
        <w:rPr>
          <w:rFonts w:eastAsia="Times New Roman"/>
          <w:lang w:val="en-GB"/>
        </w:rPr>
      </w:pPr>
      <w:r w:rsidRPr="00573C3D">
        <w:rPr>
          <w:rFonts w:eastAsia="Times New Roman"/>
          <w:lang w:val="en-GB"/>
        </w:rPr>
        <w:t>P</w:t>
      </w:r>
      <w:r w:rsidR="00D927C2" w:rsidRPr="00573C3D">
        <w:rPr>
          <w:rFonts w:eastAsia="Times New Roman"/>
          <w:lang w:val="en-GB"/>
        </w:rPr>
        <w:t xml:space="preserve">rolonged baseline </w:t>
      </w:r>
      <w:proofErr w:type="spellStart"/>
      <w:r w:rsidR="00D927C2" w:rsidRPr="00573C3D">
        <w:rPr>
          <w:rFonts w:eastAsia="Times New Roman"/>
          <w:lang w:val="en-GB"/>
        </w:rPr>
        <w:t>QTc</w:t>
      </w:r>
      <w:proofErr w:type="spellEnd"/>
      <w:r w:rsidR="00D927C2" w:rsidRPr="00573C3D">
        <w:rPr>
          <w:rFonts w:eastAsia="Times New Roman"/>
          <w:lang w:val="en-GB"/>
        </w:rPr>
        <w:t xml:space="preserve"> interval (≥450 ms).</w:t>
      </w:r>
    </w:p>
    <w:p w:rsidR="00D927C2" w:rsidRPr="00573C3D" w:rsidRDefault="004C47FC" w:rsidP="00D927C2">
      <w:pPr>
        <w:numPr>
          <w:ilvl w:val="0"/>
          <w:numId w:val="17"/>
        </w:numPr>
        <w:jc w:val="both"/>
        <w:rPr>
          <w:rFonts w:eastAsia="Times New Roman"/>
          <w:lang w:val="en-GB"/>
        </w:rPr>
      </w:pPr>
      <w:r w:rsidRPr="00573C3D">
        <w:rPr>
          <w:rFonts w:eastAsia="Times New Roman"/>
          <w:lang w:val="en-GB" w:eastAsia="it-IT"/>
        </w:rPr>
        <w:t>C</w:t>
      </w:r>
      <w:r w:rsidR="00D927C2" w:rsidRPr="00573C3D">
        <w:rPr>
          <w:rFonts w:eastAsia="Times New Roman"/>
          <w:lang w:val="en-GB" w:eastAsia="it-IT"/>
        </w:rPr>
        <w:t>ardiogenic shock or severe hypotension (&lt; 90 mmHg)</w:t>
      </w:r>
      <w:r w:rsidRPr="00573C3D">
        <w:rPr>
          <w:rFonts w:eastAsia="Times New Roman"/>
          <w:lang w:val="en-GB" w:eastAsia="it-IT"/>
        </w:rPr>
        <w:t>.</w:t>
      </w:r>
    </w:p>
    <w:p w:rsidR="00D927C2" w:rsidRPr="00573C3D" w:rsidRDefault="004C47FC" w:rsidP="00D927C2">
      <w:pPr>
        <w:numPr>
          <w:ilvl w:val="0"/>
          <w:numId w:val="17"/>
        </w:numPr>
        <w:jc w:val="both"/>
        <w:rPr>
          <w:rFonts w:eastAsia="Times New Roman"/>
          <w:lang w:val="en-GB"/>
        </w:rPr>
      </w:pPr>
      <w:r w:rsidRPr="00573C3D">
        <w:rPr>
          <w:rFonts w:eastAsia="Times New Roman"/>
          <w:lang w:val="en-GB"/>
        </w:rPr>
        <w:t>S</w:t>
      </w:r>
      <w:r w:rsidR="00D927C2" w:rsidRPr="00573C3D">
        <w:rPr>
          <w:rFonts w:eastAsia="Times New Roman"/>
          <w:lang w:val="en-GB"/>
        </w:rPr>
        <w:t>evere left ventricle dysfunction (left ventricular ejection fraction ≤35%)</w:t>
      </w:r>
      <w:r w:rsidRPr="00573C3D">
        <w:rPr>
          <w:rFonts w:eastAsia="Times New Roman"/>
          <w:lang w:val="en-GB"/>
        </w:rPr>
        <w:t>.</w:t>
      </w:r>
    </w:p>
    <w:p w:rsidR="00D927C2" w:rsidRPr="00573C3D" w:rsidRDefault="004C47FC" w:rsidP="00D927C2">
      <w:pPr>
        <w:numPr>
          <w:ilvl w:val="0"/>
          <w:numId w:val="17"/>
        </w:numPr>
        <w:jc w:val="both"/>
        <w:rPr>
          <w:rFonts w:eastAsia="Times New Roman"/>
          <w:lang w:val="en-GB"/>
        </w:rPr>
      </w:pPr>
      <w:r w:rsidRPr="00573C3D">
        <w:rPr>
          <w:rFonts w:eastAsia="Times New Roman"/>
          <w:lang w:val="en-GB" w:eastAsia="it-IT"/>
        </w:rPr>
        <w:t>S</w:t>
      </w:r>
      <w:r w:rsidR="00D927C2" w:rsidRPr="00573C3D">
        <w:rPr>
          <w:rFonts w:eastAsia="Times New Roman"/>
          <w:lang w:val="en-GB" w:eastAsia="it-IT"/>
        </w:rPr>
        <w:t>evere sinus - node dysfunction with marked sinus bradycardia</w:t>
      </w:r>
      <w:r w:rsidRPr="00573C3D">
        <w:rPr>
          <w:rFonts w:eastAsia="Times New Roman"/>
          <w:lang w:val="en-GB" w:eastAsia="it-IT"/>
        </w:rPr>
        <w:t>.</w:t>
      </w:r>
    </w:p>
    <w:p w:rsidR="00D927C2" w:rsidRPr="00573C3D" w:rsidRDefault="00D927C2" w:rsidP="00D927C2">
      <w:pPr>
        <w:numPr>
          <w:ilvl w:val="0"/>
          <w:numId w:val="17"/>
        </w:numPr>
        <w:jc w:val="both"/>
        <w:rPr>
          <w:rFonts w:eastAsia="Times New Roman"/>
          <w:lang w:val="en-GB"/>
        </w:rPr>
      </w:pPr>
      <w:r w:rsidRPr="00573C3D">
        <w:rPr>
          <w:rFonts w:eastAsia="Times New Roman"/>
          <w:lang w:val="en-GB" w:eastAsia="it-IT"/>
        </w:rPr>
        <w:t>2nd/3rd degree heart block</w:t>
      </w:r>
      <w:r w:rsidR="004C47FC" w:rsidRPr="00573C3D">
        <w:rPr>
          <w:rFonts w:eastAsia="Times New Roman"/>
          <w:lang w:val="en-GB" w:eastAsia="it-IT"/>
        </w:rPr>
        <w:t>.</w:t>
      </w:r>
    </w:p>
    <w:p w:rsidR="00D927C2" w:rsidRPr="00573C3D" w:rsidRDefault="004C47FC" w:rsidP="00D927C2">
      <w:pPr>
        <w:numPr>
          <w:ilvl w:val="0"/>
          <w:numId w:val="17"/>
        </w:numPr>
        <w:jc w:val="both"/>
        <w:rPr>
          <w:rFonts w:eastAsia="Times New Roman"/>
          <w:lang w:val="en-GB"/>
        </w:rPr>
      </w:pPr>
      <w:r w:rsidRPr="00573C3D">
        <w:rPr>
          <w:rFonts w:eastAsia="Times New Roman"/>
          <w:lang w:val="en-GB" w:eastAsia="it-IT"/>
        </w:rPr>
        <w:t>B</w:t>
      </w:r>
      <w:r w:rsidR="00D927C2" w:rsidRPr="00573C3D">
        <w:rPr>
          <w:rFonts w:eastAsia="Times New Roman"/>
          <w:lang w:val="en-GB" w:eastAsia="it-IT"/>
        </w:rPr>
        <w:t>radycardia without pacemaker that has caused syncope</w:t>
      </w:r>
      <w:r w:rsidRPr="00573C3D">
        <w:rPr>
          <w:rFonts w:eastAsia="Times New Roman"/>
          <w:b/>
          <w:lang w:val="en-GB" w:eastAsia="it-IT"/>
        </w:rPr>
        <w:t>.</w:t>
      </w:r>
    </w:p>
    <w:p w:rsidR="00D927C2" w:rsidRPr="00573C3D" w:rsidRDefault="004C47FC" w:rsidP="004C47FC">
      <w:pPr>
        <w:numPr>
          <w:ilvl w:val="0"/>
          <w:numId w:val="17"/>
        </w:numPr>
        <w:ind w:hanging="436"/>
        <w:jc w:val="both"/>
        <w:rPr>
          <w:rFonts w:eastAsia="Times New Roman"/>
          <w:lang w:val="en-GB" w:eastAsia="it-IT"/>
        </w:rPr>
      </w:pPr>
      <w:r w:rsidRPr="00573C3D">
        <w:rPr>
          <w:rFonts w:eastAsia="Times New Roman"/>
          <w:lang w:val="en-GB" w:eastAsia="it-IT"/>
        </w:rPr>
        <w:t>H</w:t>
      </w:r>
      <w:r w:rsidR="00D927C2" w:rsidRPr="00573C3D">
        <w:rPr>
          <w:rFonts w:eastAsia="Times New Roman"/>
          <w:lang w:val="en-GB" w:eastAsia="it-IT"/>
        </w:rPr>
        <w:t xml:space="preserve">istory of severe </w:t>
      </w:r>
      <w:proofErr w:type="spellStart"/>
      <w:r w:rsidR="00D927C2" w:rsidRPr="00573C3D">
        <w:rPr>
          <w:rFonts w:eastAsia="Times New Roman"/>
          <w:lang w:val="en-GB" w:eastAsia="it-IT"/>
        </w:rPr>
        <w:t>dysthyroidism</w:t>
      </w:r>
      <w:proofErr w:type="spellEnd"/>
      <w:r w:rsidRPr="00573C3D">
        <w:rPr>
          <w:rFonts w:eastAsia="Times New Roman"/>
          <w:lang w:val="en-GB" w:eastAsia="it-IT"/>
        </w:rPr>
        <w:t>.</w:t>
      </w:r>
      <w:r w:rsidR="00F33391">
        <w:rPr>
          <w:rFonts w:eastAsia="Times New Roman"/>
          <w:lang w:val="en-GB" w:eastAsia="it-IT"/>
        </w:rPr>
        <w:t xml:space="preserve"> </w:t>
      </w:r>
      <w:r w:rsidR="00F33391" w:rsidRPr="00DC2FF5">
        <w:rPr>
          <w:rFonts w:eastAsia="Times New Roman"/>
          <w:lang w:val="en-GB" w:eastAsia="it-IT"/>
        </w:rPr>
        <w:t xml:space="preserve">Clinical signs and </w:t>
      </w:r>
      <w:proofErr w:type="spellStart"/>
      <w:r w:rsidR="00F33391" w:rsidRPr="00DC2FF5">
        <w:rPr>
          <w:rFonts w:eastAsia="Times New Roman"/>
          <w:lang w:val="en-GB" w:eastAsia="it-IT"/>
        </w:rPr>
        <w:t>symtomps</w:t>
      </w:r>
      <w:proofErr w:type="spellEnd"/>
      <w:r w:rsidR="00DC2FF5" w:rsidRPr="00DC2FF5">
        <w:rPr>
          <w:rFonts w:eastAsia="Times New Roman"/>
          <w:lang w:val="en-GB" w:eastAsia="it-IT"/>
        </w:rPr>
        <w:t xml:space="preserve"> of thyroid disease if there are </w:t>
      </w:r>
      <w:r w:rsidR="00ED6E6D" w:rsidRPr="00DC2FF5">
        <w:rPr>
          <w:rFonts w:eastAsia="Times New Roman"/>
          <w:lang w:val="en-GB" w:eastAsia="it-IT"/>
        </w:rPr>
        <w:t>abnormal</w:t>
      </w:r>
      <w:r w:rsidR="00DC2FF5" w:rsidRPr="00DC2FF5">
        <w:rPr>
          <w:rFonts w:eastAsia="Times New Roman"/>
          <w:lang w:val="en-GB" w:eastAsia="it-IT"/>
        </w:rPr>
        <w:t xml:space="preserve"> TSH and thyroxine</w:t>
      </w:r>
      <w:r w:rsidR="00DC2FF5">
        <w:rPr>
          <w:rFonts w:eastAsia="Times New Roman"/>
          <w:lang w:val="en-GB" w:eastAsia="it-IT"/>
        </w:rPr>
        <w:t xml:space="preserve"> (fT4)</w:t>
      </w:r>
      <w:r w:rsidR="00DC2FF5" w:rsidRPr="00DC2FF5">
        <w:rPr>
          <w:rFonts w:eastAsia="Times New Roman"/>
          <w:lang w:val="en-GB" w:eastAsia="it-IT"/>
        </w:rPr>
        <w:t xml:space="preserve">or </w:t>
      </w:r>
      <w:r w:rsidR="00604672" w:rsidRPr="00604672">
        <w:rPr>
          <w:lang w:val="en-US"/>
        </w:rPr>
        <w:t>triiodothyronine</w:t>
      </w:r>
      <w:r w:rsidR="00604672" w:rsidRPr="00604672">
        <w:rPr>
          <w:rFonts w:cs="Arial"/>
          <w:lang w:val="en-US"/>
        </w:rPr>
        <w:t xml:space="preserve"> (fT3) levels in serum.</w:t>
      </w:r>
      <w:r w:rsidR="00604672" w:rsidRPr="00604672">
        <w:rPr>
          <w:rFonts w:ascii="Arial" w:hAnsi="Arial" w:cs="Arial"/>
          <w:sz w:val="25"/>
          <w:szCs w:val="25"/>
          <w:lang w:val="en-US"/>
        </w:rPr>
        <w:t xml:space="preserve"> </w:t>
      </w:r>
    </w:p>
    <w:p w:rsidR="00D927C2" w:rsidRPr="00573C3D" w:rsidRDefault="00D927C2" w:rsidP="004C47FC">
      <w:pPr>
        <w:numPr>
          <w:ilvl w:val="0"/>
          <w:numId w:val="17"/>
        </w:numPr>
        <w:ind w:hanging="436"/>
        <w:jc w:val="both"/>
        <w:rPr>
          <w:rFonts w:eastAsia="Times New Roman"/>
          <w:lang w:val="en-GB" w:eastAsia="it-IT"/>
        </w:rPr>
      </w:pPr>
      <w:r w:rsidRPr="00573C3D">
        <w:rPr>
          <w:rFonts w:eastAsia="Times New Roman"/>
          <w:lang w:val="en-GB" w:eastAsia="it-IT"/>
        </w:rPr>
        <w:t>A-Fib/flutter conducted via accessory pathway (</w:t>
      </w:r>
      <w:proofErr w:type="spellStart"/>
      <w:r w:rsidRPr="00573C3D">
        <w:rPr>
          <w:rFonts w:eastAsia="Times New Roman"/>
          <w:lang w:val="en-GB" w:eastAsia="it-IT"/>
        </w:rPr>
        <w:t>ie,Wolff</w:t>
      </w:r>
      <w:proofErr w:type="spellEnd"/>
      <w:r w:rsidRPr="00573C3D">
        <w:rPr>
          <w:rFonts w:eastAsia="Times New Roman"/>
          <w:lang w:val="en-GB" w:eastAsia="it-IT"/>
        </w:rPr>
        <w:t xml:space="preserve"> -Parkinson-White)</w:t>
      </w:r>
      <w:r w:rsidR="004C47FC" w:rsidRPr="00573C3D">
        <w:rPr>
          <w:rFonts w:eastAsia="Times New Roman"/>
          <w:lang w:val="en-GB" w:eastAsia="it-IT"/>
        </w:rPr>
        <w:t>.</w:t>
      </w:r>
    </w:p>
    <w:p w:rsidR="00D927C2" w:rsidRPr="00573C3D" w:rsidRDefault="00604672" w:rsidP="004C47FC">
      <w:pPr>
        <w:numPr>
          <w:ilvl w:val="0"/>
          <w:numId w:val="17"/>
        </w:numPr>
        <w:ind w:hanging="436"/>
        <w:jc w:val="both"/>
        <w:rPr>
          <w:rFonts w:eastAsia="Times New Roman"/>
          <w:lang w:val="en-GB" w:eastAsia="it-IT"/>
        </w:rPr>
      </w:pPr>
      <w:r w:rsidRPr="00604672">
        <w:rPr>
          <w:iCs/>
          <w:shd w:val="clear" w:color="auto" w:fill="FFFFFF"/>
          <w:lang w:val="en-GB"/>
        </w:rPr>
        <w:t>Women who are pregnant or breastfeeding at study screening.</w:t>
      </w:r>
    </w:p>
    <w:p w:rsidR="00D927C2" w:rsidRPr="00573C3D" w:rsidRDefault="004C47FC" w:rsidP="004C47FC">
      <w:pPr>
        <w:numPr>
          <w:ilvl w:val="0"/>
          <w:numId w:val="17"/>
        </w:numPr>
        <w:ind w:hanging="436"/>
        <w:jc w:val="both"/>
        <w:rPr>
          <w:rFonts w:eastAsia="Times New Roman"/>
          <w:lang w:val="en-GB" w:eastAsia="it-IT"/>
        </w:rPr>
      </w:pPr>
      <w:r w:rsidRPr="00573C3D">
        <w:rPr>
          <w:rFonts w:eastAsia="Times New Roman"/>
          <w:lang w:val="en-GB" w:eastAsia="it-IT"/>
        </w:rPr>
        <w:t>P</w:t>
      </w:r>
      <w:r w:rsidR="00D927C2" w:rsidRPr="00573C3D">
        <w:rPr>
          <w:rFonts w:eastAsia="Times New Roman"/>
          <w:lang w:val="en-GB" w:eastAsia="it-IT"/>
        </w:rPr>
        <w:t>atient with concurrent disease considered by the Investigator to be clinically significant in the context of the study.</w:t>
      </w:r>
    </w:p>
    <w:p w:rsidR="00D927C2" w:rsidRPr="00573C3D" w:rsidRDefault="004C47FC" w:rsidP="004C47FC">
      <w:pPr>
        <w:numPr>
          <w:ilvl w:val="0"/>
          <w:numId w:val="17"/>
        </w:numPr>
        <w:ind w:hanging="436"/>
        <w:jc w:val="both"/>
        <w:rPr>
          <w:rFonts w:eastAsia="Times New Roman"/>
          <w:lang w:val="en-GB" w:eastAsia="it-IT"/>
        </w:rPr>
      </w:pPr>
      <w:r w:rsidRPr="00573C3D">
        <w:rPr>
          <w:rFonts w:eastAsia="Times New Roman"/>
          <w:lang w:val="en-GB" w:eastAsia="it-IT"/>
        </w:rPr>
        <w:t>S</w:t>
      </w:r>
      <w:r w:rsidR="00D927C2" w:rsidRPr="00573C3D">
        <w:rPr>
          <w:rFonts w:eastAsia="Times New Roman"/>
          <w:lang w:val="en-GB" w:eastAsia="it-IT"/>
        </w:rPr>
        <w:t>evere mental illness and/or a history or evidence of organic brain disease or dementia considered by the Investigator to be clinically significant in the context of the study, that would compromise the subject’s ability to comply with the study protocol.</w:t>
      </w:r>
    </w:p>
    <w:p w:rsidR="00D927C2" w:rsidRPr="00573C3D" w:rsidRDefault="00D927C2" w:rsidP="00D927C2">
      <w:pPr>
        <w:pStyle w:val="Default"/>
        <w:rPr>
          <w:rFonts w:ascii="Cambria" w:hAnsi="Cambria" w:cs="Times New Roman"/>
          <w:b/>
          <w:lang w:val="en-GB"/>
        </w:rPr>
      </w:pPr>
    </w:p>
    <w:p w:rsidR="00764222" w:rsidRPr="00573C3D" w:rsidRDefault="00764222">
      <w:pPr>
        <w:pStyle w:val="Default"/>
        <w:jc w:val="both"/>
        <w:outlineLvl w:val="0"/>
        <w:rPr>
          <w:rFonts w:ascii="Cambria" w:hAnsi="Cambria" w:cs="Times New Roman"/>
          <w:b/>
          <w:color w:val="auto"/>
          <w:lang w:val="en-GB" w:eastAsia="ja-JP"/>
        </w:rPr>
      </w:pPr>
    </w:p>
    <w:p w:rsidR="00164E65" w:rsidRPr="00DC5FBB" w:rsidRDefault="00604672" w:rsidP="00DC5FBB">
      <w:pPr>
        <w:pStyle w:val="Nagwek1"/>
        <w:rPr>
          <w:rFonts w:ascii="Cambria" w:hAnsi="Cambria"/>
          <w:b/>
          <w:color w:val="auto"/>
          <w:sz w:val="24"/>
          <w:szCs w:val="24"/>
          <w:lang w:val="en-GB" w:eastAsia="ja-JP"/>
        </w:rPr>
      </w:pPr>
      <w:bookmarkStart w:id="22" w:name="_Toc38208552"/>
      <w:bookmarkStart w:id="23" w:name="_Toc86608103"/>
      <w:r w:rsidRPr="00DC5FBB">
        <w:rPr>
          <w:rFonts w:ascii="Cambria" w:hAnsi="Cambria"/>
          <w:b/>
          <w:color w:val="auto"/>
          <w:sz w:val="24"/>
          <w:szCs w:val="24"/>
          <w:lang w:val="en-GB" w:eastAsia="ja-JP"/>
        </w:rPr>
        <w:t>5. Administration of IMP: amiodarone or verapamil</w:t>
      </w:r>
      <w:bookmarkEnd w:id="22"/>
      <w:bookmarkEnd w:id="23"/>
    </w:p>
    <w:p w:rsidR="00164E65" w:rsidRPr="00573C3D" w:rsidRDefault="00164E65">
      <w:pPr>
        <w:pStyle w:val="Default"/>
        <w:jc w:val="both"/>
        <w:outlineLvl w:val="0"/>
        <w:rPr>
          <w:rFonts w:ascii="Cambria" w:hAnsi="Cambria" w:cs="Times New Roman"/>
          <w:b/>
          <w:color w:val="auto"/>
          <w:lang w:val="en-GB" w:eastAsia="ja-JP"/>
        </w:rPr>
      </w:pPr>
    </w:p>
    <w:p w:rsidR="00E952CA" w:rsidRPr="00DC5FBB" w:rsidRDefault="00604672" w:rsidP="00DC5FBB">
      <w:pPr>
        <w:pStyle w:val="Nagwek2"/>
        <w:rPr>
          <w:rFonts w:ascii="Cambria" w:hAnsi="Cambria"/>
          <w:b/>
          <w:color w:val="auto"/>
          <w:sz w:val="24"/>
          <w:lang w:val="en-GB"/>
        </w:rPr>
      </w:pPr>
      <w:bookmarkStart w:id="24" w:name="_Toc86608104"/>
      <w:r w:rsidRPr="00DC5FBB">
        <w:rPr>
          <w:rFonts w:ascii="Cambria" w:hAnsi="Cambria"/>
          <w:b/>
          <w:color w:val="auto"/>
          <w:sz w:val="24"/>
          <w:lang w:val="en-GB" w:eastAsia="ja-JP"/>
        </w:rPr>
        <w:t xml:space="preserve">5.1. </w:t>
      </w:r>
      <w:r w:rsidR="00E952CA" w:rsidRPr="00DC5FBB">
        <w:rPr>
          <w:rFonts w:ascii="Cambria" w:hAnsi="Cambria"/>
          <w:b/>
          <w:color w:val="auto"/>
          <w:sz w:val="24"/>
          <w:lang w:val="en-GB"/>
        </w:rPr>
        <w:t>Duration of therapy with amiodarone or verapamil</w:t>
      </w:r>
      <w:bookmarkEnd w:id="24"/>
    </w:p>
    <w:p w:rsidR="0057217A" w:rsidRPr="00573C3D" w:rsidRDefault="0057217A" w:rsidP="00E952CA">
      <w:pPr>
        <w:rPr>
          <w:b/>
          <w:lang w:val="en-GB"/>
        </w:rPr>
      </w:pPr>
    </w:p>
    <w:p w:rsidR="00E952CA" w:rsidRPr="00573C3D" w:rsidRDefault="00E37274" w:rsidP="00CF2405">
      <w:pPr>
        <w:jc w:val="both"/>
        <w:rPr>
          <w:lang w:val="en-GB"/>
        </w:rPr>
      </w:pPr>
      <w:r>
        <w:rPr>
          <w:lang w:val="en-GB"/>
        </w:rPr>
        <w:t xml:space="preserve">It is strongly recommended that </w:t>
      </w:r>
      <w:r w:rsidR="00EC47B3" w:rsidRPr="00573C3D">
        <w:rPr>
          <w:lang w:val="en-GB"/>
        </w:rPr>
        <w:t>I</w:t>
      </w:r>
      <w:r w:rsidR="00604672" w:rsidRPr="00604672">
        <w:rPr>
          <w:lang w:val="en-GB"/>
        </w:rPr>
        <w:t>nvestigational medicinal drugs</w:t>
      </w:r>
      <w:r w:rsidR="00EC47B3" w:rsidRPr="00573C3D">
        <w:rPr>
          <w:lang w:val="en-GB"/>
        </w:rPr>
        <w:t xml:space="preserve"> IMP t</w:t>
      </w:r>
      <w:r w:rsidR="00E952CA" w:rsidRPr="00573C3D">
        <w:rPr>
          <w:lang w:val="en-GB"/>
        </w:rPr>
        <w:t>herapy should continue</w:t>
      </w:r>
      <w:r w:rsidR="00EC47B3" w:rsidRPr="00573C3D">
        <w:rPr>
          <w:lang w:val="en-GB"/>
        </w:rPr>
        <w:t xml:space="preserve"> during hospitalisation: </w:t>
      </w:r>
      <w:r w:rsidR="00E952CA" w:rsidRPr="00573C3D">
        <w:rPr>
          <w:lang w:val="en-GB"/>
        </w:rPr>
        <w:t xml:space="preserve"> </w:t>
      </w:r>
      <w:r w:rsidR="004C47FC" w:rsidRPr="00573C3D">
        <w:rPr>
          <w:lang w:val="en-GB"/>
        </w:rPr>
        <w:t xml:space="preserve">from day 1 </w:t>
      </w:r>
      <w:r w:rsidR="00E952CA" w:rsidRPr="00573C3D">
        <w:rPr>
          <w:lang w:val="en-GB"/>
        </w:rPr>
        <w:t xml:space="preserve">until </w:t>
      </w:r>
      <w:r w:rsidR="004C47FC" w:rsidRPr="00573C3D">
        <w:rPr>
          <w:lang w:val="en-GB"/>
        </w:rPr>
        <w:t>day 1</w:t>
      </w:r>
      <w:r w:rsidR="0023340F">
        <w:rPr>
          <w:lang w:val="en-GB"/>
        </w:rPr>
        <w:t>5 (14 full days)</w:t>
      </w:r>
      <w:r w:rsidR="00164E65" w:rsidRPr="00573C3D">
        <w:rPr>
          <w:lang w:val="en-GB"/>
        </w:rPr>
        <w:t>. It means: amiodarone or v</w:t>
      </w:r>
      <w:r w:rsidR="00E952CA" w:rsidRPr="00573C3D">
        <w:rPr>
          <w:lang w:val="en-GB"/>
        </w:rPr>
        <w:t>erapamil will be administrated over 14 days (treatment from day 1, as soon as possible after COVID-19 diagnosis to day 1</w:t>
      </w:r>
      <w:r w:rsidR="0023340F">
        <w:rPr>
          <w:lang w:val="en-GB"/>
        </w:rPr>
        <w:t>5</w:t>
      </w:r>
      <w:r w:rsidR="00E952CA" w:rsidRPr="00573C3D">
        <w:rPr>
          <w:lang w:val="en-GB"/>
        </w:rPr>
        <w:t xml:space="preserve"> of the study), unless there are emerging conditions requiring  treatment interruption. </w:t>
      </w:r>
      <w:r>
        <w:rPr>
          <w:lang w:val="en-GB"/>
        </w:rPr>
        <w:t>However, i</w:t>
      </w:r>
      <w:r w:rsidRPr="00E37274">
        <w:rPr>
          <w:lang w:val="en-GB"/>
        </w:rPr>
        <w:t>f the patient's condition is good and allows discharge for the 14th day of hospitalization, the drug may be discontinued earlier.</w:t>
      </w:r>
    </w:p>
    <w:p w:rsidR="00E952CA" w:rsidRPr="00573C3D" w:rsidRDefault="00E952CA" w:rsidP="00CF2405">
      <w:pPr>
        <w:jc w:val="both"/>
        <w:rPr>
          <w:lang w:val="en-GB"/>
        </w:rPr>
      </w:pPr>
    </w:p>
    <w:p w:rsidR="00E952CA" w:rsidRPr="00573C3D" w:rsidRDefault="00E952CA" w:rsidP="00CF2405">
      <w:pPr>
        <w:jc w:val="both"/>
        <w:rPr>
          <w:lang w:val="en-GB"/>
        </w:rPr>
      </w:pPr>
      <w:r w:rsidRPr="00573C3D">
        <w:rPr>
          <w:lang w:val="en-GB"/>
        </w:rPr>
        <w:t xml:space="preserve">The treatments can be continued beyond discharge if there is cardiovascular indication to prolong them. </w:t>
      </w:r>
    </w:p>
    <w:p w:rsidR="00C265F0" w:rsidRPr="00573C3D" w:rsidRDefault="00C265F0" w:rsidP="00E952CA">
      <w:pPr>
        <w:rPr>
          <w:lang w:val="en-GB"/>
        </w:rPr>
      </w:pPr>
    </w:p>
    <w:p w:rsidR="005E6A25" w:rsidRDefault="005E6A25" w:rsidP="005E6A25">
      <w:pPr>
        <w:pStyle w:val="Default"/>
        <w:jc w:val="both"/>
        <w:outlineLvl w:val="0"/>
        <w:rPr>
          <w:rFonts w:ascii="Cambria" w:hAnsi="Cambria" w:cs="Times New Roman"/>
          <w:b/>
          <w:lang w:val="en-GB"/>
        </w:rPr>
      </w:pPr>
    </w:p>
    <w:p w:rsidR="005E6A25" w:rsidRDefault="005E6A25" w:rsidP="005E6A25">
      <w:pPr>
        <w:pStyle w:val="Default"/>
        <w:jc w:val="both"/>
        <w:outlineLvl w:val="0"/>
        <w:rPr>
          <w:rFonts w:ascii="Cambria" w:hAnsi="Cambria" w:cs="Times New Roman"/>
          <w:b/>
          <w:lang w:val="en-GB"/>
        </w:rPr>
      </w:pPr>
    </w:p>
    <w:p w:rsidR="001B3D80" w:rsidRDefault="001B3D80" w:rsidP="005E6A25">
      <w:pPr>
        <w:pStyle w:val="Default"/>
        <w:jc w:val="both"/>
        <w:outlineLvl w:val="0"/>
        <w:rPr>
          <w:rFonts w:ascii="Cambria" w:hAnsi="Cambria" w:cs="Times New Roman"/>
          <w:b/>
          <w:lang w:val="en-GB"/>
        </w:rPr>
      </w:pPr>
    </w:p>
    <w:p w:rsidR="005E6A25" w:rsidRDefault="005E6A25" w:rsidP="005E6A25">
      <w:pPr>
        <w:pStyle w:val="Default"/>
        <w:jc w:val="both"/>
        <w:outlineLvl w:val="0"/>
        <w:rPr>
          <w:rFonts w:ascii="Cambria" w:hAnsi="Cambria" w:cs="Times New Roman"/>
          <w:b/>
          <w:lang w:val="en-GB"/>
        </w:rPr>
      </w:pPr>
    </w:p>
    <w:p w:rsidR="005E6A25" w:rsidRDefault="005E6A25" w:rsidP="005E6A25">
      <w:pPr>
        <w:pStyle w:val="Default"/>
        <w:jc w:val="both"/>
        <w:outlineLvl w:val="0"/>
        <w:rPr>
          <w:rFonts w:ascii="Cambria" w:hAnsi="Cambria" w:cs="Times New Roman"/>
          <w:b/>
          <w:lang w:val="en-GB"/>
        </w:rPr>
      </w:pPr>
    </w:p>
    <w:p w:rsidR="005E6A25" w:rsidRDefault="005E6A25" w:rsidP="005E6A25">
      <w:pPr>
        <w:pStyle w:val="Default"/>
        <w:jc w:val="both"/>
        <w:outlineLvl w:val="0"/>
        <w:rPr>
          <w:rFonts w:ascii="Cambria" w:hAnsi="Cambria" w:cs="Times New Roman"/>
          <w:b/>
          <w:lang w:val="en-GB"/>
        </w:rPr>
      </w:pPr>
    </w:p>
    <w:p w:rsidR="005E6A25" w:rsidRDefault="005E6A25" w:rsidP="005E6A25">
      <w:pPr>
        <w:pStyle w:val="Default"/>
        <w:jc w:val="both"/>
        <w:outlineLvl w:val="0"/>
        <w:rPr>
          <w:rFonts w:ascii="Cambria" w:hAnsi="Cambria" w:cs="Times New Roman"/>
          <w:b/>
          <w:lang w:val="en-GB"/>
        </w:rPr>
      </w:pPr>
    </w:p>
    <w:p w:rsidR="001366CC" w:rsidRDefault="001366CC" w:rsidP="005E6A25">
      <w:pPr>
        <w:pStyle w:val="Default"/>
        <w:jc w:val="both"/>
        <w:outlineLvl w:val="0"/>
        <w:rPr>
          <w:rFonts w:ascii="Cambria" w:hAnsi="Cambria" w:cs="Times New Roman"/>
          <w:b/>
          <w:lang w:val="en-GB"/>
        </w:rPr>
      </w:pPr>
    </w:p>
    <w:p w:rsidR="00DA526C" w:rsidRDefault="00DA526C" w:rsidP="005E6A25">
      <w:pPr>
        <w:pStyle w:val="Default"/>
        <w:jc w:val="both"/>
        <w:outlineLvl w:val="0"/>
        <w:rPr>
          <w:rFonts w:ascii="Cambria" w:hAnsi="Cambria" w:cs="Times New Roman"/>
          <w:b/>
          <w:lang w:val="en-GB"/>
        </w:rPr>
      </w:pPr>
    </w:p>
    <w:p w:rsidR="0057217A" w:rsidRDefault="0057217A" w:rsidP="005E6A25">
      <w:pPr>
        <w:pStyle w:val="Default"/>
        <w:jc w:val="both"/>
        <w:outlineLvl w:val="0"/>
        <w:rPr>
          <w:rFonts w:ascii="Cambria" w:hAnsi="Cambria" w:cs="Times New Roman"/>
          <w:b/>
          <w:lang w:val="en-GB"/>
        </w:rPr>
      </w:pPr>
      <w:bookmarkStart w:id="25" w:name="_Toc38208553"/>
    </w:p>
    <w:p w:rsidR="001B3D80" w:rsidRDefault="001B3D80" w:rsidP="004E16FA">
      <w:pPr>
        <w:pStyle w:val="Nagwek2"/>
        <w:rPr>
          <w:rFonts w:ascii="Cambria" w:hAnsi="Cambria"/>
          <w:b/>
          <w:color w:val="auto"/>
          <w:sz w:val="24"/>
          <w:lang w:val="en-GB"/>
        </w:rPr>
      </w:pPr>
    </w:p>
    <w:p w:rsidR="00056A7B" w:rsidRDefault="00C265F0" w:rsidP="004E16FA">
      <w:pPr>
        <w:pStyle w:val="Nagwek2"/>
        <w:rPr>
          <w:rFonts w:ascii="Cambria" w:hAnsi="Cambria"/>
          <w:b/>
          <w:color w:val="auto"/>
          <w:sz w:val="24"/>
          <w:lang w:val="en-GB"/>
        </w:rPr>
      </w:pPr>
      <w:bookmarkStart w:id="26" w:name="_Toc86608105"/>
      <w:r w:rsidRPr="00DC5FBB">
        <w:rPr>
          <w:rFonts w:ascii="Cambria" w:hAnsi="Cambria"/>
          <w:b/>
          <w:color w:val="auto"/>
          <w:sz w:val="24"/>
          <w:lang w:val="en-GB"/>
        </w:rPr>
        <w:t>5</w:t>
      </w:r>
      <w:r w:rsidR="00164E65" w:rsidRPr="00DC5FBB">
        <w:rPr>
          <w:rFonts w:ascii="Cambria" w:hAnsi="Cambria"/>
          <w:b/>
          <w:color w:val="auto"/>
          <w:sz w:val="24"/>
          <w:lang w:val="en-GB"/>
        </w:rPr>
        <w:t>.2</w:t>
      </w:r>
      <w:r w:rsidR="00CB0859" w:rsidRPr="00DC5FBB">
        <w:rPr>
          <w:rFonts w:ascii="Cambria" w:hAnsi="Cambria"/>
          <w:b/>
          <w:color w:val="auto"/>
          <w:sz w:val="24"/>
          <w:lang w:val="en-GB"/>
        </w:rPr>
        <w:t>.</w:t>
      </w:r>
      <w:r w:rsidR="00676923" w:rsidRPr="00DC5FBB">
        <w:rPr>
          <w:rFonts w:ascii="Cambria" w:hAnsi="Cambria"/>
          <w:b/>
          <w:color w:val="auto"/>
          <w:sz w:val="24"/>
          <w:lang w:val="en-GB"/>
        </w:rPr>
        <w:t xml:space="preserve"> </w:t>
      </w:r>
      <w:r w:rsidR="00774088" w:rsidRPr="00DC5FBB">
        <w:rPr>
          <w:rFonts w:ascii="Cambria" w:hAnsi="Cambria"/>
          <w:b/>
          <w:color w:val="auto"/>
          <w:sz w:val="24"/>
          <w:lang w:val="en-GB"/>
        </w:rPr>
        <w:t>Dosing</w:t>
      </w:r>
      <w:r w:rsidR="00D34F04" w:rsidRPr="00DC5FBB">
        <w:rPr>
          <w:rFonts w:ascii="Cambria" w:hAnsi="Cambria"/>
          <w:b/>
          <w:color w:val="auto"/>
          <w:sz w:val="24"/>
          <w:lang w:val="en-GB"/>
        </w:rPr>
        <w:t xml:space="preserve"> of amiodarone and verapamil</w:t>
      </w:r>
      <w:bookmarkEnd w:id="25"/>
      <w:bookmarkEnd w:id="26"/>
      <w:r w:rsidR="00D34F04" w:rsidRPr="00DC5FBB">
        <w:rPr>
          <w:rFonts w:ascii="Cambria" w:hAnsi="Cambria"/>
          <w:b/>
          <w:color w:val="auto"/>
          <w:sz w:val="24"/>
          <w:lang w:val="en-GB"/>
        </w:rPr>
        <w:t xml:space="preserve"> </w:t>
      </w:r>
    </w:p>
    <w:p w:rsidR="004E16FA" w:rsidRPr="004E16FA" w:rsidRDefault="004E16FA" w:rsidP="004E16FA">
      <w:pPr>
        <w:rPr>
          <w:lang w:val="en-GB"/>
        </w:rPr>
      </w:pPr>
    </w:p>
    <w:p w:rsidR="005E6A25" w:rsidRPr="00395598" w:rsidRDefault="005E6A25" w:rsidP="00395598">
      <w:pPr>
        <w:pStyle w:val="Nagwek3"/>
        <w:rPr>
          <w:rFonts w:ascii="Cambria" w:hAnsi="Cambria"/>
          <w:color w:val="auto"/>
          <w:lang w:val="en-GB"/>
        </w:rPr>
      </w:pPr>
      <w:bookmarkStart w:id="27" w:name="_Toc86608106"/>
      <w:r w:rsidRPr="00395598">
        <w:rPr>
          <w:rFonts w:ascii="Cambria" w:hAnsi="Cambria"/>
          <w:color w:val="auto"/>
          <w:lang w:val="en-GB"/>
        </w:rPr>
        <w:t>5.2.1 Amiodarone – Dose and Treatment Schedules</w:t>
      </w:r>
      <w:bookmarkEnd w:id="27"/>
    </w:p>
    <w:p w:rsidR="005E6A25" w:rsidRPr="0038112D" w:rsidRDefault="005E6A25" w:rsidP="00CF2405">
      <w:pPr>
        <w:jc w:val="both"/>
        <w:rPr>
          <w:b/>
          <w:lang w:val="en-GB"/>
        </w:rPr>
      </w:pPr>
    </w:p>
    <w:p w:rsidR="00663486" w:rsidRDefault="00663486" w:rsidP="00663486">
      <w:pPr>
        <w:pStyle w:val="Akapitzlist"/>
        <w:numPr>
          <w:ilvl w:val="0"/>
          <w:numId w:val="34"/>
        </w:numPr>
        <w:jc w:val="both"/>
        <w:rPr>
          <w:lang w:val="en-GB"/>
        </w:rPr>
      </w:pPr>
      <w:bookmarkStart w:id="28" w:name="_Toc38208554"/>
      <w:bookmarkStart w:id="29" w:name="_Toc38214867"/>
      <w:bookmarkStart w:id="30" w:name="_Toc40961970"/>
      <w:r w:rsidRPr="00663486">
        <w:rPr>
          <w:lang w:val="en-GB"/>
        </w:rPr>
        <w:t>Amiodarone should be administered orally in a daily dose of 200-400 mg</w:t>
      </w:r>
      <w:r w:rsidR="00882912">
        <w:rPr>
          <w:lang w:val="en-GB"/>
        </w:rPr>
        <w:t xml:space="preserve"> (once or twice per day).</w:t>
      </w:r>
    </w:p>
    <w:p w:rsidR="00663486" w:rsidRDefault="00663486" w:rsidP="00663486">
      <w:pPr>
        <w:pStyle w:val="Akapitzlist"/>
        <w:numPr>
          <w:ilvl w:val="0"/>
          <w:numId w:val="34"/>
        </w:numPr>
        <w:jc w:val="both"/>
        <w:rPr>
          <w:lang w:val="en-GB"/>
        </w:rPr>
      </w:pPr>
      <w:r w:rsidRPr="00663486">
        <w:rPr>
          <w:rFonts w:cs="OpenSans-Regular"/>
          <w:color w:val="000000" w:themeColor="text1"/>
          <w:lang w:val="en-GB" w:eastAsia="it-IT"/>
        </w:rPr>
        <w:t xml:space="preserve">Adjust dosage based on age, </w:t>
      </w:r>
      <w:r w:rsidRPr="00663486">
        <w:rPr>
          <w:lang w:val="en-GB"/>
        </w:rPr>
        <w:t>patient tolerance</w:t>
      </w:r>
      <w:r w:rsidRPr="00663486">
        <w:rPr>
          <w:rFonts w:cs="OpenSans-Regular"/>
          <w:color w:val="000000" w:themeColor="text1"/>
          <w:lang w:val="en-GB" w:eastAsia="it-IT"/>
        </w:rPr>
        <w:t xml:space="preserve"> and cardiac response: Heart Rate, Blood Pressure, QT/QTc interval length, heart rhythm. </w:t>
      </w:r>
      <w:r w:rsidRPr="00663486">
        <w:rPr>
          <w:lang w:val="en-GB"/>
        </w:rPr>
        <w:t>Elderly (&gt; 65 yrs): Initiate dosage at the lower end of the adult range.</w:t>
      </w:r>
    </w:p>
    <w:p w:rsidR="00663486" w:rsidRDefault="00882912" w:rsidP="00663486">
      <w:pPr>
        <w:pStyle w:val="Akapitzlist"/>
        <w:numPr>
          <w:ilvl w:val="0"/>
          <w:numId w:val="34"/>
        </w:numPr>
        <w:jc w:val="both"/>
        <w:rPr>
          <w:b/>
          <w:u w:val="single"/>
          <w:lang w:val="en-GB"/>
        </w:rPr>
      </w:pPr>
      <w:r w:rsidRPr="00B110C7">
        <w:rPr>
          <w:lang w:val="en-GB"/>
        </w:rPr>
        <w:t>Therapy should continue until day 15</w:t>
      </w:r>
      <w:r w:rsidR="004851DA">
        <w:rPr>
          <w:lang w:val="en-GB"/>
        </w:rPr>
        <w:t xml:space="preserve"> (14 full days)</w:t>
      </w:r>
      <w:r w:rsidRPr="00B110C7">
        <w:rPr>
          <w:lang w:val="en-GB"/>
        </w:rPr>
        <w:t xml:space="preserve"> or more if there is cardiovascular indication to prolong them. </w:t>
      </w:r>
      <w:r w:rsidRPr="00882912">
        <w:rPr>
          <w:lang w:val="en-GB"/>
        </w:rPr>
        <w:t>If the patient is discharged home before the 14th day of hospitalization, treatment may be terminated earlier.</w:t>
      </w:r>
    </w:p>
    <w:bookmarkEnd w:id="28"/>
    <w:bookmarkEnd w:id="29"/>
    <w:bookmarkEnd w:id="30"/>
    <w:p w:rsidR="004C47FC" w:rsidRDefault="004C47FC">
      <w:pPr>
        <w:rPr>
          <w:i/>
          <w:lang w:val="en-GB"/>
        </w:rPr>
      </w:pPr>
    </w:p>
    <w:p w:rsidR="004835A5" w:rsidRPr="004835A5" w:rsidRDefault="004835A5">
      <w:pPr>
        <w:rPr>
          <w:lang w:val="en-GB"/>
        </w:rPr>
      </w:pPr>
      <w:r w:rsidRPr="004835A5">
        <w:rPr>
          <w:b/>
          <w:lang w:val="en-GB"/>
        </w:rPr>
        <w:t xml:space="preserve">Table </w:t>
      </w:r>
      <w:r w:rsidR="004851DA">
        <w:rPr>
          <w:b/>
          <w:lang w:val="en-GB"/>
        </w:rPr>
        <w:t>3</w:t>
      </w:r>
      <w:r>
        <w:rPr>
          <w:lang w:val="en-GB"/>
        </w:rPr>
        <w:t>. Amiodarone. Dose and Treatment Schedule</w:t>
      </w:r>
    </w:p>
    <w:tbl>
      <w:tblPr>
        <w:tblStyle w:val="Tabela-Siatka"/>
        <w:tblW w:w="9071" w:type="dxa"/>
        <w:tblLook w:val="04A0"/>
      </w:tblPr>
      <w:tblGrid>
        <w:gridCol w:w="1784"/>
        <w:gridCol w:w="2114"/>
        <w:gridCol w:w="1837"/>
        <w:gridCol w:w="1692"/>
        <w:gridCol w:w="1644"/>
      </w:tblGrid>
      <w:tr w:rsidR="005E6A25" w:rsidRPr="0038112D" w:rsidTr="004851DA">
        <w:tc>
          <w:tcPr>
            <w:tcW w:w="1784" w:type="dxa"/>
            <w:vAlign w:val="center"/>
          </w:tcPr>
          <w:p w:rsidR="005E6A25" w:rsidRPr="00B110C7" w:rsidRDefault="005E6A25" w:rsidP="005E6A25">
            <w:pPr>
              <w:jc w:val="center"/>
              <w:rPr>
                <w:rFonts w:ascii="Cambria" w:hAnsi="Cambria"/>
                <w:b/>
                <w:lang w:val="en-GB"/>
              </w:rPr>
            </w:pPr>
            <w:r w:rsidRPr="00B110C7">
              <w:rPr>
                <w:rFonts w:ascii="Cambria" w:hAnsi="Cambria"/>
                <w:b/>
                <w:lang w:val="en-GB"/>
              </w:rPr>
              <w:t>Treatment period</w:t>
            </w:r>
          </w:p>
        </w:tc>
        <w:tc>
          <w:tcPr>
            <w:tcW w:w="2114" w:type="dxa"/>
            <w:vAlign w:val="center"/>
          </w:tcPr>
          <w:p w:rsidR="005E6A25" w:rsidRPr="00B110C7" w:rsidRDefault="005E6A25" w:rsidP="005E6A25">
            <w:pPr>
              <w:jc w:val="center"/>
              <w:rPr>
                <w:rFonts w:ascii="Cambria" w:hAnsi="Cambria"/>
                <w:b/>
                <w:lang w:val="en-GB"/>
              </w:rPr>
            </w:pPr>
            <w:r w:rsidRPr="00B110C7">
              <w:rPr>
                <w:rFonts w:ascii="Cambria" w:hAnsi="Cambria"/>
                <w:b/>
                <w:lang w:val="en-GB"/>
              </w:rPr>
              <w:t>Procedure</w:t>
            </w:r>
          </w:p>
        </w:tc>
        <w:tc>
          <w:tcPr>
            <w:tcW w:w="1837" w:type="dxa"/>
            <w:vAlign w:val="center"/>
          </w:tcPr>
          <w:p w:rsidR="005E6A25" w:rsidRPr="00B110C7" w:rsidRDefault="005E6A25" w:rsidP="005E6A25">
            <w:pPr>
              <w:jc w:val="center"/>
              <w:rPr>
                <w:rFonts w:ascii="Cambria" w:hAnsi="Cambria"/>
                <w:b/>
                <w:lang w:val="en-GB"/>
              </w:rPr>
            </w:pPr>
            <w:r w:rsidRPr="00B110C7">
              <w:rPr>
                <w:rFonts w:ascii="Cambria" w:hAnsi="Cambria"/>
                <w:b/>
                <w:lang w:val="en-GB"/>
              </w:rPr>
              <w:t>Pharmaceutical form and route of administration</w:t>
            </w:r>
          </w:p>
        </w:tc>
        <w:tc>
          <w:tcPr>
            <w:tcW w:w="1692" w:type="dxa"/>
            <w:vAlign w:val="center"/>
          </w:tcPr>
          <w:p w:rsidR="005E6A25" w:rsidRPr="00B110C7" w:rsidRDefault="005E6A25" w:rsidP="005E6A25">
            <w:pPr>
              <w:jc w:val="center"/>
              <w:rPr>
                <w:rFonts w:ascii="Cambria" w:hAnsi="Cambria"/>
                <w:b/>
                <w:lang w:val="en-GB"/>
              </w:rPr>
            </w:pPr>
            <w:r w:rsidRPr="00B110C7">
              <w:rPr>
                <w:rFonts w:ascii="Cambria" w:hAnsi="Cambria"/>
                <w:b/>
                <w:lang w:val="en-GB"/>
              </w:rPr>
              <w:t>Dose of amiodarone</w:t>
            </w:r>
          </w:p>
        </w:tc>
        <w:tc>
          <w:tcPr>
            <w:tcW w:w="1644" w:type="dxa"/>
            <w:vAlign w:val="center"/>
          </w:tcPr>
          <w:p w:rsidR="005E6A25" w:rsidRPr="00B110C7" w:rsidRDefault="005E6A25" w:rsidP="005E6A25">
            <w:pPr>
              <w:jc w:val="center"/>
              <w:rPr>
                <w:rFonts w:ascii="Cambria" w:hAnsi="Cambria"/>
                <w:b/>
                <w:lang w:val="en-GB"/>
              </w:rPr>
            </w:pPr>
            <w:r w:rsidRPr="00B110C7">
              <w:rPr>
                <w:rFonts w:ascii="Cambria" w:hAnsi="Cambria"/>
                <w:b/>
                <w:lang w:val="en-GB"/>
              </w:rPr>
              <w:t>Frequency or/and Regimen</w:t>
            </w:r>
          </w:p>
        </w:tc>
      </w:tr>
      <w:tr w:rsidR="005E6A25" w:rsidRPr="006C528C" w:rsidTr="004851DA">
        <w:tc>
          <w:tcPr>
            <w:tcW w:w="1784" w:type="dxa"/>
            <w:vAlign w:val="center"/>
          </w:tcPr>
          <w:p w:rsidR="005E6A25" w:rsidRPr="00B110C7" w:rsidRDefault="005E6A25" w:rsidP="005E6A25">
            <w:pPr>
              <w:jc w:val="center"/>
              <w:rPr>
                <w:rFonts w:ascii="Cambria" w:hAnsi="Cambria"/>
                <w:b/>
                <w:lang w:val="en-GB"/>
              </w:rPr>
            </w:pPr>
            <w:r w:rsidRPr="00B110C7">
              <w:rPr>
                <w:rFonts w:ascii="Cambria" w:hAnsi="Cambria"/>
                <w:b/>
                <w:lang w:val="en-GB"/>
              </w:rPr>
              <w:t>Day 1.</w:t>
            </w:r>
          </w:p>
          <w:p w:rsidR="005E6A25" w:rsidRDefault="005E6A25" w:rsidP="005E6A25">
            <w:pPr>
              <w:jc w:val="center"/>
              <w:rPr>
                <w:rFonts w:ascii="Cambria" w:hAnsi="Cambria"/>
                <w:b/>
                <w:lang w:val="en-GB"/>
              </w:rPr>
            </w:pPr>
            <w:r w:rsidRPr="00B110C7">
              <w:rPr>
                <w:rFonts w:ascii="Cambria" w:hAnsi="Cambria"/>
                <w:b/>
                <w:lang w:val="en-GB"/>
              </w:rPr>
              <w:t>As soon as possible after randomization</w:t>
            </w:r>
          </w:p>
          <w:p w:rsidR="004851DA" w:rsidRPr="004851DA" w:rsidRDefault="004851DA" w:rsidP="005E6A25">
            <w:pPr>
              <w:jc w:val="center"/>
              <w:rPr>
                <w:rFonts w:ascii="Cambria" w:hAnsi="Cambria"/>
                <w:vertAlign w:val="superscript"/>
                <w:lang w:val="en-GB"/>
              </w:rPr>
            </w:pPr>
            <w:r>
              <w:rPr>
                <w:rFonts w:ascii="Cambria" w:hAnsi="Cambria"/>
                <w:b/>
                <w:lang w:val="en-GB"/>
              </w:rPr>
              <w:t>to Day 15.</w:t>
            </w:r>
            <w:r>
              <w:rPr>
                <w:rFonts w:ascii="Cambria" w:hAnsi="Cambria"/>
                <w:b/>
                <w:vertAlign w:val="superscript"/>
                <w:lang w:val="en-GB"/>
              </w:rPr>
              <w:t>1</w:t>
            </w:r>
          </w:p>
        </w:tc>
        <w:tc>
          <w:tcPr>
            <w:tcW w:w="2114" w:type="dxa"/>
            <w:vAlign w:val="center"/>
          </w:tcPr>
          <w:p w:rsidR="005E6A25" w:rsidRPr="00B110C7" w:rsidRDefault="004851DA" w:rsidP="005E6A25">
            <w:pPr>
              <w:jc w:val="center"/>
              <w:rPr>
                <w:rFonts w:ascii="Cambria" w:hAnsi="Cambria"/>
                <w:lang w:val="en-GB"/>
              </w:rPr>
            </w:pPr>
            <w:r w:rsidRPr="00B110C7">
              <w:rPr>
                <w:rFonts w:ascii="Cambria" w:hAnsi="Cambria" w:cs="Arial"/>
                <w:color w:val="000000"/>
                <w:shd w:val="clear" w:color="auto" w:fill="FFFFFF"/>
                <w:lang w:val="en-GB"/>
              </w:rPr>
              <w:t>Oral administration</w:t>
            </w:r>
          </w:p>
        </w:tc>
        <w:tc>
          <w:tcPr>
            <w:tcW w:w="1837" w:type="dxa"/>
            <w:vAlign w:val="center"/>
          </w:tcPr>
          <w:p w:rsidR="005E6A25" w:rsidRPr="00B110C7" w:rsidRDefault="004851DA" w:rsidP="005E6A25">
            <w:pPr>
              <w:jc w:val="center"/>
              <w:rPr>
                <w:rFonts w:ascii="Cambria" w:hAnsi="Cambria"/>
                <w:lang w:val="en-GB"/>
              </w:rPr>
            </w:pPr>
            <w:r w:rsidRPr="00B110C7">
              <w:rPr>
                <w:rFonts w:ascii="Cambria" w:hAnsi="Cambria"/>
                <w:lang w:val="en-GB"/>
              </w:rPr>
              <w:t>Tablets for oral use.</w:t>
            </w:r>
          </w:p>
        </w:tc>
        <w:tc>
          <w:tcPr>
            <w:tcW w:w="1692" w:type="dxa"/>
            <w:vAlign w:val="center"/>
          </w:tcPr>
          <w:p w:rsidR="005E6A25" w:rsidRPr="00B110C7" w:rsidRDefault="004851DA" w:rsidP="005E6A25">
            <w:pPr>
              <w:jc w:val="center"/>
              <w:rPr>
                <w:rFonts w:ascii="Cambria" w:hAnsi="Cambria"/>
                <w:lang w:val="en-GB"/>
              </w:rPr>
            </w:pPr>
            <w:r>
              <w:rPr>
                <w:rFonts w:ascii="Cambria" w:hAnsi="Cambria"/>
                <w:lang w:val="en-GB"/>
              </w:rPr>
              <w:t>200</w:t>
            </w:r>
            <w:r w:rsidR="005E6A25" w:rsidRPr="00B110C7">
              <w:rPr>
                <w:rFonts w:ascii="Cambria" w:hAnsi="Cambria"/>
                <w:lang w:val="en-GB"/>
              </w:rPr>
              <w:t xml:space="preserve"> mg</w:t>
            </w:r>
          </w:p>
        </w:tc>
        <w:tc>
          <w:tcPr>
            <w:tcW w:w="1644" w:type="dxa"/>
            <w:vAlign w:val="center"/>
          </w:tcPr>
          <w:p w:rsidR="005E6A25" w:rsidRPr="00B110C7" w:rsidRDefault="004851DA" w:rsidP="005E6A25">
            <w:pPr>
              <w:jc w:val="center"/>
              <w:rPr>
                <w:rFonts w:ascii="Cambria" w:hAnsi="Cambria"/>
                <w:lang w:val="en-GB"/>
              </w:rPr>
            </w:pPr>
            <w:r w:rsidRPr="00B110C7">
              <w:rPr>
                <w:rFonts w:ascii="Cambria" w:hAnsi="Cambria"/>
                <w:lang w:val="en-GB"/>
              </w:rPr>
              <w:t xml:space="preserve">Once (200mg) or twice </w:t>
            </w:r>
            <w:r w:rsidRPr="00B110C7">
              <w:rPr>
                <w:rFonts w:ascii="Cambria" w:hAnsi="Cambria"/>
                <w:lang w:val="en-GB"/>
              </w:rPr>
              <w:br/>
              <w:t xml:space="preserve">(2 x 200mg) </w:t>
            </w:r>
            <w:r w:rsidRPr="00B110C7">
              <w:rPr>
                <w:rFonts w:ascii="Cambria" w:hAnsi="Cambria"/>
                <w:lang w:val="en-GB"/>
              </w:rPr>
              <w:br/>
              <w:t>per day.</w:t>
            </w:r>
            <w:r>
              <w:rPr>
                <w:rFonts w:ascii="Cambria" w:hAnsi="Cambria"/>
                <w:vertAlign w:val="superscript"/>
                <w:lang w:val="en-GB"/>
              </w:rPr>
              <w:t>2,3</w:t>
            </w:r>
          </w:p>
        </w:tc>
      </w:tr>
    </w:tbl>
    <w:p w:rsidR="00B110C7" w:rsidRDefault="00B110C7" w:rsidP="005E6A25">
      <w:pPr>
        <w:rPr>
          <w:vertAlign w:val="superscript"/>
          <w:lang w:val="en-GB"/>
        </w:rPr>
      </w:pPr>
    </w:p>
    <w:p w:rsidR="004851DA" w:rsidRPr="004851DA" w:rsidRDefault="004851DA" w:rsidP="00CF2405">
      <w:pPr>
        <w:jc w:val="both"/>
        <w:rPr>
          <w:lang w:val="en-GB"/>
        </w:rPr>
      </w:pPr>
      <w:r>
        <w:rPr>
          <w:vertAlign w:val="superscript"/>
          <w:lang w:val="en-GB"/>
        </w:rPr>
        <w:t xml:space="preserve">1 </w:t>
      </w:r>
      <w:r w:rsidR="00340BF8">
        <w:rPr>
          <w:lang w:val="en-GB"/>
        </w:rPr>
        <w:t>The treatment</w:t>
      </w:r>
      <w:r w:rsidRPr="0038112D">
        <w:rPr>
          <w:lang w:val="en-GB"/>
        </w:rPr>
        <w:t xml:space="preserve"> can be continued beyond discharge if there is cardiovascular indication to prolong them. </w:t>
      </w:r>
    </w:p>
    <w:p w:rsidR="005E6A25" w:rsidRPr="0038112D" w:rsidRDefault="005E6A25" w:rsidP="00CF2405">
      <w:pPr>
        <w:jc w:val="both"/>
        <w:rPr>
          <w:lang w:val="en-GB"/>
        </w:rPr>
      </w:pPr>
      <w:r w:rsidRPr="0038112D">
        <w:rPr>
          <w:vertAlign w:val="superscript"/>
          <w:lang w:val="en-GB"/>
        </w:rPr>
        <w:t xml:space="preserve">2 </w:t>
      </w:r>
      <w:r>
        <w:rPr>
          <w:lang w:val="en-GB"/>
        </w:rPr>
        <w:t xml:space="preserve">The IMT should be given in the maximum clinically tolerated dose. </w:t>
      </w:r>
    </w:p>
    <w:p w:rsidR="005E6A25" w:rsidRPr="0038112D" w:rsidRDefault="005E6A25" w:rsidP="00CF2405">
      <w:pPr>
        <w:jc w:val="both"/>
        <w:rPr>
          <w:lang w:val="en-GB"/>
        </w:rPr>
      </w:pPr>
      <w:r>
        <w:rPr>
          <w:lang w:val="en-GB"/>
        </w:rPr>
        <w:t>C</w:t>
      </w:r>
      <w:r w:rsidRPr="00D66C79">
        <w:rPr>
          <w:lang w:val="en-GB"/>
        </w:rPr>
        <w:t xml:space="preserve">lose monitoring with adjustment of dose as needed is essential. </w:t>
      </w:r>
      <w:r w:rsidRPr="0038112D">
        <w:rPr>
          <w:lang w:val="en-GB"/>
        </w:rPr>
        <w:t xml:space="preserve">Maintenance dose should be determined according to patient tolerance as well as symptoms, cardiac response (Heart Rate, Blood Pressure, QT/QTc interval length, heart rhythm) and age. Elderly (&gt;65yrs): Initiate dosage at the lower end of the adult range. </w:t>
      </w:r>
    </w:p>
    <w:p w:rsidR="00663486" w:rsidRDefault="005409A1" w:rsidP="00663486">
      <w:pPr>
        <w:jc w:val="both"/>
        <w:rPr>
          <w:b/>
          <w:lang w:val="en-GB"/>
        </w:rPr>
      </w:pPr>
      <w:r>
        <w:rPr>
          <w:vertAlign w:val="superscript"/>
          <w:lang w:val="en-GB"/>
        </w:rPr>
        <w:t>3</w:t>
      </w:r>
      <w:r w:rsidR="005E6A25" w:rsidRPr="003E4B9C">
        <w:rPr>
          <w:rFonts w:ascii="inherit" w:hAnsi="inherit"/>
          <w:color w:val="222222"/>
          <w:sz w:val="36"/>
          <w:szCs w:val="36"/>
          <w:lang w:val="en-US"/>
        </w:rPr>
        <w:t xml:space="preserve"> </w:t>
      </w:r>
      <w:r w:rsidR="005E6A25" w:rsidRPr="003E4B9C">
        <w:rPr>
          <w:lang w:val="en-US"/>
        </w:rPr>
        <w:t xml:space="preserve">The IMT should be taken </w:t>
      </w:r>
      <w:r w:rsidR="005E6A25">
        <w:rPr>
          <w:lang w:val="en-US"/>
        </w:rPr>
        <w:t xml:space="preserve">ones or twice  per  day </w:t>
      </w:r>
      <w:r w:rsidR="005E6A25" w:rsidRPr="003E4B9C">
        <w:rPr>
          <w:rFonts w:cs="Arial"/>
          <w:shd w:val="clear" w:color="auto" w:fill="FFFFFF"/>
          <w:lang w:val="en-US"/>
        </w:rPr>
        <w:t>at the </w:t>
      </w:r>
      <w:r w:rsidR="005E6A25" w:rsidRPr="003E4B9C">
        <w:rPr>
          <w:rFonts w:cs="Arial"/>
          <w:bCs/>
          <w:shd w:val="clear" w:color="auto" w:fill="FFFFFF"/>
          <w:lang w:val="en-US"/>
        </w:rPr>
        <w:t>same time</w:t>
      </w:r>
      <w:r w:rsidR="005E6A25" w:rsidRPr="003E4B9C">
        <w:rPr>
          <w:rFonts w:cs="Arial"/>
          <w:shd w:val="clear" w:color="auto" w:fill="FFFFFF"/>
          <w:lang w:val="en-US"/>
        </w:rPr>
        <w:t> daily</w:t>
      </w:r>
      <w:r>
        <w:rPr>
          <w:b/>
          <w:lang w:val="en-GB"/>
        </w:rPr>
        <w:t>.</w:t>
      </w:r>
    </w:p>
    <w:p w:rsidR="005C1381" w:rsidRDefault="005C1381" w:rsidP="00B110C7">
      <w:pPr>
        <w:rPr>
          <w:b/>
          <w:lang w:val="en-GB"/>
        </w:rPr>
      </w:pPr>
    </w:p>
    <w:p w:rsidR="00B110C7" w:rsidRPr="00395598" w:rsidRDefault="00B110C7" w:rsidP="00395598">
      <w:pPr>
        <w:pStyle w:val="Nagwek3"/>
        <w:rPr>
          <w:rFonts w:ascii="Cambria" w:hAnsi="Cambria"/>
          <w:color w:val="auto"/>
          <w:lang w:val="en-GB"/>
        </w:rPr>
      </w:pPr>
      <w:bookmarkStart w:id="31" w:name="_Toc86608107"/>
      <w:r w:rsidRPr="00395598">
        <w:rPr>
          <w:rFonts w:ascii="Cambria" w:hAnsi="Cambria"/>
          <w:color w:val="auto"/>
          <w:lang w:val="en-GB"/>
        </w:rPr>
        <w:t>5.2.2 Verapamil– Dose and Treatment Schedules</w:t>
      </w:r>
      <w:bookmarkEnd w:id="31"/>
    </w:p>
    <w:p w:rsidR="005E6A25" w:rsidRPr="00ED6E6D" w:rsidRDefault="005E6A25" w:rsidP="00CF2405">
      <w:pPr>
        <w:jc w:val="both"/>
        <w:rPr>
          <w:i/>
          <w:lang w:val="en-GB"/>
        </w:rPr>
      </w:pPr>
    </w:p>
    <w:p w:rsidR="005409A1" w:rsidRDefault="005409A1" w:rsidP="005409A1">
      <w:pPr>
        <w:pStyle w:val="Akapitzlist"/>
        <w:numPr>
          <w:ilvl w:val="0"/>
          <w:numId w:val="34"/>
        </w:numPr>
        <w:jc w:val="both"/>
        <w:rPr>
          <w:lang w:val="en-GB"/>
        </w:rPr>
      </w:pPr>
      <w:r>
        <w:rPr>
          <w:lang w:val="en-GB"/>
        </w:rPr>
        <w:t xml:space="preserve">Verapamil </w:t>
      </w:r>
      <w:r w:rsidRPr="00882912">
        <w:rPr>
          <w:lang w:val="en-GB"/>
        </w:rPr>
        <w:t xml:space="preserve">should be administered orally in a daily dose of </w:t>
      </w:r>
      <w:r>
        <w:rPr>
          <w:lang w:val="en-GB"/>
        </w:rPr>
        <w:t>120-48</w:t>
      </w:r>
      <w:r w:rsidRPr="00882912">
        <w:rPr>
          <w:lang w:val="en-GB"/>
        </w:rPr>
        <w:t>0 mg</w:t>
      </w:r>
      <w:r>
        <w:rPr>
          <w:lang w:val="en-GB"/>
        </w:rPr>
        <w:t xml:space="preserve"> (3 or 4 </w:t>
      </w:r>
      <w:proofErr w:type="spellStart"/>
      <w:r>
        <w:rPr>
          <w:lang w:val="en-GB"/>
        </w:rPr>
        <w:t>devided</w:t>
      </w:r>
      <w:proofErr w:type="spellEnd"/>
      <w:r>
        <w:rPr>
          <w:lang w:val="en-GB"/>
        </w:rPr>
        <w:t xml:space="preserve"> doses).</w:t>
      </w:r>
    </w:p>
    <w:p w:rsidR="00663486" w:rsidRDefault="005409A1" w:rsidP="00663486">
      <w:pPr>
        <w:pStyle w:val="Akapitzlist"/>
        <w:numPr>
          <w:ilvl w:val="0"/>
          <w:numId w:val="34"/>
        </w:numPr>
        <w:jc w:val="both"/>
        <w:rPr>
          <w:lang w:val="en-GB"/>
        </w:rPr>
      </w:pPr>
      <w:r>
        <w:rPr>
          <w:rFonts w:cs="OpenSans-Regular"/>
          <w:color w:val="000000" w:themeColor="text1"/>
          <w:lang w:val="en-GB" w:eastAsia="it-IT"/>
        </w:rPr>
        <w:t>A</w:t>
      </w:r>
      <w:r w:rsidRPr="00B110C7">
        <w:rPr>
          <w:rFonts w:cs="OpenSans-Regular"/>
          <w:color w:val="000000" w:themeColor="text1"/>
          <w:lang w:val="en-GB" w:eastAsia="it-IT"/>
        </w:rPr>
        <w:t>djust dosage based on age</w:t>
      </w:r>
      <w:r>
        <w:rPr>
          <w:rFonts w:cs="OpenSans-Regular"/>
          <w:color w:val="000000" w:themeColor="text1"/>
          <w:lang w:val="en-GB" w:eastAsia="it-IT"/>
        </w:rPr>
        <w:t>,</w:t>
      </w:r>
      <w:r w:rsidRPr="00B110C7">
        <w:rPr>
          <w:rFonts w:cs="OpenSans-Regular"/>
          <w:color w:val="000000" w:themeColor="text1"/>
          <w:lang w:val="en-GB" w:eastAsia="it-IT"/>
        </w:rPr>
        <w:t xml:space="preserve"> </w:t>
      </w:r>
      <w:r w:rsidRPr="0038112D">
        <w:rPr>
          <w:lang w:val="en-GB"/>
        </w:rPr>
        <w:t>patient tolerance</w:t>
      </w:r>
      <w:r w:rsidRPr="00B110C7">
        <w:rPr>
          <w:rFonts w:cs="OpenSans-Regular"/>
          <w:color w:val="000000" w:themeColor="text1"/>
          <w:lang w:val="en-GB" w:eastAsia="it-IT"/>
        </w:rPr>
        <w:t xml:space="preserve"> and cardiac response: Heart Rate, Blood Pressure, QT/QTc interval length, heart rhythm)</w:t>
      </w:r>
      <w:r w:rsidRPr="00B110C7">
        <w:rPr>
          <w:lang w:val="en-GB"/>
        </w:rPr>
        <w:t>.</w:t>
      </w:r>
      <w:r w:rsidRPr="00ED6E6D" w:rsidDel="00C21BD4">
        <w:rPr>
          <w:lang w:val="en-GB"/>
        </w:rPr>
        <w:t xml:space="preserve"> </w:t>
      </w:r>
      <w:r w:rsidR="00663486" w:rsidRPr="00663486">
        <w:rPr>
          <w:lang w:val="en-GB"/>
        </w:rPr>
        <w:t>Elderly (&gt;65 yrs): Initiate dosage at the lower end of the adult range.</w:t>
      </w:r>
    </w:p>
    <w:p w:rsidR="005409A1" w:rsidRDefault="005409A1" w:rsidP="005409A1">
      <w:pPr>
        <w:pStyle w:val="Akapitzlist"/>
        <w:numPr>
          <w:ilvl w:val="0"/>
          <w:numId w:val="34"/>
        </w:numPr>
        <w:jc w:val="both"/>
        <w:rPr>
          <w:lang w:val="en-GB"/>
        </w:rPr>
      </w:pPr>
      <w:r w:rsidRPr="00B110C7">
        <w:rPr>
          <w:lang w:val="en-GB"/>
        </w:rPr>
        <w:t>Therapy should continue until day 15</w:t>
      </w:r>
      <w:r>
        <w:rPr>
          <w:lang w:val="en-GB"/>
        </w:rPr>
        <w:t xml:space="preserve"> (14 full days)</w:t>
      </w:r>
      <w:r w:rsidRPr="00B110C7">
        <w:rPr>
          <w:lang w:val="en-GB"/>
        </w:rPr>
        <w:t xml:space="preserve"> or more if there is cardiovascular indication to prolong them. </w:t>
      </w:r>
      <w:r w:rsidRPr="00882912">
        <w:rPr>
          <w:lang w:val="en-GB"/>
        </w:rPr>
        <w:t>If the patient is discharged home before the 14th day of hospitalization, treatment may be terminated earlier.</w:t>
      </w:r>
    </w:p>
    <w:p w:rsidR="00FA75E0" w:rsidRDefault="00FA75E0" w:rsidP="002E4126">
      <w:pPr>
        <w:rPr>
          <w:lang w:val="en-GB"/>
        </w:rPr>
      </w:pPr>
    </w:p>
    <w:p w:rsidR="00FA75E0" w:rsidRDefault="00FA75E0" w:rsidP="002E4126">
      <w:pPr>
        <w:rPr>
          <w:lang w:val="en-GB"/>
        </w:rPr>
      </w:pPr>
    </w:p>
    <w:p w:rsidR="00FA75E0" w:rsidRDefault="00FA75E0" w:rsidP="002E4126">
      <w:pPr>
        <w:rPr>
          <w:lang w:val="en-GB"/>
        </w:rPr>
      </w:pPr>
    </w:p>
    <w:p w:rsidR="006C528C" w:rsidRDefault="006C528C" w:rsidP="002E4126">
      <w:pPr>
        <w:rPr>
          <w:lang w:val="en-GB"/>
        </w:rPr>
      </w:pPr>
    </w:p>
    <w:p w:rsidR="006C528C" w:rsidRDefault="006C528C" w:rsidP="002E4126">
      <w:pPr>
        <w:rPr>
          <w:lang w:val="en-GB"/>
        </w:rPr>
      </w:pPr>
    </w:p>
    <w:p w:rsidR="00C21BD4" w:rsidRDefault="00C21BD4" w:rsidP="002E4126">
      <w:pPr>
        <w:rPr>
          <w:lang w:val="en-GB"/>
        </w:rPr>
      </w:pPr>
    </w:p>
    <w:p w:rsidR="00B110C7" w:rsidRPr="004835A5" w:rsidRDefault="004835A5" w:rsidP="00B110C7">
      <w:pPr>
        <w:rPr>
          <w:lang w:val="en-GB"/>
        </w:rPr>
      </w:pPr>
      <w:r>
        <w:rPr>
          <w:b/>
          <w:lang w:val="en-GB"/>
        </w:rPr>
        <w:lastRenderedPageBreak/>
        <w:t xml:space="preserve">Table </w:t>
      </w:r>
      <w:r w:rsidR="00FA75E0">
        <w:rPr>
          <w:b/>
          <w:lang w:val="en-GB"/>
        </w:rPr>
        <w:t>4</w:t>
      </w:r>
      <w:r>
        <w:rPr>
          <w:b/>
          <w:lang w:val="en-GB"/>
        </w:rPr>
        <w:t xml:space="preserve">. </w:t>
      </w:r>
      <w:r>
        <w:rPr>
          <w:lang w:val="en-GB"/>
        </w:rPr>
        <w:t>Verapamil. Dose and Treatment Schedule</w:t>
      </w:r>
    </w:p>
    <w:tbl>
      <w:tblPr>
        <w:tblStyle w:val="Tabela-Siatka"/>
        <w:tblW w:w="9071" w:type="dxa"/>
        <w:tblLook w:val="04A0"/>
      </w:tblPr>
      <w:tblGrid>
        <w:gridCol w:w="1855"/>
        <w:gridCol w:w="2018"/>
        <w:gridCol w:w="1811"/>
        <w:gridCol w:w="1700"/>
        <w:gridCol w:w="1687"/>
      </w:tblGrid>
      <w:tr w:rsidR="00B110C7" w:rsidRPr="0038112D" w:rsidTr="00FA75E0">
        <w:tc>
          <w:tcPr>
            <w:tcW w:w="1855" w:type="dxa"/>
            <w:vAlign w:val="center"/>
          </w:tcPr>
          <w:p w:rsidR="00B110C7" w:rsidRPr="00A02E37" w:rsidRDefault="00B110C7" w:rsidP="000D00F3">
            <w:pPr>
              <w:jc w:val="center"/>
              <w:rPr>
                <w:rFonts w:ascii="Cambria" w:hAnsi="Cambria"/>
                <w:b/>
                <w:lang w:val="en-GB"/>
              </w:rPr>
            </w:pPr>
            <w:r w:rsidRPr="00A02E37">
              <w:rPr>
                <w:rFonts w:ascii="Cambria" w:hAnsi="Cambria"/>
                <w:b/>
                <w:lang w:val="en-GB"/>
              </w:rPr>
              <w:t>Treatment period</w:t>
            </w:r>
          </w:p>
        </w:tc>
        <w:tc>
          <w:tcPr>
            <w:tcW w:w="2018" w:type="dxa"/>
            <w:vAlign w:val="center"/>
          </w:tcPr>
          <w:p w:rsidR="00B110C7" w:rsidRPr="00A02E37" w:rsidRDefault="00B110C7" w:rsidP="000D00F3">
            <w:pPr>
              <w:jc w:val="center"/>
              <w:rPr>
                <w:rFonts w:ascii="Cambria" w:hAnsi="Cambria"/>
                <w:b/>
                <w:lang w:val="en-GB"/>
              </w:rPr>
            </w:pPr>
            <w:r w:rsidRPr="00A02E37">
              <w:rPr>
                <w:rFonts w:ascii="Cambria" w:hAnsi="Cambria"/>
                <w:b/>
                <w:lang w:val="en-GB"/>
              </w:rPr>
              <w:t>Procedure</w:t>
            </w:r>
          </w:p>
        </w:tc>
        <w:tc>
          <w:tcPr>
            <w:tcW w:w="1811" w:type="dxa"/>
            <w:vAlign w:val="center"/>
          </w:tcPr>
          <w:p w:rsidR="00B110C7" w:rsidRPr="00A02E37" w:rsidRDefault="00B110C7" w:rsidP="000D00F3">
            <w:pPr>
              <w:jc w:val="center"/>
              <w:rPr>
                <w:rFonts w:ascii="Cambria" w:hAnsi="Cambria"/>
                <w:b/>
                <w:lang w:val="en-GB"/>
              </w:rPr>
            </w:pPr>
            <w:r w:rsidRPr="00A02E37">
              <w:rPr>
                <w:rFonts w:ascii="Cambria" w:hAnsi="Cambria"/>
                <w:b/>
                <w:lang w:val="en-GB"/>
              </w:rPr>
              <w:t>Pharmaceutical form and route of administration</w:t>
            </w:r>
          </w:p>
        </w:tc>
        <w:tc>
          <w:tcPr>
            <w:tcW w:w="1700" w:type="dxa"/>
            <w:vAlign w:val="center"/>
          </w:tcPr>
          <w:p w:rsidR="00B110C7" w:rsidRPr="00A02E37" w:rsidRDefault="00B110C7" w:rsidP="000D00F3">
            <w:pPr>
              <w:jc w:val="center"/>
              <w:rPr>
                <w:rFonts w:ascii="Cambria" w:hAnsi="Cambria"/>
                <w:b/>
                <w:lang w:val="en-GB"/>
              </w:rPr>
            </w:pPr>
            <w:r w:rsidRPr="00A02E37">
              <w:rPr>
                <w:rFonts w:ascii="Cambria" w:hAnsi="Cambria"/>
                <w:b/>
                <w:lang w:val="en-GB"/>
              </w:rPr>
              <w:t>Dose of verapamil</w:t>
            </w:r>
          </w:p>
        </w:tc>
        <w:tc>
          <w:tcPr>
            <w:tcW w:w="1687" w:type="dxa"/>
            <w:vAlign w:val="center"/>
          </w:tcPr>
          <w:p w:rsidR="00B110C7" w:rsidRPr="00A02E37" w:rsidRDefault="00B110C7" w:rsidP="000D00F3">
            <w:pPr>
              <w:jc w:val="center"/>
              <w:rPr>
                <w:rFonts w:ascii="Cambria" w:hAnsi="Cambria"/>
                <w:b/>
                <w:lang w:val="en-GB"/>
              </w:rPr>
            </w:pPr>
            <w:r w:rsidRPr="00A02E37">
              <w:rPr>
                <w:rFonts w:ascii="Cambria" w:hAnsi="Cambria"/>
                <w:b/>
                <w:lang w:val="en-GB"/>
              </w:rPr>
              <w:t>Frequency or/and Regimen</w:t>
            </w:r>
          </w:p>
        </w:tc>
      </w:tr>
      <w:tr w:rsidR="00B110C7" w:rsidRPr="006C528C" w:rsidTr="00FA75E0">
        <w:tc>
          <w:tcPr>
            <w:tcW w:w="1855" w:type="dxa"/>
            <w:vAlign w:val="center"/>
          </w:tcPr>
          <w:p w:rsidR="00B110C7" w:rsidRPr="00A02E37" w:rsidRDefault="00B110C7" w:rsidP="000D00F3">
            <w:pPr>
              <w:jc w:val="center"/>
              <w:rPr>
                <w:rFonts w:ascii="Cambria" w:hAnsi="Cambria"/>
                <w:b/>
                <w:lang w:val="en-GB"/>
              </w:rPr>
            </w:pPr>
            <w:r w:rsidRPr="00A02E37">
              <w:rPr>
                <w:rFonts w:ascii="Cambria" w:hAnsi="Cambria"/>
                <w:b/>
                <w:lang w:val="en-GB"/>
              </w:rPr>
              <w:t>Day 1.</w:t>
            </w:r>
          </w:p>
          <w:p w:rsidR="00B110C7" w:rsidRPr="00A02E37" w:rsidRDefault="00B110C7" w:rsidP="000D00F3">
            <w:pPr>
              <w:jc w:val="center"/>
              <w:rPr>
                <w:rFonts w:ascii="Cambria" w:hAnsi="Cambria"/>
                <w:lang w:val="en-GB"/>
              </w:rPr>
            </w:pPr>
            <w:r w:rsidRPr="00A02E37">
              <w:rPr>
                <w:rFonts w:ascii="Cambria" w:hAnsi="Cambria"/>
                <w:b/>
                <w:lang w:val="en-GB"/>
              </w:rPr>
              <w:t>As soon as possible after randomization</w:t>
            </w:r>
            <w:r w:rsidR="00FA75E0">
              <w:rPr>
                <w:rFonts w:ascii="Cambria" w:hAnsi="Cambria"/>
                <w:b/>
                <w:lang w:val="en-GB"/>
              </w:rPr>
              <w:t xml:space="preserve"> to Day 15.</w:t>
            </w:r>
            <w:r w:rsidR="00FA75E0">
              <w:rPr>
                <w:rFonts w:ascii="Cambria" w:hAnsi="Cambria"/>
                <w:b/>
                <w:vertAlign w:val="superscript"/>
                <w:lang w:val="en-GB"/>
              </w:rPr>
              <w:t>1</w:t>
            </w:r>
          </w:p>
        </w:tc>
        <w:tc>
          <w:tcPr>
            <w:tcW w:w="2018" w:type="dxa"/>
            <w:vAlign w:val="center"/>
          </w:tcPr>
          <w:p w:rsidR="00B110C7" w:rsidRPr="00CF2405" w:rsidRDefault="00FA75E0" w:rsidP="000D00F3">
            <w:pPr>
              <w:jc w:val="center"/>
              <w:rPr>
                <w:rFonts w:ascii="Cambria" w:hAnsi="Cambria"/>
                <w:lang w:val="en-GB"/>
              </w:rPr>
            </w:pPr>
            <w:r>
              <w:rPr>
                <w:rFonts w:ascii="Cambria" w:hAnsi="Cambria"/>
                <w:lang w:val="en-GB"/>
              </w:rPr>
              <w:t>Oral administration</w:t>
            </w:r>
          </w:p>
        </w:tc>
        <w:tc>
          <w:tcPr>
            <w:tcW w:w="1811" w:type="dxa"/>
            <w:vAlign w:val="center"/>
          </w:tcPr>
          <w:p w:rsidR="00B110C7" w:rsidRPr="00CF2405" w:rsidRDefault="00FA75E0" w:rsidP="000D00F3">
            <w:pPr>
              <w:jc w:val="center"/>
              <w:rPr>
                <w:rFonts w:ascii="Cambria" w:hAnsi="Cambria"/>
                <w:lang w:val="en-GB"/>
              </w:rPr>
            </w:pPr>
            <w:r w:rsidRPr="00CF2405">
              <w:rPr>
                <w:rFonts w:ascii="Cambria" w:hAnsi="Cambria"/>
                <w:lang w:val="en-GB"/>
              </w:rPr>
              <w:t>Tablets for oral use.</w:t>
            </w:r>
          </w:p>
        </w:tc>
        <w:tc>
          <w:tcPr>
            <w:tcW w:w="1700" w:type="dxa"/>
            <w:vAlign w:val="center"/>
          </w:tcPr>
          <w:p w:rsidR="00B110C7" w:rsidRPr="00CF2405" w:rsidRDefault="00FA75E0" w:rsidP="000D00F3">
            <w:pPr>
              <w:jc w:val="center"/>
              <w:rPr>
                <w:rFonts w:ascii="Cambria" w:hAnsi="Cambria"/>
                <w:vertAlign w:val="superscript"/>
                <w:lang w:val="en-GB"/>
              </w:rPr>
            </w:pPr>
            <w:r w:rsidRPr="00CF2405">
              <w:rPr>
                <w:rFonts w:ascii="Cambria" w:hAnsi="Cambria"/>
                <w:lang w:val="en-GB"/>
              </w:rPr>
              <w:t>120-480mg</w:t>
            </w:r>
            <w:r w:rsidRPr="00CF2405">
              <w:rPr>
                <w:rFonts w:ascii="Cambria" w:hAnsi="Cambria"/>
                <w:vertAlign w:val="superscript"/>
                <w:lang w:val="en-GB"/>
              </w:rPr>
              <w:t>2</w:t>
            </w:r>
          </w:p>
        </w:tc>
        <w:tc>
          <w:tcPr>
            <w:tcW w:w="1687" w:type="dxa"/>
            <w:vAlign w:val="center"/>
          </w:tcPr>
          <w:p w:rsidR="00B110C7" w:rsidRPr="00CF2405" w:rsidRDefault="00FA75E0" w:rsidP="000D00F3">
            <w:pPr>
              <w:jc w:val="center"/>
              <w:rPr>
                <w:rFonts w:ascii="Cambria" w:hAnsi="Cambria"/>
                <w:lang w:val="en-GB"/>
              </w:rPr>
            </w:pPr>
            <w:r w:rsidRPr="00CF2405">
              <w:rPr>
                <w:rFonts w:ascii="Cambria" w:hAnsi="Cambria" w:cs="Arial"/>
                <w:shd w:val="clear" w:color="auto" w:fill="FFFFFF"/>
                <w:lang w:val="en-GB"/>
              </w:rPr>
              <w:t>administered in 3 to 4 divided doses every 6-8 hours.</w:t>
            </w:r>
            <w:r>
              <w:rPr>
                <w:rFonts w:ascii="Cambria" w:hAnsi="Cambria" w:cs="Arial"/>
                <w:shd w:val="clear" w:color="auto" w:fill="FFFFFF"/>
                <w:vertAlign w:val="superscript"/>
                <w:lang w:val="en-GB"/>
              </w:rPr>
              <w:t>3</w:t>
            </w:r>
          </w:p>
        </w:tc>
      </w:tr>
    </w:tbl>
    <w:p w:rsidR="00B110C7" w:rsidRDefault="00B110C7" w:rsidP="00B110C7">
      <w:pPr>
        <w:rPr>
          <w:vertAlign w:val="superscript"/>
          <w:lang w:val="en-GB"/>
        </w:rPr>
      </w:pPr>
    </w:p>
    <w:p w:rsidR="00663486" w:rsidRPr="00663486" w:rsidRDefault="00FA75E0" w:rsidP="00663486">
      <w:pPr>
        <w:jc w:val="both"/>
        <w:rPr>
          <w:lang w:val="en-GB"/>
        </w:rPr>
      </w:pPr>
      <w:r>
        <w:rPr>
          <w:vertAlign w:val="superscript"/>
          <w:lang w:val="en-GB"/>
        </w:rPr>
        <w:t>1</w:t>
      </w:r>
      <w:r w:rsidR="00340BF8">
        <w:rPr>
          <w:lang w:val="en-GB"/>
        </w:rPr>
        <w:t xml:space="preserve"> The treatment</w:t>
      </w:r>
      <w:r w:rsidRPr="0038112D">
        <w:rPr>
          <w:lang w:val="en-GB"/>
        </w:rPr>
        <w:t xml:space="preserve"> can be continued beyond discharge if there is cardiovascular indication to prolong them.</w:t>
      </w:r>
    </w:p>
    <w:p w:rsidR="00B110C7" w:rsidRPr="0038112D" w:rsidRDefault="00B110C7" w:rsidP="00CF2405">
      <w:pPr>
        <w:jc w:val="both"/>
        <w:rPr>
          <w:lang w:val="en-GB"/>
        </w:rPr>
      </w:pPr>
      <w:r w:rsidRPr="0038112D">
        <w:rPr>
          <w:vertAlign w:val="superscript"/>
          <w:lang w:val="en-GB"/>
        </w:rPr>
        <w:t xml:space="preserve">2 </w:t>
      </w:r>
      <w:r>
        <w:rPr>
          <w:lang w:val="en-GB"/>
        </w:rPr>
        <w:t>The IMT should be given in the maximum clinically tolerated dose. The maximum IMT dose in this trial is 480mg of verapamil per day given orally in four divided doses. C</w:t>
      </w:r>
      <w:r w:rsidRPr="00D66C79">
        <w:rPr>
          <w:lang w:val="en-GB"/>
        </w:rPr>
        <w:t xml:space="preserve">lose monitoring with adjustment of dose as needed is essential. </w:t>
      </w:r>
      <w:r w:rsidRPr="0038112D">
        <w:rPr>
          <w:lang w:val="en-GB"/>
        </w:rPr>
        <w:t xml:space="preserve">Maintenance dose should be determined according to patient tolerance as well as symptoms, cardiac response (Heart Rate, Blood Pressure, QT/QTc interval length, heart rhythm) and age. Elderly (&gt;65yrs): Initiate dosage at the lower end of the adult range. </w:t>
      </w:r>
    </w:p>
    <w:p w:rsidR="00B110C7" w:rsidRPr="0019574A" w:rsidRDefault="00FA75E0" w:rsidP="00CF2405">
      <w:pPr>
        <w:jc w:val="both"/>
        <w:rPr>
          <w:lang w:val="en-GB"/>
        </w:rPr>
      </w:pPr>
      <w:r>
        <w:rPr>
          <w:vertAlign w:val="superscript"/>
          <w:lang w:val="en-GB"/>
        </w:rPr>
        <w:t>3</w:t>
      </w:r>
      <w:r w:rsidR="00B110C7" w:rsidRPr="003E4B9C">
        <w:rPr>
          <w:lang w:val="en-US"/>
        </w:rPr>
        <w:t xml:space="preserve"> The IMT should be taken </w:t>
      </w:r>
      <w:r w:rsidR="00B110C7" w:rsidRPr="003E4B9C">
        <w:rPr>
          <w:rFonts w:cs="Arial"/>
          <w:shd w:val="clear" w:color="auto" w:fill="FFFFFF"/>
          <w:lang w:val="en-US"/>
        </w:rPr>
        <w:t>at the </w:t>
      </w:r>
      <w:r w:rsidR="00B110C7" w:rsidRPr="003E4B9C">
        <w:rPr>
          <w:rFonts w:cs="Arial"/>
          <w:bCs/>
          <w:shd w:val="clear" w:color="auto" w:fill="FFFFFF"/>
          <w:lang w:val="en-US"/>
        </w:rPr>
        <w:t>same time</w:t>
      </w:r>
      <w:r w:rsidR="00B110C7" w:rsidRPr="003E4B9C">
        <w:rPr>
          <w:rFonts w:cs="Arial"/>
          <w:shd w:val="clear" w:color="auto" w:fill="FFFFFF"/>
          <w:lang w:val="en-US"/>
        </w:rPr>
        <w:t> daily.</w:t>
      </w:r>
    </w:p>
    <w:p w:rsidR="00E952CA" w:rsidRPr="00573C3D" w:rsidRDefault="00E952CA">
      <w:pPr>
        <w:rPr>
          <w:lang w:val="en-GB"/>
        </w:rPr>
      </w:pPr>
    </w:p>
    <w:p w:rsidR="00E952CA" w:rsidRPr="00573C3D" w:rsidRDefault="00E952CA">
      <w:pPr>
        <w:rPr>
          <w:lang w:val="en-GB"/>
        </w:rPr>
      </w:pPr>
    </w:p>
    <w:p w:rsidR="00C7201E" w:rsidRPr="00395598" w:rsidRDefault="00604672" w:rsidP="00395598">
      <w:pPr>
        <w:pStyle w:val="Nagwek2"/>
        <w:rPr>
          <w:rFonts w:ascii="Cambria" w:hAnsi="Cambria"/>
          <w:b/>
          <w:color w:val="auto"/>
          <w:sz w:val="24"/>
          <w:lang w:val="en-GB"/>
        </w:rPr>
      </w:pPr>
      <w:bookmarkStart w:id="32" w:name="_Toc86608108"/>
      <w:r w:rsidRPr="00395598">
        <w:rPr>
          <w:rFonts w:ascii="Cambria" w:hAnsi="Cambria"/>
          <w:b/>
          <w:color w:val="auto"/>
          <w:sz w:val="24"/>
          <w:lang w:val="en-GB"/>
        </w:rPr>
        <w:t>5.3. Considerations for Use</w:t>
      </w:r>
      <w:bookmarkEnd w:id="32"/>
    </w:p>
    <w:p w:rsidR="00C7201E" w:rsidRPr="00573C3D" w:rsidRDefault="00C7201E">
      <w:pPr>
        <w:rPr>
          <w:lang w:val="en-GB"/>
        </w:rPr>
      </w:pPr>
    </w:p>
    <w:p w:rsidR="00630DBC" w:rsidRPr="00573C3D" w:rsidRDefault="00630DBC" w:rsidP="00CF2405">
      <w:pPr>
        <w:jc w:val="both"/>
        <w:rPr>
          <w:b/>
          <w:lang w:val="en-GB"/>
        </w:rPr>
      </w:pPr>
      <w:r w:rsidRPr="00573C3D">
        <w:rPr>
          <w:b/>
          <w:lang w:val="en-GB"/>
        </w:rPr>
        <w:t>It strongly recommended not to use antimalarial agents with amiodarone.</w:t>
      </w:r>
    </w:p>
    <w:p w:rsidR="00630DBC" w:rsidRPr="00573C3D" w:rsidRDefault="00630DBC" w:rsidP="00CF2405">
      <w:pPr>
        <w:jc w:val="both"/>
        <w:rPr>
          <w:lang w:val="en-GB"/>
        </w:rPr>
      </w:pPr>
    </w:p>
    <w:p w:rsidR="00C7201E" w:rsidRPr="00573C3D" w:rsidRDefault="00D027E4" w:rsidP="00CF2405">
      <w:pPr>
        <w:jc w:val="both"/>
        <w:rPr>
          <w:lang w:val="en-GB"/>
        </w:rPr>
      </w:pPr>
      <w:r w:rsidRPr="00573C3D">
        <w:rPr>
          <w:b/>
          <w:lang w:val="en-GB"/>
        </w:rPr>
        <w:t>T</w:t>
      </w:r>
      <w:r w:rsidR="00C7201E" w:rsidRPr="00573C3D">
        <w:rPr>
          <w:b/>
          <w:lang w:val="en-GB"/>
        </w:rPr>
        <w:t>he daily monitoring of the heart rhythm and the QT interval</w:t>
      </w:r>
      <w:r w:rsidR="00270D2C" w:rsidRPr="00573C3D">
        <w:rPr>
          <w:b/>
          <w:lang w:val="en-GB"/>
        </w:rPr>
        <w:t xml:space="preserve"> length</w:t>
      </w:r>
      <w:r w:rsidR="00DF6E21" w:rsidRPr="00573C3D">
        <w:rPr>
          <w:b/>
          <w:lang w:val="en-GB"/>
        </w:rPr>
        <w:t xml:space="preserve"> measurement</w:t>
      </w:r>
      <w:r w:rsidR="00FD2EE5" w:rsidRPr="00573C3D">
        <w:rPr>
          <w:b/>
          <w:lang w:val="en-GB"/>
        </w:rPr>
        <w:t xml:space="preserve"> in the three </w:t>
      </w:r>
      <w:r w:rsidR="00DF6E21" w:rsidRPr="00573C3D">
        <w:rPr>
          <w:b/>
          <w:lang w:val="en-GB"/>
        </w:rPr>
        <w:t xml:space="preserve">randomized </w:t>
      </w:r>
      <w:r w:rsidR="00FD2EE5" w:rsidRPr="00573C3D">
        <w:rPr>
          <w:b/>
          <w:lang w:val="en-GB"/>
        </w:rPr>
        <w:t>arms</w:t>
      </w:r>
      <w:r w:rsidR="00270D2C" w:rsidRPr="00573C3D">
        <w:rPr>
          <w:b/>
          <w:lang w:val="en-GB"/>
        </w:rPr>
        <w:t xml:space="preserve"> </w:t>
      </w:r>
      <w:r w:rsidR="009B3E80" w:rsidRPr="00573C3D">
        <w:rPr>
          <w:b/>
          <w:lang w:val="en-GB"/>
        </w:rPr>
        <w:t>is mandatory</w:t>
      </w:r>
      <w:r w:rsidR="0065780E" w:rsidRPr="00573C3D">
        <w:rPr>
          <w:lang w:val="en-GB"/>
        </w:rPr>
        <w:t>.</w:t>
      </w:r>
      <w:r w:rsidR="00F44F81" w:rsidRPr="00573C3D">
        <w:rPr>
          <w:lang w:val="en-GB"/>
        </w:rPr>
        <w:t xml:space="preserve"> If </w:t>
      </w:r>
      <w:r w:rsidR="0053366A" w:rsidRPr="00573C3D">
        <w:rPr>
          <w:lang w:val="en-GB"/>
        </w:rPr>
        <w:t xml:space="preserve">a (corrected) </w:t>
      </w:r>
      <w:r w:rsidR="00F44F81" w:rsidRPr="00573C3D">
        <w:rPr>
          <w:lang w:val="en-GB"/>
        </w:rPr>
        <w:t>QT</w:t>
      </w:r>
      <w:r w:rsidR="0053366A" w:rsidRPr="00573C3D">
        <w:rPr>
          <w:lang w:val="en-GB"/>
        </w:rPr>
        <w:t>c</w:t>
      </w:r>
      <w:r w:rsidR="00F44F81" w:rsidRPr="00573C3D">
        <w:rPr>
          <w:lang w:val="en-GB"/>
        </w:rPr>
        <w:t xml:space="preserve"> interval b</w:t>
      </w:r>
      <w:r w:rsidR="00F13508" w:rsidRPr="00573C3D">
        <w:rPr>
          <w:lang w:val="en-GB"/>
        </w:rPr>
        <w:t xml:space="preserve">ecomes prolonged &gt; </w:t>
      </w:r>
      <w:r w:rsidR="006077D6" w:rsidRPr="00573C3D">
        <w:rPr>
          <w:lang w:val="en-GB"/>
        </w:rPr>
        <w:t>500</w:t>
      </w:r>
      <w:r w:rsidR="00F13508" w:rsidRPr="00573C3D">
        <w:rPr>
          <w:lang w:val="en-GB"/>
        </w:rPr>
        <w:t xml:space="preserve"> ms in female</w:t>
      </w:r>
      <w:r w:rsidR="0080049F" w:rsidRPr="00573C3D">
        <w:rPr>
          <w:lang w:val="en-GB"/>
        </w:rPr>
        <w:t>s,</w:t>
      </w:r>
      <w:r w:rsidR="00F44F81" w:rsidRPr="00573C3D">
        <w:rPr>
          <w:lang w:val="en-GB"/>
        </w:rPr>
        <w:t xml:space="preserve"> </w:t>
      </w:r>
      <w:r w:rsidR="00C234CF" w:rsidRPr="00573C3D">
        <w:rPr>
          <w:lang w:val="en-GB"/>
        </w:rPr>
        <w:t>a</w:t>
      </w:r>
      <w:r w:rsidR="00F44F81" w:rsidRPr="00573C3D">
        <w:rPr>
          <w:lang w:val="en-GB"/>
        </w:rPr>
        <w:t xml:space="preserve"> </w:t>
      </w:r>
      <w:r w:rsidR="001E0EF2" w:rsidRPr="00573C3D">
        <w:rPr>
          <w:lang w:val="en-GB"/>
        </w:rPr>
        <w:t xml:space="preserve">reduction </w:t>
      </w:r>
      <w:r w:rsidR="00F44F81" w:rsidRPr="00573C3D">
        <w:rPr>
          <w:lang w:val="en-GB"/>
        </w:rPr>
        <w:t xml:space="preserve"> of the amiodarone dose</w:t>
      </w:r>
      <w:r w:rsidR="00C234CF" w:rsidRPr="00573C3D">
        <w:rPr>
          <w:lang w:val="en-GB"/>
        </w:rPr>
        <w:t xml:space="preserve"> is recommended</w:t>
      </w:r>
      <w:r w:rsidR="00F44F81" w:rsidRPr="00573C3D">
        <w:rPr>
          <w:lang w:val="en-GB"/>
        </w:rPr>
        <w:t xml:space="preserve">. </w:t>
      </w:r>
    </w:p>
    <w:p w:rsidR="00F32143" w:rsidRPr="00573C3D" w:rsidRDefault="00F32143" w:rsidP="00CF2405">
      <w:pPr>
        <w:jc w:val="both"/>
        <w:rPr>
          <w:lang w:val="en-GB"/>
        </w:rPr>
      </w:pPr>
      <w:r w:rsidRPr="00573C3D">
        <w:rPr>
          <w:lang w:val="en-GB"/>
        </w:rPr>
        <w:t xml:space="preserve">If the interruption </w:t>
      </w:r>
      <w:r w:rsidR="00AF732E" w:rsidRPr="00573C3D">
        <w:rPr>
          <w:lang w:val="en-GB"/>
        </w:rPr>
        <w:t xml:space="preserve">of the therapy occurs, </w:t>
      </w:r>
      <w:r w:rsidRPr="00573C3D">
        <w:rPr>
          <w:lang w:val="en-GB"/>
        </w:rPr>
        <w:t>evaluate</w:t>
      </w:r>
      <w:r w:rsidR="00AF732E" w:rsidRPr="00573C3D">
        <w:rPr>
          <w:lang w:val="en-GB"/>
        </w:rPr>
        <w:t xml:space="preserve"> drug re-challenge</w:t>
      </w:r>
      <w:r w:rsidRPr="00573C3D">
        <w:rPr>
          <w:lang w:val="en-GB"/>
        </w:rPr>
        <w:t xml:space="preserve"> with closer monitoring if clinical </w:t>
      </w:r>
      <w:r w:rsidR="00AF732E" w:rsidRPr="00573C3D">
        <w:rPr>
          <w:lang w:val="en-GB"/>
        </w:rPr>
        <w:t xml:space="preserve"> conditions </w:t>
      </w:r>
      <w:r w:rsidRPr="00573C3D">
        <w:rPr>
          <w:lang w:val="en-GB"/>
        </w:rPr>
        <w:t xml:space="preserve">and ECG  allow that. </w:t>
      </w:r>
    </w:p>
    <w:p w:rsidR="006A3215" w:rsidRPr="00573C3D" w:rsidRDefault="006A3215" w:rsidP="00CF2405">
      <w:pPr>
        <w:jc w:val="both"/>
        <w:rPr>
          <w:lang w:val="en-GB"/>
        </w:rPr>
      </w:pPr>
    </w:p>
    <w:p w:rsidR="001E0EF2" w:rsidRPr="00573C3D" w:rsidRDefault="00E62757" w:rsidP="00CF2405">
      <w:pPr>
        <w:pStyle w:val="NormalnyWeb"/>
        <w:spacing w:before="0" w:beforeAutospacing="0" w:after="0" w:afterAutospacing="0"/>
        <w:jc w:val="both"/>
        <w:rPr>
          <w:rFonts w:ascii="Cambria" w:hAnsi="Cambria"/>
          <w:lang w:val="en-GB"/>
        </w:rPr>
      </w:pPr>
      <w:r w:rsidRPr="00573C3D">
        <w:rPr>
          <w:rFonts w:ascii="Cambria" w:hAnsi="Cambria"/>
          <w:lang w:val="en-GB"/>
        </w:rPr>
        <w:t xml:space="preserve">If a marked bradycardia </w:t>
      </w:r>
      <w:r w:rsidR="0060313B" w:rsidRPr="00573C3D">
        <w:rPr>
          <w:rFonts w:ascii="Cambria" w:hAnsi="Cambria"/>
          <w:lang w:val="en-GB"/>
        </w:rPr>
        <w:t xml:space="preserve">(ventricular rate &lt;40 bpm) </w:t>
      </w:r>
      <w:r w:rsidRPr="00573C3D">
        <w:rPr>
          <w:rFonts w:ascii="Cambria" w:hAnsi="Cambria"/>
          <w:lang w:val="en-GB"/>
        </w:rPr>
        <w:t xml:space="preserve">or </w:t>
      </w:r>
      <w:r w:rsidR="0060313B" w:rsidRPr="00573C3D">
        <w:rPr>
          <w:rFonts w:ascii="Cambria" w:hAnsi="Cambria"/>
          <w:lang w:val="en-GB"/>
        </w:rPr>
        <w:t xml:space="preserve">severe </w:t>
      </w:r>
      <w:r w:rsidRPr="00573C3D">
        <w:rPr>
          <w:rFonts w:ascii="Cambria" w:hAnsi="Cambria"/>
          <w:lang w:val="en-GB"/>
        </w:rPr>
        <w:t xml:space="preserve">hypotension </w:t>
      </w:r>
      <w:r w:rsidR="0060313B" w:rsidRPr="00573C3D">
        <w:rPr>
          <w:rFonts w:ascii="Cambria" w:hAnsi="Cambria"/>
          <w:lang w:val="en-GB"/>
        </w:rPr>
        <w:t>(systolic blo</w:t>
      </w:r>
      <w:r w:rsidRPr="00573C3D">
        <w:rPr>
          <w:rFonts w:ascii="Cambria" w:hAnsi="Cambria"/>
          <w:lang w:val="en-GB"/>
        </w:rPr>
        <w:t>o</w:t>
      </w:r>
      <w:r w:rsidR="0060313B" w:rsidRPr="00573C3D">
        <w:rPr>
          <w:rFonts w:ascii="Cambria" w:hAnsi="Cambria"/>
          <w:lang w:val="en-GB"/>
        </w:rPr>
        <w:t>d pressure &lt;90 mmHg) o</w:t>
      </w:r>
      <w:r w:rsidRPr="00573C3D">
        <w:rPr>
          <w:rFonts w:ascii="Cambria" w:hAnsi="Cambria"/>
          <w:lang w:val="en-GB"/>
        </w:rPr>
        <w:t>ccur during treatment with amiodarone</w:t>
      </w:r>
      <w:r w:rsidR="004A2A38" w:rsidRPr="00573C3D">
        <w:rPr>
          <w:rFonts w:ascii="Cambria" w:hAnsi="Cambria"/>
          <w:lang w:val="en-GB"/>
        </w:rPr>
        <w:t xml:space="preserve"> or verapamil</w:t>
      </w:r>
      <w:r w:rsidRPr="00573C3D">
        <w:rPr>
          <w:rFonts w:ascii="Cambria" w:hAnsi="Cambria"/>
          <w:lang w:val="en-GB"/>
        </w:rPr>
        <w:t xml:space="preserve">, </w:t>
      </w:r>
      <w:r w:rsidR="006A3215" w:rsidRPr="00573C3D">
        <w:rPr>
          <w:rFonts w:ascii="Cambria" w:hAnsi="Cambria"/>
          <w:lang w:val="en-GB"/>
        </w:rPr>
        <w:t xml:space="preserve"> the</w:t>
      </w:r>
      <w:r w:rsidR="004A2A38" w:rsidRPr="00573C3D">
        <w:rPr>
          <w:rFonts w:ascii="Cambria" w:hAnsi="Cambria"/>
          <w:lang w:val="en-GB"/>
        </w:rPr>
        <w:t>se</w:t>
      </w:r>
      <w:r w:rsidR="006A3215" w:rsidRPr="00573C3D">
        <w:rPr>
          <w:rFonts w:ascii="Cambria" w:hAnsi="Cambria"/>
          <w:lang w:val="en-GB"/>
        </w:rPr>
        <w:t xml:space="preserve"> treatment</w:t>
      </w:r>
      <w:r w:rsidR="004A2A38" w:rsidRPr="00573C3D">
        <w:rPr>
          <w:rFonts w:ascii="Cambria" w:hAnsi="Cambria"/>
          <w:lang w:val="en-GB"/>
        </w:rPr>
        <w:t>s</w:t>
      </w:r>
      <w:r w:rsidR="006A3215" w:rsidRPr="00573C3D">
        <w:rPr>
          <w:rFonts w:ascii="Cambria" w:hAnsi="Cambria"/>
          <w:lang w:val="en-GB"/>
        </w:rPr>
        <w:t xml:space="preserve"> </w:t>
      </w:r>
      <w:r w:rsidR="004A2A38" w:rsidRPr="00573C3D">
        <w:rPr>
          <w:rFonts w:ascii="Cambria" w:hAnsi="Cambria"/>
          <w:lang w:val="en-GB"/>
        </w:rPr>
        <w:t>should be</w:t>
      </w:r>
      <w:r w:rsidR="00C12F26" w:rsidRPr="00573C3D">
        <w:rPr>
          <w:rFonts w:ascii="Cambria" w:hAnsi="Cambria"/>
          <w:lang w:val="en-GB"/>
        </w:rPr>
        <w:t xml:space="preserve"> temporarily</w:t>
      </w:r>
      <w:r w:rsidR="004A2A38" w:rsidRPr="00573C3D">
        <w:rPr>
          <w:rFonts w:ascii="Cambria" w:hAnsi="Cambria"/>
          <w:lang w:val="en-GB"/>
        </w:rPr>
        <w:t xml:space="preserve"> interrupted</w:t>
      </w:r>
      <w:r w:rsidR="00C12F26" w:rsidRPr="00573C3D">
        <w:rPr>
          <w:rFonts w:ascii="Cambria" w:hAnsi="Cambria"/>
          <w:lang w:val="en-GB"/>
        </w:rPr>
        <w:t xml:space="preserve"> and then</w:t>
      </w:r>
      <w:r w:rsidR="00AF732E" w:rsidRPr="00573C3D">
        <w:rPr>
          <w:rFonts w:ascii="Cambria" w:hAnsi="Cambria"/>
          <w:lang w:val="en-GB"/>
        </w:rPr>
        <w:t xml:space="preserve"> </w:t>
      </w:r>
      <w:r w:rsidR="00C12F26" w:rsidRPr="00573C3D">
        <w:rPr>
          <w:rFonts w:ascii="Cambria" w:hAnsi="Cambria"/>
          <w:lang w:val="en-GB"/>
        </w:rPr>
        <w:t xml:space="preserve">evaluate </w:t>
      </w:r>
      <w:r w:rsidR="004E436C" w:rsidRPr="00573C3D">
        <w:rPr>
          <w:rFonts w:ascii="Cambria" w:hAnsi="Cambria"/>
          <w:lang w:val="en-GB"/>
        </w:rPr>
        <w:t xml:space="preserve"> drug re-challenge with closer monitoring if clinical cond</w:t>
      </w:r>
      <w:r w:rsidR="00F32143" w:rsidRPr="00573C3D">
        <w:rPr>
          <w:rFonts w:ascii="Cambria" w:hAnsi="Cambria"/>
          <w:lang w:val="en-GB"/>
        </w:rPr>
        <w:t>i</w:t>
      </w:r>
      <w:r w:rsidR="004E436C" w:rsidRPr="00573C3D">
        <w:rPr>
          <w:rFonts w:ascii="Cambria" w:hAnsi="Cambria"/>
          <w:lang w:val="en-GB"/>
        </w:rPr>
        <w:t>tions allow that.</w:t>
      </w:r>
      <w:r w:rsidRPr="00573C3D">
        <w:rPr>
          <w:rFonts w:ascii="Cambria" w:hAnsi="Cambria"/>
          <w:lang w:val="en-GB"/>
        </w:rPr>
        <w:t xml:space="preserve"> </w:t>
      </w:r>
    </w:p>
    <w:p w:rsidR="00D927C2" w:rsidRPr="00573C3D" w:rsidRDefault="00D927C2" w:rsidP="001E0EF2">
      <w:pPr>
        <w:pStyle w:val="NormalnyWeb"/>
        <w:spacing w:before="0" w:beforeAutospacing="0" w:after="0" w:afterAutospacing="0"/>
        <w:rPr>
          <w:rFonts w:ascii="Cambria" w:hAnsi="Cambria"/>
          <w:lang w:val="en-GB"/>
        </w:rPr>
      </w:pPr>
    </w:p>
    <w:p w:rsidR="009F5B17" w:rsidRDefault="009F5B17" w:rsidP="009F5B17">
      <w:pPr>
        <w:pStyle w:val="Nagwek2"/>
        <w:rPr>
          <w:rFonts w:ascii="Cambria" w:hAnsi="Cambria"/>
          <w:b/>
          <w:color w:val="auto"/>
          <w:sz w:val="24"/>
          <w:szCs w:val="24"/>
          <w:lang w:val="en-GB"/>
        </w:rPr>
      </w:pPr>
      <w:bookmarkStart w:id="33" w:name="_Toc86608109"/>
      <w:r w:rsidRPr="00395598">
        <w:rPr>
          <w:rFonts w:ascii="Cambria" w:hAnsi="Cambria"/>
          <w:b/>
          <w:color w:val="auto"/>
          <w:sz w:val="24"/>
          <w:szCs w:val="24"/>
          <w:lang w:val="en-GB"/>
        </w:rPr>
        <w:t xml:space="preserve">5.4. </w:t>
      </w:r>
      <w:r>
        <w:rPr>
          <w:rFonts w:ascii="Cambria" w:hAnsi="Cambria"/>
          <w:b/>
          <w:color w:val="auto"/>
          <w:sz w:val="24"/>
          <w:szCs w:val="24"/>
          <w:lang w:val="en-GB"/>
        </w:rPr>
        <w:t>Other antiviral drugs</w:t>
      </w:r>
      <w:bookmarkEnd w:id="33"/>
    </w:p>
    <w:p w:rsidR="000C794A" w:rsidRDefault="000C794A">
      <w:pPr>
        <w:rPr>
          <w:lang w:val="en-GB"/>
        </w:rPr>
      </w:pPr>
    </w:p>
    <w:p w:rsidR="00340BF8" w:rsidRDefault="009F5B17" w:rsidP="009F5B17">
      <w:pPr>
        <w:pStyle w:val="Default"/>
        <w:jc w:val="both"/>
        <w:outlineLvl w:val="0"/>
        <w:rPr>
          <w:rFonts w:ascii="Cambria" w:hAnsi="Cambria" w:cs="Times New Roman"/>
          <w:lang w:val="en-GB"/>
        </w:rPr>
      </w:pPr>
      <w:bookmarkStart w:id="34" w:name="_Toc54897290"/>
      <w:bookmarkStart w:id="35" w:name="_Toc86608110"/>
      <w:bookmarkStart w:id="36" w:name="_Toc40961974"/>
      <w:r w:rsidRPr="00DE2716">
        <w:rPr>
          <w:rFonts w:ascii="Cambria" w:hAnsi="Cambria" w:cs="Times New Roman"/>
          <w:lang w:val="en-GB"/>
        </w:rPr>
        <w:t xml:space="preserve">During the study, it is not recommended to use other drugs with </w:t>
      </w:r>
      <w:r w:rsidR="005E3AE7">
        <w:rPr>
          <w:rFonts w:ascii="Cambria" w:hAnsi="Cambria" w:cs="Times New Roman"/>
          <w:lang w:val="en-GB"/>
        </w:rPr>
        <w:t>supposed and not scientifically documented</w:t>
      </w:r>
      <w:r w:rsidRPr="00DE2716">
        <w:rPr>
          <w:rFonts w:ascii="Cambria" w:hAnsi="Cambria" w:cs="Times New Roman"/>
          <w:lang w:val="en-GB"/>
        </w:rPr>
        <w:t xml:space="preserve"> antiviral activity</w:t>
      </w:r>
      <w:r>
        <w:rPr>
          <w:rFonts w:ascii="Cambria" w:hAnsi="Cambria" w:cs="Times New Roman"/>
          <w:lang w:val="en-GB"/>
        </w:rPr>
        <w:t xml:space="preserve">, </w:t>
      </w:r>
      <w:r w:rsidRPr="00DE2716">
        <w:rPr>
          <w:rFonts w:ascii="Cambria" w:hAnsi="Cambria" w:cs="Times New Roman"/>
          <w:lang w:val="en-GB"/>
        </w:rPr>
        <w:t xml:space="preserve">especially </w:t>
      </w:r>
      <w:r>
        <w:rPr>
          <w:rFonts w:ascii="Cambria" w:hAnsi="Cambria" w:cs="Times New Roman"/>
          <w:lang w:val="en-GB"/>
        </w:rPr>
        <w:t>drugs</w:t>
      </w:r>
      <w:r w:rsidRPr="00DE2716">
        <w:rPr>
          <w:rFonts w:ascii="Cambria" w:hAnsi="Cambria" w:cs="Times New Roman"/>
          <w:lang w:val="en-GB"/>
        </w:rPr>
        <w:t xml:space="preserve"> not approved for use in </w:t>
      </w:r>
      <w:r>
        <w:rPr>
          <w:rFonts w:ascii="Cambria" w:hAnsi="Cambria" w:cs="Times New Roman"/>
          <w:lang w:val="en-GB"/>
        </w:rPr>
        <w:t xml:space="preserve">COVID-19. </w:t>
      </w:r>
      <w:r w:rsidR="00340BF8">
        <w:rPr>
          <w:rFonts w:ascii="Cambria" w:hAnsi="Cambria" w:cs="Times New Roman"/>
          <w:lang w:val="en-GB"/>
        </w:rPr>
        <w:t>However, it is possible to use these</w:t>
      </w:r>
      <w:r w:rsidR="00340BF8" w:rsidRPr="00340BF8">
        <w:rPr>
          <w:rFonts w:ascii="Cambria" w:hAnsi="Cambria" w:cs="Times New Roman"/>
          <w:lang w:val="en-GB"/>
        </w:rPr>
        <w:t xml:space="preserve"> drugs if recommended by local guidelines</w:t>
      </w:r>
      <w:r w:rsidR="00340BF8">
        <w:rPr>
          <w:rFonts w:ascii="Cambria" w:hAnsi="Cambria" w:cs="Times New Roman"/>
          <w:lang w:val="en-GB"/>
        </w:rPr>
        <w:t>.</w:t>
      </w:r>
      <w:bookmarkEnd w:id="34"/>
      <w:bookmarkEnd w:id="35"/>
    </w:p>
    <w:p w:rsidR="00141BED" w:rsidRDefault="00340BF8" w:rsidP="001E0EF2">
      <w:pPr>
        <w:pStyle w:val="NormalnyWeb"/>
        <w:spacing w:before="0" w:beforeAutospacing="0" w:after="0" w:afterAutospacing="0"/>
        <w:rPr>
          <w:rFonts w:ascii="Cambria" w:eastAsiaTheme="majorEastAsia" w:hAnsi="Cambria" w:cstheme="majorBidi"/>
          <w:b/>
          <w:lang w:val="en-GB" w:eastAsia="pl-PL"/>
        </w:rPr>
      </w:pPr>
      <w:r>
        <w:rPr>
          <w:rFonts w:ascii="Cambria" w:hAnsi="Cambria"/>
          <w:lang w:val="en-GB"/>
        </w:rPr>
        <w:t xml:space="preserve">Name of active ingredients </w:t>
      </w:r>
      <w:r w:rsidRPr="00340BF8">
        <w:rPr>
          <w:rFonts w:ascii="Cambria" w:hAnsi="Cambria"/>
          <w:lang w:val="en-GB"/>
        </w:rPr>
        <w:t>and drug doses must be recorded in the eCRF</w:t>
      </w:r>
      <w:r>
        <w:rPr>
          <w:rFonts w:ascii="Cambria" w:hAnsi="Cambria"/>
          <w:lang w:val="en-GB"/>
        </w:rPr>
        <w:t>.</w:t>
      </w:r>
      <w:bookmarkEnd w:id="36"/>
    </w:p>
    <w:p w:rsidR="001366CC" w:rsidRDefault="001366CC" w:rsidP="001E0EF2">
      <w:pPr>
        <w:pStyle w:val="NormalnyWeb"/>
        <w:spacing w:before="0" w:beforeAutospacing="0" w:after="0" w:afterAutospacing="0"/>
        <w:rPr>
          <w:rFonts w:ascii="Cambria" w:hAnsi="Cambria"/>
          <w:lang w:val="en-GB"/>
        </w:rPr>
      </w:pPr>
    </w:p>
    <w:p w:rsidR="00D870E8" w:rsidRDefault="00D870E8" w:rsidP="001E0EF2">
      <w:pPr>
        <w:pStyle w:val="NormalnyWeb"/>
        <w:spacing w:before="0" w:beforeAutospacing="0" w:after="0" w:afterAutospacing="0"/>
        <w:rPr>
          <w:rFonts w:ascii="Cambria" w:hAnsi="Cambria"/>
          <w:lang w:val="en-GB"/>
        </w:rPr>
      </w:pPr>
    </w:p>
    <w:p w:rsidR="00D870E8" w:rsidRDefault="00D870E8" w:rsidP="001E0EF2">
      <w:pPr>
        <w:pStyle w:val="NormalnyWeb"/>
        <w:spacing w:before="0" w:beforeAutospacing="0" w:after="0" w:afterAutospacing="0"/>
        <w:rPr>
          <w:rFonts w:ascii="Cambria" w:hAnsi="Cambria"/>
          <w:lang w:val="en-GB"/>
        </w:rPr>
      </w:pPr>
    </w:p>
    <w:p w:rsidR="00D870E8" w:rsidRDefault="00D870E8" w:rsidP="001E0EF2">
      <w:pPr>
        <w:pStyle w:val="NormalnyWeb"/>
        <w:spacing w:before="0" w:beforeAutospacing="0" w:after="0" w:afterAutospacing="0"/>
        <w:rPr>
          <w:rFonts w:ascii="Cambria" w:hAnsi="Cambria"/>
          <w:lang w:val="en-GB"/>
        </w:rPr>
      </w:pPr>
    </w:p>
    <w:p w:rsidR="00D870E8" w:rsidRDefault="00D870E8" w:rsidP="001E0EF2">
      <w:pPr>
        <w:pStyle w:val="NormalnyWeb"/>
        <w:spacing w:before="0" w:beforeAutospacing="0" w:after="0" w:afterAutospacing="0"/>
        <w:rPr>
          <w:rFonts w:ascii="Cambria" w:hAnsi="Cambria"/>
          <w:lang w:val="en-GB"/>
        </w:rPr>
      </w:pPr>
    </w:p>
    <w:p w:rsidR="006C528C" w:rsidRDefault="006C528C" w:rsidP="001E0EF2">
      <w:pPr>
        <w:pStyle w:val="NormalnyWeb"/>
        <w:spacing w:before="0" w:beforeAutospacing="0" w:after="0" w:afterAutospacing="0"/>
        <w:rPr>
          <w:rFonts w:ascii="Cambria" w:hAnsi="Cambria"/>
          <w:lang w:val="en-GB"/>
        </w:rPr>
      </w:pPr>
    </w:p>
    <w:p w:rsidR="00D870E8" w:rsidRPr="00573C3D" w:rsidRDefault="00D870E8" w:rsidP="001E0EF2">
      <w:pPr>
        <w:pStyle w:val="NormalnyWeb"/>
        <w:spacing w:before="0" w:beforeAutospacing="0" w:after="0" w:afterAutospacing="0"/>
        <w:rPr>
          <w:rFonts w:ascii="Cambria" w:hAnsi="Cambria"/>
          <w:lang w:val="en-GB"/>
        </w:rPr>
      </w:pPr>
    </w:p>
    <w:p w:rsidR="001E0EF2" w:rsidRPr="00395598" w:rsidRDefault="00C265F0" w:rsidP="00395598">
      <w:pPr>
        <w:pStyle w:val="Nagwek2"/>
        <w:rPr>
          <w:rFonts w:ascii="Cambria" w:hAnsi="Cambria"/>
          <w:b/>
          <w:color w:val="auto"/>
          <w:sz w:val="24"/>
          <w:szCs w:val="24"/>
          <w:lang w:val="en-GB"/>
        </w:rPr>
      </w:pPr>
      <w:bookmarkStart w:id="37" w:name="_Toc86608111"/>
      <w:r w:rsidRPr="00395598">
        <w:rPr>
          <w:rFonts w:ascii="Cambria" w:hAnsi="Cambria"/>
          <w:b/>
          <w:color w:val="auto"/>
          <w:sz w:val="24"/>
          <w:szCs w:val="24"/>
          <w:lang w:val="en-GB"/>
        </w:rPr>
        <w:lastRenderedPageBreak/>
        <w:t>5</w:t>
      </w:r>
      <w:r w:rsidR="00CB0859" w:rsidRPr="00395598">
        <w:rPr>
          <w:rFonts w:ascii="Cambria" w:hAnsi="Cambria"/>
          <w:b/>
          <w:color w:val="auto"/>
          <w:sz w:val="24"/>
          <w:szCs w:val="24"/>
          <w:lang w:val="en-GB"/>
        </w:rPr>
        <w:t>.</w:t>
      </w:r>
      <w:r w:rsidR="009F5B17">
        <w:rPr>
          <w:rFonts w:ascii="Cambria" w:hAnsi="Cambria"/>
          <w:b/>
          <w:color w:val="auto"/>
          <w:sz w:val="24"/>
          <w:szCs w:val="24"/>
          <w:lang w:val="en-GB"/>
        </w:rPr>
        <w:t>5</w:t>
      </w:r>
      <w:r w:rsidR="00CB0859" w:rsidRPr="00395598">
        <w:rPr>
          <w:rFonts w:ascii="Cambria" w:hAnsi="Cambria"/>
          <w:b/>
          <w:color w:val="auto"/>
          <w:sz w:val="24"/>
          <w:szCs w:val="24"/>
          <w:lang w:val="en-GB"/>
        </w:rPr>
        <w:t>.</w:t>
      </w:r>
      <w:r w:rsidR="00E952CA" w:rsidRPr="00395598">
        <w:rPr>
          <w:rFonts w:ascii="Cambria" w:hAnsi="Cambria"/>
          <w:b/>
          <w:color w:val="auto"/>
          <w:sz w:val="24"/>
          <w:szCs w:val="24"/>
          <w:lang w:val="en-GB"/>
        </w:rPr>
        <w:t xml:space="preserve"> </w:t>
      </w:r>
      <w:r w:rsidR="001E0EF2" w:rsidRPr="00395598">
        <w:rPr>
          <w:rFonts w:ascii="Cambria" w:hAnsi="Cambria"/>
          <w:b/>
          <w:color w:val="auto"/>
          <w:sz w:val="24"/>
          <w:szCs w:val="24"/>
          <w:lang w:val="en-GB"/>
        </w:rPr>
        <w:t>Drug Interactions</w:t>
      </w:r>
      <w:bookmarkEnd w:id="37"/>
      <w:r w:rsidR="001E0EF2" w:rsidRPr="00395598">
        <w:rPr>
          <w:rFonts w:ascii="Cambria" w:hAnsi="Cambria"/>
          <w:b/>
          <w:color w:val="auto"/>
          <w:sz w:val="24"/>
          <w:szCs w:val="24"/>
          <w:lang w:val="en-GB"/>
        </w:rPr>
        <w:t xml:space="preserve"> </w:t>
      </w:r>
    </w:p>
    <w:p w:rsidR="001E0EF2" w:rsidRPr="00573C3D" w:rsidRDefault="001E0EF2" w:rsidP="001E0EF2">
      <w:pPr>
        <w:pStyle w:val="NormalnyWeb"/>
        <w:spacing w:before="0" w:beforeAutospacing="0" w:after="0" w:afterAutospacing="0"/>
        <w:rPr>
          <w:rFonts w:ascii="Cambria" w:hAnsi="Cambria"/>
          <w:b/>
          <w:bCs/>
          <w:lang w:val="en-GB"/>
        </w:rPr>
      </w:pPr>
    </w:p>
    <w:p w:rsidR="001E0EF2" w:rsidRPr="00573C3D" w:rsidRDefault="001E0EF2" w:rsidP="00CB0859">
      <w:pPr>
        <w:pStyle w:val="NormalnyWeb"/>
        <w:numPr>
          <w:ilvl w:val="0"/>
          <w:numId w:val="18"/>
        </w:numPr>
        <w:spacing w:before="0" w:beforeAutospacing="0" w:after="0" w:afterAutospacing="0"/>
        <w:rPr>
          <w:rFonts w:ascii="Cambria" w:hAnsi="Cambria"/>
          <w:b/>
          <w:bCs/>
          <w:lang w:val="en-GB"/>
        </w:rPr>
      </w:pPr>
      <w:r w:rsidRPr="00573C3D">
        <w:rPr>
          <w:rFonts w:ascii="Cambria" w:hAnsi="Cambria"/>
          <w:b/>
          <w:bCs/>
          <w:lang w:val="en-GB"/>
        </w:rPr>
        <w:t>Amiodarone</w:t>
      </w:r>
    </w:p>
    <w:p w:rsidR="00141BED" w:rsidRPr="00573C3D" w:rsidRDefault="00141BED" w:rsidP="00141BED">
      <w:pPr>
        <w:pStyle w:val="NormalnyWeb"/>
        <w:spacing w:before="0" w:beforeAutospacing="0" w:after="0" w:afterAutospacing="0"/>
        <w:ind w:left="360"/>
        <w:rPr>
          <w:rFonts w:ascii="Cambria" w:hAnsi="Cambria"/>
          <w:b/>
          <w:bCs/>
          <w:lang w:val="en-GB"/>
        </w:rPr>
      </w:pPr>
    </w:p>
    <w:p w:rsidR="001E0EF2" w:rsidRPr="00573C3D" w:rsidRDefault="001E0EF2" w:rsidP="001E0EF2">
      <w:pPr>
        <w:pStyle w:val="NormalnyWeb"/>
        <w:numPr>
          <w:ilvl w:val="0"/>
          <w:numId w:val="8"/>
        </w:numPr>
        <w:spacing w:before="0" w:beforeAutospacing="0" w:after="0" w:afterAutospacing="0"/>
        <w:jc w:val="both"/>
        <w:rPr>
          <w:rFonts w:ascii="Cambria" w:eastAsia="MS Mincho" w:hAnsi="Cambria"/>
          <w:lang w:val="en-GB" w:eastAsia="pl-PL"/>
        </w:rPr>
      </w:pPr>
      <w:r w:rsidRPr="00573C3D">
        <w:rPr>
          <w:rFonts w:ascii="Cambria" w:eastAsia="MS Mincho" w:hAnsi="Cambria"/>
          <w:lang w:val="en-GB" w:eastAsia="pl-PL"/>
        </w:rPr>
        <w:t>QT Prolonging Drugs (Class I and III antiarrhythmics, Fluoroquinolones, Macrolide antibiotics, Azole antifungals, Anti-malarial drugs): This drugs increase risk of Torsade de Pointes. Monitor QT interval.</w:t>
      </w:r>
    </w:p>
    <w:p w:rsidR="001E0EF2" w:rsidRPr="00573C3D" w:rsidRDefault="001E0EF2" w:rsidP="001E0EF2">
      <w:pPr>
        <w:pStyle w:val="NormalnyWeb"/>
        <w:numPr>
          <w:ilvl w:val="0"/>
          <w:numId w:val="8"/>
        </w:numPr>
        <w:spacing w:before="0" w:beforeAutospacing="0" w:after="0" w:afterAutospacing="0"/>
        <w:jc w:val="both"/>
        <w:rPr>
          <w:rFonts w:ascii="Cambria" w:eastAsia="MS Mincho" w:hAnsi="Cambria"/>
          <w:lang w:val="en-GB" w:eastAsia="pl-PL"/>
        </w:rPr>
      </w:pPr>
      <w:r w:rsidRPr="00573C3D">
        <w:rPr>
          <w:rFonts w:ascii="Cambria" w:eastAsia="MS Mincho" w:hAnsi="Cambria"/>
          <w:lang w:val="en-GB" w:eastAsia="pl-PL"/>
        </w:rPr>
        <w:t xml:space="preserve">Protease-inhibitors (Ritonavir, Lopinavir): Protease inhibitors inhibit CYP3A4 to varying degrees and this leads to an increase in amiodarone concentrations. There was no evidence of toxicity. </w:t>
      </w:r>
    </w:p>
    <w:p w:rsidR="001E0EF2" w:rsidRPr="00573C3D" w:rsidRDefault="001E0EF2" w:rsidP="001E0EF2">
      <w:pPr>
        <w:pStyle w:val="NormalnyWeb"/>
        <w:numPr>
          <w:ilvl w:val="0"/>
          <w:numId w:val="8"/>
        </w:numPr>
        <w:spacing w:before="0" w:beforeAutospacing="0" w:after="0" w:afterAutospacing="0"/>
        <w:jc w:val="both"/>
        <w:rPr>
          <w:rFonts w:ascii="Cambria" w:eastAsia="MS Mincho" w:hAnsi="Cambria"/>
          <w:lang w:val="en-GB" w:eastAsia="pl-PL"/>
        </w:rPr>
      </w:pPr>
      <w:r w:rsidRPr="00573C3D">
        <w:rPr>
          <w:rFonts w:ascii="Cambria" w:eastAsia="MS Mincho" w:hAnsi="Cambria"/>
          <w:lang w:val="en-GB" w:eastAsia="pl-PL"/>
        </w:rPr>
        <w:t xml:space="preserve">Negative </w:t>
      </w:r>
      <w:proofErr w:type="spellStart"/>
      <w:r w:rsidRPr="00573C3D">
        <w:rPr>
          <w:rFonts w:ascii="Cambria" w:eastAsia="MS Mincho" w:hAnsi="Cambria"/>
          <w:lang w:val="en-GB" w:eastAsia="pl-PL"/>
        </w:rPr>
        <w:t>Chronotropes</w:t>
      </w:r>
      <w:proofErr w:type="spellEnd"/>
      <w:r w:rsidRPr="00573C3D">
        <w:rPr>
          <w:rFonts w:ascii="Cambria" w:eastAsia="MS Mincho" w:hAnsi="Cambria"/>
          <w:lang w:val="en-GB" w:eastAsia="pl-PL"/>
        </w:rPr>
        <w:t xml:space="preserve"> (</w:t>
      </w:r>
      <w:proofErr w:type="spellStart"/>
      <w:r w:rsidRPr="00573C3D">
        <w:rPr>
          <w:rFonts w:ascii="Cambria" w:eastAsia="MS Mincho" w:hAnsi="Cambria"/>
          <w:lang w:val="en-GB" w:eastAsia="pl-PL"/>
        </w:rPr>
        <w:t>Digoxin</w:t>
      </w:r>
      <w:proofErr w:type="spellEnd"/>
      <w:r w:rsidRPr="00573C3D">
        <w:rPr>
          <w:rFonts w:ascii="Cambria" w:eastAsia="MS Mincho" w:hAnsi="Cambria"/>
          <w:lang w:val="en-GB" w:eastAsia="pl-PL"/>
        </w:rPr>
        <w:t xml:space="preserve">, Beta-blockers, </w:t>
      </w:r>
      <w:proofErr w:type="spellStart"/>
      <w:r w:rsidRPr="00573C3D">
        <w:rPr>
          <w:rFonts w:ascii="Cambria" w:eastAsia="MS Mincho" w:hAnsi="Cambria"/>
          <w:lang w:val="en-GB" w:eastAsia="pl-PL"/>
        </w:rPr>
        <w:t>Verapamil</w:t>
      </w:r>
      <w:proofErr w:type="spellEnd"/>
      <w:r w:rsidRPr="00573C3D">
        <w:rPr>
          <w:rFonts w:ascii="Cambria" w:eastAsia="MS Mincho" w:hAnsi="Cambria"/>
          <w:lang w:val="en-GB" w:eastAsia="pl-PL"/>
        </w:rPr>
        <w:t>, Diltiazem, Clonidine, Ivabradine): This drugs can potentiate the electrophysiologic and hemodynamic effects of Amiodarone, resulting in bradycardia, sinus arrest, and AV block. Monitor heart rate.</w:t>
      </w:r>
    </w:p>
    <w:p w:rsidR="006C5356" w:rsidRPr="00573C3D" w:rsidRDefault="006C5356" w:rsidP="001E0EF2">
      <w:pPr>
        <w:rPr>
          <w:b/>
          <w:lang w:val="en-GB"/>
        </w:rPr>
      </w:pPr>
    </w:p>
    <w:p w:rsidR="001E0EF2" w:rsidRPr="00573C3D" w:rsidRDefault="001E0EF2" w:rsidP="00CB0859">
      <w:pPr>
        <w:pStyle w:val="Akapitzlist"/>
        <w:numPr>
          <w:ilvl w:val="0"/>
          <w:numId w:val="18"/>
        </w:numPr>
        <w:rPr>
          <w:b/>
          <w:lang w:val="en-GB"/>
        </w:rPr>
      </w:pPr>
      <w:r w:rsidRPr="00573C3D">
        <w:rPr>
          <w:b/>
          <w:lang w:val="en-GB"/>
        </w:rPr>
        <w:t>Verapamil</w:t>
      </w:r>
    </w:p>
    <w:p w:rsidR="00141BED" w:rsidRPr="00573C3D" w:rsidRDefault="00141BED" w:rsidP="00141BED">
      <w:pPr>
        <w:pStyle w:val="Akapitzlist"/>
        <w:ind w:left="360"/>
        <w:rPr>
          <w:b/>
          <w:lang w:val="en-GB"/>
        </w:rPr>
      </w:pPr>
    </w:p>
    <w:p w:rsidR="001E0EF2" w:rsidRPr="00573C3D" w:rsidRDefault="001E0EF2" w:rsidP="001E0EF2">
      <w:pPr>
        <w:pStyle w:val="NormalnyWeb"/>
        <w:numPr>
          <w:ilvl w:val="0"/>
          <w:numId w:val="8"/>
        </w:numPr>
        <w:spacing w:before="0" w:beforeAutospacing="0" w:after="0" w:afterAutospacing="0"/>
        <w:jc w:val="both"/>
        <w:rPr>
          <w:rFonts w:ascii="Cambria" w:eastAsia="MS Mincho" w:hAnsi="Cambria"/>
          <w:lang w:val="en-GB" w:eastAsia="pl-PL"/>
        </w:rPr>
      </w:pPr>
      <w:r w:rsidRPr="00573C3D">
        <w:rPr>
          <w:rFonts w:ascii="Cambria" w:eastAsia="MS Mincho" w:hAnsi="Cambria"/>
          <w:lang w:val="en-GB" w:eastAsia="pl-PL"/>
        </w:rPr>
        <w:t>Protease-inhibitors (ritonavir/lopinavir): co-administration of verapamil with ritonavir may result in elevated plasma concentrations of both drugs. Ritonavir can prolong the PR interval in some patients; however, the impact on the PR interval of coadministration of ritonavir with other drugs that prolong the PR interval (including calcium channel blockers) has not been evaluated. If coadministration of these drugs is warranted, do so with caution and careful monitoring. Decreased calcium-channel blocker doses may be warranted. Monitor PR interval.</w:t>
      </w:r>
    </w:p>
    <w:p w:rsidR="001E0EF2" w:rsidRPr="00573C3D" w:rsidRDefault="001E0EF2" w:rsidP="001E0EF2">
      <w:pPr>
        <w:pStyle w:val="NormalnyWeb"/>
        <w:numPr>
          <w:ilvl w:val="0"/>
          <w:numId w:val="8"/>
        </w:numPr>
        <w:spacing w:before="0" w:beforeAutospacing="0" w:after="0" w:afterAutospacing="0"/>
        <w:jc w:val="both"/>
        <w:rPr>
          <w:rFonts w:ascii="Cambria" w:eastAsia="MS Mincho" w:hAnsi="Cambria"/>
          <w:lang w:val="en-GB" w:eastAsia="pl-PL"/>
        </w:rPr>
      </w:pPr>
      <w:r w:rsidRPr="00573C3D">
        <w:rPr>
          <w:rFonts w:ascii="Cambria" w:eastAsia="MS Mincho" w:hAnsi="Cambria"/>
          <w:lang w:val="en-GB" w:eastAsia="pl-PL"/>
        </w:rPr>
        <w:t>Beta-Blockers: co-administration of Beta-blockers and verapamil can lead to significant AV nodal blockade. This can manifest as heart block, bradycardia, cardiac conduction abnormalities and/or prolonged PR interval. Congestive heart failure or severe hypotension also can occur. The combination of beta-blockers and verapamil should be avoided in patients with poor ventricular function due to increased negative inotropic effects. Monito</w:t>
      </w:r>
      <w:r w:rsidR="00494B31" w:rsidRPr="00573C3D">
        <w:rPr>
          <w:rFonts w:ascii="Cambria" w:eastAsia="MS Mincho" w:hAnsi="Cambria"/>
          <w:lang w:val="en-GB" w:eastAsia="pl-PL"/>
        </w:rPr>
        <w:t>r</w:t>
      </w:r>
      <w:r w:rsidRPr="00573C3D">
        <w:rPr>
          <w:rFonts w:ascii="Cambria" w:eastAsia="MS Mincho" w:hAnsi="Cambria"/>
          <w:lang w:val="en-GB" w:eastAsia="pl-PL"/>
        </w:rPr>
        <w:t xml:space="preserve"> heart rate and PR interval.</w:t>
      </w:r>
    </w:p>
    <w:p w:rsidR="00663486" w:rsidRPr="00663486" w:rsidRDefault="001E0EF2" w:rsidP="00663486">
      <w:pPr>
        <w:pStyle w:val="NormalnyWeb"/>
        <w:numPr>
          <w:ilvl w:val="0"/>
          <w:numId w:val="8"/>
        </w:numPr>
        <w:spacing w:before="0" w:beforeAutospacing="0" w:after="0" w:afterAutospacing="0"/>
        <w:jc w:val="both"/>
        <w:rPr>
          <w:b/>
          <w:lang w:val="en-GB"/>
        </w:rPr>
      </w:pPr>
      <w:r w:rsidRPr="00573C3D">
        <w:rPr>
          <w:rFonts w:ascii="Cambria" w:eastAsia="MS Mincho" w:hAnsi="Cambria"/>
          <w:lang w:val="en-GB" w:eastAsia="pl-PL"/>
        </w:rPr>
        <w:t>Antihypertensive agents (</w:t>
      </w:r>
      <w:proofErr w:type="spellStart"/>
      <w:r w:rsidRPr="00573C3D">
        <w:rPr>
          <w:rFonts w:ascii="Cambria" w:eastAsia="MS Mincho" w:hAnsi="Cambria"/>
          <w:lang w:val="en-GB" w:eastAsia="pl-PL"/>
        </w:rPr>
        <w:t>eg</w:t>
      </w:r>
      <w:proofErr w:type="spellEnd"/>
      <w:r w:rsidRPr="00573C3D">
        <w:rPr>
          <w:rFonts w:ascii="Cambria" w:eastAsia="MS Mincho" w:hAnsi="Cambria"/>
          <w:lang w:val="en-GB" w:eastAsia="pl-PL"/>
        </w:rPr>
        <w:t xml:space="preserve">, vasodilators, </w:t>
      </w:r>
      <w:proofErr w:type="spellStart"/>
      <w:r w:rsidRPr="00573C3D">
        <w:rPr>
          <w:rFonts w:ascii="Cambria" w:eastAsia="MS Mincho" w:hAnsi="Cambria"/>
          <w:lang w:val="en-GB" w:eastAsia="pl-PL"/>
        </w:rPr>
        <w:t>angiotensin</w:t>
      </w:r>
      <w:proofErr w:type="spellEnd"/>
      <w:r w:rsidRPr="00573C3D">
        <w:rPr>
          <w:rFonts w:ascii="Cambria" w:eastAsia="MS Mincho" w:hAnsi="Cambria"/>
          <w:lang w:val="en-GB" w:eastAsia="pl-PL"/>
        </w:rPr>
        <w:t xml:space="preserve">-converting enzyme inhibitors, diuretics, beta-blockers): Verapamil administered concomitantly with oral antihypertensive agents can lead to an excessive reduction in blood pressure. Patients receiving these combinations should be appropriately monitored. </w:t>
      </w:r>
    </w:p>
    <w:p w:rsidR="004835A5" w:rsidRPr="00573C3D" w:rsidRDefault="004835A5" w:rsidP="00377D61">
      <w:pPr>
        <w:jc w:val="both"/>
        <w:outlineLvl w:val="0"/>
        <w:rPr>
          <w:b/>
          <w:lang w:val="en-GB"/>
        </w:rPr>
      </w:pPr>
    </w:p>
    <w:p w:rsidR="00F15D65" w:rsidRPr="00395598" w:rsidRDefault="00141BED" w:rsidP="00395598">
      <w:pPr>
        <w:pStyle w:val="Nagwek2"/>
        <w:rPr>
          <w:rFonts w:ascii="Cambria" w:hAnsi="Cambria"/>
          <w:b/>
          <w:color w:val="auto"/>
          <w:sz w:val="24"/>
          <w:lang w:val="en-GB"/>
        </w:rPr>
      </w:pPr>
      <w:bookmarkStart w:id="38" w:name="_Toc38208555"/>
      <w:bookmarkStart w:id="39" w:name="_Toc86608112"/>
      <w:r w:rsidRPr="00395598">
        <w:rPr>
          <w:rFonts w:ascii="Cambria" w:hAnsi="Cambria"/>
          <w:b/>
          <w:color w:val="auto"/>
          <w:sz w:val="24"/>
          <w:lang w:val="en-GB"/>
        </w:rPr>
        <w:t>5</w:t>
      </w:r>
      <w:r w:rsidR="00D927C2" w:rsidRPr="00395598">
        <w:rPr>
          <w:rFonts w:ascii="Cambria" w:hAnsi="Cambria"/>
          <w:b/>
          <w:color w:val="auto"/>
          <w:sz w:val="24"/>
          <w:lang w:val="en-GB"/>
        </w:rPr>
        <w:t>.</w:t>
      </w:r>
      <w:r w:rsidR="001366CC">
        <w:rPr>
          <w:rFonts w:ascii="Cambria" w:hAnsi="Cambria"/>
          <w:b/>
          <w:color w:val="auto"/>
          <w:sz w:val="24"/>
          <w:lang w:val="en-GB"/>
        </w:rPr>
        <w:t>6</w:t>
      </w:r>
      <w:r w:rsidR="00CB0859" w:rsidRPr="00395598">
        <w:rPr>
          <w:rFonts w:ascii="Cambria" w:hAnsi="Cambria"/>
          <w:b/>
          <w:color w:val="auto"/>
          <w:sz w:val="24"/>
          <w:lang w:val="en-GB"/>
        </w:rPr>
        <w:t>.</w:t>
      </w:r>
      <w:r w:rsidR="00676923" w:rsidRPr="00395598">
        <w:rPr>
          <w:rFonts w:ascii="Cambria" w:hAnsi="Cambria"/>
          <w:b/>
          <w:color w:val="auto"/>
          <w:sz w:val="24"/>
          <w:lang w:val="en-GB"/>
        </w:rPr>
        <w:t xml:space="preserve"> </w:t>
      </w:r>
      <w:r w:rsidR="00512737" w:rsidRPr="00395598">
        <w:rPr>
          <w:rFonts w:ascii="Cambria" w:hAnsi="Cambria"/>
          <w:b/>
          <w:color w:val="auto"/>
          <w:sz w:val="24"/>
          <w:lang w:val="en-GB"/>
        </w:rPr>
        <w:t>QT monitoring</w:t>
      </w:r>
      <w:bookmarkEnd w:id="38"/>
      <w:bookmarkEnd w:id="39"/>
    </w:p>
    <w:p w:rsidR="00F15D65" w:rsidRPr="00573C3D" w:rsidRDefault="00F15D65" w:rsidP="00CF2405">
      <w:pPr>
        <w:jc w:val="both"/>
        <w:rPr>
          <w:b/>
          <w:lang w:val="en-GB"/>
        </w:rPr>
      </w:pPr>
      <w:r w:rsidRPr="00573C3D">
        <w:rPr>
          <w:lang w:val="en-GB"/>
        </w:rPr>
        <w:t xml:space="preserve">Drug-induced QT prolongation </w:t>
      </w:r>
      <w:r w:rsidR="007A067A" w:rsidRPr="00573C3D">
        <w:rPr>
          <w:lang w:val="en-GB"/>
        </w:rPr>
        <w:t xml:space="preserve">is regarded as </w:t>
      </w:r>
      <w:r w:rsidRPr="00573C3D">
        <w:rPr>
          <w:lang w:val="en-GB"/>
        </w:rPr>
        <w:t xml:space="preserve">a surrogate indicator for increased risk of drug-associated </w:t>
      </w:r>
      <w:proofErr w:type="spellStart"/>
      <w:r w:rsidRPr="00573C3D">
        <w:rPr>
          <w:lang w:val="en-GB"/>
        </w:rPr>
        <w:t>torsades</w:t>
      </w:r>
      <w:proofErr w:type="spellEnd"/>
      <w:r w:rsidRPr="00573C3D">
        <w:rPr>
          <w:lang w:val="en-GB"/>
        </w:rPr>
        <w:t xml:space="preserve"> de pointes (</w:t>
      </w:r>
      <w:proofErr w:type="spellStart"/>
      <w:r w:rsidRPr="00573C3D">
        <w:rPr>
          <w:lang w:val="en-GB"/>
        </w:rPr>
        <w:t>TdP</w:t>
      </w:r>
      <w:proofErr w:type="spellEnd"/>
      <w:r w:rsidRPr="00573C3D">
        <w:rPr>
          <w:lang w:val="en-GB"/>
        </w:rPr>
        <w:t xml:space="preserve">), a potentially lethal polymorphic ventricular tachycardia. However, the relationship between QT prolongation and risk of </w:t>
      </w:r>
      <w:proofErr w:type="spellStart"/>
      <w:r w:rsidRPr="00573C3D">
        <w:rPr>
          <w:lang w:val="en-GB"/>
        </w:rPr>
        <w:t>TdP</w:t>
      </w:r>
      <w:proofErr w:type="spellEnd"/>
      <w:r w:rsidRPr="00573C3D">
        <w:rPr>
          <w:lang w:val="en-GB"/>
        </w:rPr>
        <w:t xml:space="preserve"> is imperfect and complex. The risk of </w:t>
      </w:r>
      <w:proofErr w:type="spellStart"/>
      <w:r w:rsidRPr="00573C3D">
        <w:rPr>
          <w:lang w:val="en-GB"/>
        </w:rPr>
        <w:t>TdP</w:t>
      </w:r>
      <w:proofErr w:type="spellEnd"/>
      <w:r w:rsidRPr="00573C3D">
        <w:rPr>
          <w:lang w:val="en-GB"/>
        </w:rPr>
        <w:t xml:space="preserve"> is not a linear function of QT duration nor the extent of change; some drugs which prolong QTc as amiodarone are not</w:t>
      </w:r>
      <w:r w:rsidR="007A067A" w:rsidRPr="00573C3D">
        <w:rPr>
          <w:lang w:val="en-GB"/>
        </w:rPr>
        <w:t xml:space="preserve"> clearly</w:t>
      </w:r>
      <w:r w:rsidRPr="00573C3D">
        <w:rPr>
          <w:lang w:val="en-GB"/>
        </w:rPr>
        <w:t xml:space="preserve"> associated with increased arrhythmic death</w:t>
      </w:r>
      <w:r w:rsidR="0047500D" w:rsidRPr="00573C3D">
        <w:rPr>
          <w:lang w:val="en-GB"/>
        </w:rPr>
        <w:fldChar w:fldCharType="begin">
          <w:fldData xml:space="preserve">PEVuZE5vdGU+PENpdGU+PEF1dGhvcj5Sb2NrPC9BdXRob3I+PFllYXI+MjAwOTwvWWVhcj48UmVj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PC9hbHQtcGVyaW9kaWNhbD48cGFnZXM+ODI3LTM2LCA4MzYgZTE8L3BhZ2VzPjx2b2x1bWU+MTU3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</w:fldData>
        </w:fldChar>
      </w:r>
      <w:r w:rsidR="00224688" w:rsidRPr="00573C3D">
        <w:rPr>
          <w:lang w:val="en-GB"/>
        </w:rPr>
        <w:instrText xml:space="preserve"> ADDIN EN.CITE </w:instrText>
      </w:r>
      <w:r w:rsidR="0047500D" w:rsidRPr="00573C3D">
        <w:rPr>
          <w:lang w:val="en-GB"/>
        </w:rPr>
        <w:fldChar w:fldCharType="begin">
          <w:fldData xml:space="preserve">PEVuZE5vdGU+PENpdGU+PEF1dGhvcj5Sb2NrPC9BdXRob3I+PFllYXI+MjAwOTwvWWVhcj48UmVj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PC9hbHQtcGVyaW9kaWNhbD48cGFnZXM+ODI3LTM2LCA4MzYgZTE8L3BhZ2VzPjx2b2x1bWU+MTU3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</w:fldData>
        </w:fldChar>
      </w:r>
      <w:r w:rsidR="00224688" w:rsidRPr="00573C3D">
        <w:rPr>
          <w:lang w:val="en-GB"/>
        </w:rPr>
        <w:instrText xml:space="preserve"> ADDIN EN.CITE.DATA </w:instrText>
      </w:r>
      <w:r w:rsidR="0047500D" w:rsidRPr="00573C3D">
        <w:rPr>
          <w:lang w:val="en-GB"/>
        </w:rPr>
      </w:r>
      <w:r w:rsidR="0047500D" w:rsidRPr="00573C3D">
        <w:rPr>
          <w:lang w:val="en-GB"/>
        </w:rPr>
        <w:fldChar w:fldCharType="end"/>
      </w:r>
      <w:r w:rsidR="0047500D" w:rsidRPr="00573C3D">
        <w:rPr>
          <w:lang w:val="en-GB"/>
        </w:rPr>
      </w:r>
      <w:r w:rsidR="0047500D" w:rsidRPr="00573C3D">
        <w:rPr>
          <w:lang w:val="en-GB"/>
        </w:rPr>
        <w:fldChar w:fldCharType="separate"/>
      </w:r>
      <w:r w:rsidR="00224688" w:rsidRPr="00573C3D">
        <w:rPr>
          <w:noProof/>
          <w:lang w:val="en-GB"/>
        </w:rPr>
        <w:t>(6)</w:t>
      </w:r>
      <w:r w:rsidR="0047500D" w:rsidRPr="00573C3D">
        <w:rPr>
          <w:lang w:val="en-GB"/>
        </w:rPr>
        <w:fldChar w:fldCharType="end"/>
      </w:r>
      <w:r w:rsidRPr="00573C3D">
        <w:rPr>
          <w:b/>
          <w:lang w:val="en-GB"/>
        </w:rPr>
        <w:t>.</w:t>
      </w:r>
    </w:p>
    <w:p w:rsidR="00D870E8" w:rsidRPr="00573C3D" w:rsidRDefault="00D870E8" w:rsidP="00646C6A">
      <w:pPr>
        <w:jc w:val="both"/>
        <w:outlineLvl w:val="0"/>
        <w:rPr>
          <w:b/>
          <w:lang w:val="en-GB"/>
        </w:rPr>
      </w:pPr>
    </w:p>
    <w:p w:rsidR="00663486" w:rsidRDefault="00141BED" w:rsidP="00663486">
      <w:pPr>
        <w:pStyle w:val="Nagwek3"/>
        <w:rPr>
          <w:rFonts w:eastAsia="Times New Roman"/>
          <w:lang w:val="en-GB" w:eastAsia="it-IT"/>
        </w:rPr>
      </w:pPr>
      <w:bookmarkStart w:id="40" w:name="_Toc86608113"/>
      <w:r w:rsidRPr="00395598">
        <w:rPr>
          <w:rFonts w:ascii="Cambria" w:eastAsia="Times New Roman" w:hAnsi="Cambria"/>
          <w:color w:val="auto"/>
          <w:lang w:val="en-GB" w:eastAsia="it-IT"/>
        </w:rPr>
        <w:t>5</w:t>
      </w:r>
      <w:r w:rsidR="00D927C2" w:rsidRPr="00395598">
        <w:rPr>
          <w:rFonts w:ascii="Cambria" w:eastAsia="Times New Roman" w:hAnsi="Cambria"/>
          <w:color w:val="auto"/>
          <w:lang w:val="en-GB" w:eastAsia="it-IT"/>
        </w:rPr>
        <w:t>.</w:t>
      </w:r>
      <w:r w:rsidR="001366CC">
        <w:rPr>
          <w:rFonts w:ascii="Cambria" w:eastAsia="Times New Roman" w:hAnsi="Cambria"/>
          <w:color w:val="auto"/>
          <w:lang w:val="en-GB" w:eastAsia="it-IT"/>
        </w:rPr>
        <w:t>6</w:t>
      </w:r>
      <w:r w:rsidR="00CB0859" w:rsidRPr="00395598">
        <w:rPr>
          <w:rFonts w:ascii="Cambria" w:eastAsia="Times New Roman" w:hAnsi="Cambria"/>
          <w:color w:val="auto"/>
          <w:lang w:val="en-GB" w:eastAsia="it-IT"/>
        </w:rPr>
        <w:t>.1</w:t>
      </w:r>
      <w:r w:rsidR="00D927C2" w:rsidRPr="00395598">
        <w:rPr>
          <w:rFonts w:ascii="Cambria" w:eastAsia="Times New Roman" w:hAnsi="Cambria"/>
          <w:color w:val="auto"/>
          <w:lang w:val="en-GB" w:eastAsia="it-IT"/>
        </w:rPr>
        <w:t xml:space="preserve"> </w:t>
      </w:r>
      <w:r w:rsidR="00CB0859" w:rsidRPr="00395598">
        <w:rPr>
          <w:rFonts w:ascii="Cambria" w:eastAsia="Times New Roman" w:hAnsi="Cambria"/>
          <w:color w:val="auto"/>
          <w:lang w:val="en-GB" w:eastAsia="it-IT"/>
        </w:rPr>
        <w:t>Management of QT prolongation. Reco</w:t>
      </w:r>
      <w:r w:rsidR="00F15D65" w:rsidRPr="00395598">
        <w:rPr>
          <w:rFonts w:ascii="Cambria" w:eastAsia="Times New Roman" w:hAnsi="Cambria"/>
          <w:color w:val="auto"/>
          <w:lang w:val="en-GB" w:eastAsia="it-IT"/>
        </w:rPr>
        <w:t>m</w:t>
      </w:r>
      <w:r w:rsidR="00595EF9" w:rsidRPr="00395598">
        <w:rPr>
          <w:rFonts w:ascii="Cambria" w:eastAsia="Times New Roman" w:hAnsi="Cambria"/>
          <w:color w:val="auto"/>
          <w:lang w:val="en-GB" w:eastAsia="it-IT"/>
        </w:rPr>
        <w:t>m</w:t>
      </w:r>
      <w:r w:rsidR="00CB0859" w:rsidRPr="00395598">
        <w:rPr>
          <w:rFonts w:ascii="Cambria" w:eastAsia="Times New Roman" w:hAnsi="Cambria"/>
          <w:color w:val="auto"/>
          <w:lang w:val="en-GB" w:eastAsia="it-IT"/>
        </w:rPr>
        <w:t>endations.</w:t>
      </w:r>
      <w:bookmarkEnd w:id="40"/>
    </w:p>
    <w:p w:rsidR="00F15D65" w:rsidRPr="00573C3D" w:rsidRDefault="004F488F" w:rsidP="00CF2405">
      <w:pPr>
        <w:jc w:val="both"/>
        <w:rPr>
          <w:rFonts w:eastAsia="Times New Roman"/>
          <w:lang w:val="en-GB" w:eastAsia="it-IT"/>
        </w:rPr>
      </w:pPr>
      <w:r w:rsidRPr="00573C3D">
        <w:rPr>
          <w:rFonts w:eastAsia="Times New Roman"/>
          <w:b/>
          <w:lang w:val="en-GB" w:eastAsia="it-IT"/>
        </w:rPr>
        <w:t>1)</w:t>
      </w:r>
      <w:r w:rsidR="009740C0" w:rsidRPr="00573C3D">
        <w:rPr>
          <w:rFonts w:eastAsia="Times New Roman"/>
          <w:lang w:val="en-GB" w:eastAsia="it-IT"/>
        </w:rPr>
        <w:t xml:space="preserve"> The antimalarial drugs chloroquine and </w:t>
      </w:r>
      <w:bookmarkStart w:id="41" w:name="OLE_LINK1"/>
      <w:r w:rsidR="009740C0" w:rsidRPr="00573C3D">
        <w:rPr>
          <w:rFonts w:eastAsia="Times New Roman"/>
          <w:lang w:val="en-GB" w:eastAsia="it-IT"/>
        </w:rPr>
        <w:t>hydroxychloroquine</w:t>
      </w:r>
      <w:bookmarkEnd w:id="41"/>
      <w:r w:rsidR="009740C0" w:rsidRPr="00573C3D">
        <w:rPr>
          <w:rFonts w:eastAsia="Times New Roman"/>
          <w:lang w:val="en-GB" w:eastAsia="it-IT"/>
        </w:rPr>
        <w:t xml:space="preserve"> are known to prolong QT. Their efficacy against COVID-19 remains </w:t>
      </w:r>
      <w:r w:rsidR="00C16F43" w:rsidRPr="00573C3D">
        <w:rPr>
          <w:rFonts w:eastAsia="Times New Roman"/>
          <w:lang w:val="en-GB" w:eastAsia="it-IT"/>
        </w:rPr>
        <w:t>to be validated in larger randomized studies.</w:t>
      </w:r>
      <w:r w:rsidR="007A067A" w:rsidRPr="00573C3D">
        <w:rPr>
          <w:rFonts w:eastAsia="Times New Roman"/>
          <w:lang w:val="en-GB" w:eastAsia="it-IT"/>
        </w:rPr>
        <w:t xml:space="preserve"> If there is </w:t>
      </w:r>
      <w:r w:rsidR="00C16F43" w:rsidRPr="00573C3D">
        <w:rPr>
          <w:rFonts w:eastAsia="Times New Roman"/>
          <w:lang w:val="en-GB" w:eastAsia="it-IT"/>
        </w:rPr>
        <w:t xml:space="preserve"> concomitant adm</w:t>
      </w:r>
      <w:r w:rsidR="00AE6611" w:rsidRPr="00573C3D">
        <w:rPr>
          <w:rFonts w:eastAsia="Times New Roman"/>
          <w:lang w:val="en-GB" w:eastAsia="it-IT"/>
        </w:rPr>
        <w:t>inistration of these drugs</w:t>
      </w:r>
      <w:r w:rsidR="005124DC" w:rsidRPr="00573C3D">
        <w:rPr>
          <w:rFonts w:eastAsia="Times New Roman"/>
          <w:lang w:val="en-GB" w:eastAsia="it-IT"/>
        </w:rPr>
        <w:t xml:space="preserve"> with amiodarone</w:t>
      </w:r>
      <w:r w:rsidR="007A067A" w:rsidRPr="00573C3D">
        <w:rPr>
          <w:rFonts w:eastAsia="Times New Roman"/>
          <w:lang w:val="en-GB" w:eastAsia="it-IT"/>
        </w:rPr>
        <w:t xml:space="preserve"> </w:t>
      </w:r>
      <w:r w:rsidR="005124DC" w:rsidRPr="00573C3D">
        <w:rPr>
          <w:rFonts w:eastAsia="Times New Roman"/>
          <w:lang w:val="en-GB" w:eastAsia="it-IT"/>
        </w:rPr>
        <w:t>is advised</w:t>
      </w:r>
      <w:r w:rsidR="00C23FE4" w:rsidRPr="00573C3D">
        <w:rPr>
          <w:rFonts w:eastAsia="Times New Roman"/>
          <w:lang w:val="en-GB" w:eastAsia="it-IT"/>
        </w:rPr>
        <w:t xml:space="preserve"> </w:t>
      </w:r>
      <w:r w:rsidR="007A067A" w:rsidRPr="00573C3D">
        <w:rPr>
          <w:rFonts w:eastAsia="Times New Roman"/>
          <w:lang w:val="en-GB" w:eastAsia="it-IT"/>
        </w:rPr>
        <w:t xml:space="preserve"> closer </w:t>
      </w:r>
      <w:r w:rsidR="00C23FE4" w:rsidRPr="00573C3D">
        <w:rPr>
          <w:rFonts w:eastAsia="Times New Roman"/>
          <w:lang w:val="en-GB" w:eastAsia="it-IT"/>
        </w:rPr>
        <w:t>o</w:t>
      </w:r>
      <w:r w:rsidR="00F15D65" w:rsidRPr="00573C3D">
        <w:rPr>
          <w:rFonts w:eastAsia="Times New Roman"/>
          <w:lang w:val="en-GB" w:eastAsia="it-IT"/>
        </w:rPr>
        <w:t xml:space="preserve">ngoing monitoring, dose adjustment and drug discontinuation </w:t>
      </w:r>
      <w:r w:rsidR="00F15D65" w:rsidRPr="00573C3D">
        <w:rPr>
          <w:rFonts w:eastAsia="Times New Roman"/>
          <w:lang w:val="en-GB" w:eastAsia="it-IT"/>
        </w:rPr>
        <w:lastRenderedPageBreak/>
        <w:t xml:space="preserve">according to the following </w:t>
      </w:r>
      <w:r w:rsidR="007A067A" w:rsidRPr="00573C3D">
        <w:rPr>
          <w:rFonts w:eastAsia="Times New Roman"/>
          <w:lang w:val="en-GB" w:eastAsia="it-IT"/>
        </w:rPr>
        <w:t>modified</w:t>
      </w:r>
      <w:r w:rsidR="00F15D65" w:rsidRPr="00573C3D">
        <w:rPr>
          <w:rFonts w:eastAsia="Times New Roman"/>
          <w:lang w:val="en-GB" w:eastAsia="it-IT"/>
        </w:rPr>
        <w:t xml:space="preserve"> scheme</w:t>
      </w:r>
      <w:r w:rsidR="00C23FE4" w:rsidRPr="00573C3D">
        <w:rPr>
          <w:rFonts w:eastAsia="Times New Roman"/>
          <w:lang w:val="en-GB" w:eastAsia="it-IT"/>
        </w:rPr>
        <w:t xml:space="preserve"> from the American College of Cardiology</w:t>
      </w:r>
      <w:r w:rsidR="004835A5">
        <w:rPr>
          <w:rFonts w:eastAsia="Times New Roman"/>
          <w:lang w:val="en-GB" w:eastAsia="it-IT"/>
        </w:rPr>
        <w:br/>
        <w:t>[7]</w:t>
      </w:r>
      <w:r w:rsidR="00F15D65" w:rsidRPr="00573C3D">
        <w:rPr>
          <w:rFonts w:eastAsia="Times New Roman"/>
          <w:lang w:val="en-GB" w:eastAsia="it-IT"/>
        </w:rPr>
        <w:t xml:space="preserve">: </w:t>
      </w:r>
    </w:p>
    <w:p w:rsidR="00F15D65" w:rsidRPr="00573C3D" w:rsidRDefault="00F15D65" w:rsidP="00CF2405">
      <w:pPr>
        <w:numPr>
          <w:ilvl w:val="0"/>
          <w:numId w:val="10"/>
        </w:numPr>
        <w:shd w:val="clear" w:color="auto" w:fill="FFFFFF"/>
        <w:spacing w:before="100" w:beforeAutospacing="1" w:after="100" w:afterAutospacing="1"/>
        <w:jc w:val="both"/>
        <w:rPr>
          <w:rFonts w:eastAsia="Times New Roman"/>
          <w:lang w:val="en-GB" w:eastAsia="it-IT"/>
        </w:rPr>
      </w:pPr>
      <w:r w:rsidRPr="00573C3D">
        <w:rPr>
          <w:rFonts w:eastAsia="Times New Roman"/>
          <w:lang w:val="en-GB" w:eastAsia="it-IT"/>
        </w:rPr>
        <w:t>Closer monitoring of QT length with telemetry or repeated ECG</w:t>
      </w:r>
      <w:r w:rsidR="006828CE" w:rsidRPr="00573C3D">
        <w:rPr>
          <w:rFonts w:eastAsia="Times New Roman"/>
          <w:lang w:val="en-GB" w:eastAsia="it-IT"/>
        </w:rPr>
        <w:t>s</w:t>
      </w:r>
      <w:r w:rsidR="00446F16" w:rsidRPr="00573C3D">
        <w:rPr>
          <w:rFonts w:eastAsia="Times New Roman"/>
          <w:lang w:val="en-GB" w:eastAsia="it-IT"/>
        </w:rPr>
        <w:t xml:space="preserve"> </w:t>
      </w:r>
      <w:r w:rsidRPr="00573C3D">
        <w:rPr>
          <w:rFonts w:eastAsia="Times New Roman"/>
          <w:lang w:val="en-GB" w:eastAsia="it-IT"/>
        </w:rPr>
        <w:t>daily.</w:t>
      </w:r>
    </w:p>
    <w:p w:rsidR="00F15D65" w:rsidRPr="00573C3D" w:rsidRDefault="00F15D65" w:rsidP="00CF2405">
      <w:pPr>
        <w:numPr>
          <w:ilvl w:val="0"/>
          <w:numId w:val="10"/>
        </w:numPr>
        <w:shd w:val="clear" w:color="auto" w:fill="FFFFFF"/>
        <w:spacing w:before="100" w:beforeAutospacing="1" w:after="100" w:afterAutospacing="1"/>
        <w:jc w:val="both"/>
        <w:rPr>
          <w:rFonts w:eastAsia="Times New Roman"/>
          <w:lang w:val="en-GB" w:eastAsia="it-IT"/>
        </w:rPr>
      </w:pPr>
      <w:r w:rsidRPr="00573C3D">
        <w:rPr>
          <w:rFonts w:eastAsia="Times New Roman"/>
          <w:lang w:val="en-GB" w:eastAsia="it-IT"/>
        </w:rPr>
        <w:t>Monitor and optimize serum potassium daily.</w:t>
      </w:r>
    </w:p>
    <w:p w:rsidR="00F15D65" w:rsidRPr="00573C3D" w:rsidRDefault="00F15D65" w:rsidP="00CF2405">
      <w:pPr>
        <w:numPr>
          <w:ilvl w:val="0"/>
          <w:numId w:val="10"/>
        </w:numPr>
        <w:shd w:val="clear" w:color="auto" w:fill="FFFFFF"/>
        <w:spacing w:before="100" w:beforeAutospacing="1" w:after="100" w:afterAutospacing="1"/>
        <w:jc w:val="both"/>
        <w:rPr>
          <w:rFonts w:eastAsia="Times New Roman"/>
          <w:lang w:val="en-GB" w:eastAsia="it-IT"/>
        </w:rPr>
      </w:pPr>
      <w:r w:rsidRPr="00573C3D">
        <w:rPr>
          <w:rFonts w:eastAsia="Times New Roman"/>
          <w:lang w:val="en-GB" w:eastAsia="it-IT"/>
        </w:rPr>
        <w:t xml:space="preserve">If QTc increases by &gt;60 </w:t>
      </w:r>
      <w:proofErr w:type="spellStart"/>
      <w:r w:rsidRPr="00573C3D">
        <w:rPr>
          <w:rFonts w:eastAsia="Times New Roman"/>
          <w:lang w:val="en-GB" w:eastAsia="it-IT"/>
        </w:rPr>
        <w:t>msec</w:t>
      </w:r>
      <w:proofErr w:type="spellEnd"/>
      <w:r w:rsidRPr="00573C3D">
        <w:rPr>
          <w:rFonts w:eastAsia="Times New Roman"/>
          <w:lang w:val="en-GB" w:eastAsia="it-IT"/>
        </w:rPr>
        <w:t xml:space="preserve"> or absolute </w:t>
      </w:r>
      <w:proofErr w:type="spellStart"/>
      <w:r w:rsidRPr="00573C3D">
        <w:rPr>
          <w:rFonts w:eastAsia="Times New Roman"/>
          <w:lang w:val="en-GB" w:eastAsia="it-IT"/>
        </w:rPr>
        <w:t>QTc</w:t>
      </w:r>
      <w:proofErr w:type="spellEnd"/>
      <w:r w:rsidRPr="00573C3D">
        <w:rPr>
          <w:rFonts w:eastAsia="Times New Roman"/>
          <w:lang w:val="en-GB" w:eastAsia="it-IT"/>
        </w:rPr>
        <w:t xml:space="preserve"> &gt;500msec (or &gt;530-550 </w:t>
      </w:r>
      <w:proofErr w:type="spellStart"/>
      <w:r w:rsidRPr="00573C3D">
        <w:rPr>
          <w:rFonts w:eastAsia="Times New Roman"/>
          <w:lang w:val="en-GB" w:eastAsia="it-IT"/>
        </w:rPr>
        <w:t>msec</w:t>
      </w:r>
      <w:proofErr w:type="spellEnd"/>
      <w:r w:rsidRPr="00573C3D">
        <w:rPr>
          <w:rFonts w:eastAsia="Times New Roman"/>
          <w:lang w:val="en-GB" w:eastAsia="it-IT"/>
        </w:rPr>
        <w:t xml:space="preserve"> if QRS &gt;120 </w:t>
      </w:r>
      <w:proofErr w:type="spellStart"/>
      <w:r w:rsidRPr="00573C3D">
        <w:rPr>
          <w:rFonts w:eastAsia="Times New Roman"/>
          <w:lang w:val="en-GB" w:eastAsia="it-IT"/>
        </w:rPr>
        <w:t>msec</w:t>
      </w:r>
      <w:proofErr w:type="spellEnd"/>
      <w:r w:rsidRPr="00573C3D">
        <w:rPr>
          <w:rFonts w:eastAsia="Times New Roman"/>
          <w:lang w:val="en-GB" w:eastAsia="it-IT"/>
        </w:rPr>
        <w:t xml:space="preserve">), discontinue </w:t>
      </w:r>
      <w:proofErr w:type="spellStart"/>
      <w:r w:rsidRPr="00573C3D">
        <w:rPr>
          <w:rFonts w:eastAsia="Times New Roman"/>
          <w:lang w:val="en-GB" w:eastAsia="it-IT"/>
        </w:rPr>
        <w:t>azithromycin</w:t>
      </w:r>
      <w:proofErr w:type="spellEnd"/>
      <w:r w:rsidRPr="00573C3D">
        <w:rPr>
          <w:rFonts w:eastAsia="Times New Roman"/>
          <w:lang w:val="en-GB" w:eastAsia="it-IT"/>
        </w:rPr>
        <w:t xml:space="preserve"> (if used) and/or reduce dose of hydroxychloroquine and/or reduce dose of amiodarone  and repeat ECG daily.</w:t>
      </w:r>
    </w:p>
    <w:p w:rsidR="000C794A" w:rsidRDefault="00F15D65">
      <w:pPr>
        <w:numPr>
          <w:ilvl w:val="0"/>
          <w:numId w:val="10"/>
        </w:numPr>
        <w:shd w:val="clear" w:color="auto" w:fill="FFFFFF"/>
        <w:spacing w:before="100" w:beforeAutospacing="1" w:after="100" w:afterAutospacing="1"/>
        <w:jc w:val="both"/>
        <w:rPr>
          <w:rFonts w:eastAsia="Times New Roman"/>
          <w:b/>
          <w:lang w:val="en-GB" w:eastAsia="it-IT"/>
        </w:rPr>
      </w:pPr>
      <w:r w:rsidRPr="00573C3D">
        <w:rPr>
          <w:rFonts w:eastAsia="Times New Roman"/>
          <w:lang w:val="en-GB" w:eastAsia="it-IT"/>
        </w:rPr>
        <w:t xml:space="preserve">If QTc remains increased &gt;60 </w:t>
      </w:r>
      <w:proofErr w:type="spellStart"/>
      <w:r w:rsidRPr="00573C3D">
        <w:rPr>
          <w:rFonts w:eastAsia="Times New Roman"/>
          <w:lang w:val="en-GB" w:eastAsia="it-IT"/>
        </w:rPr>
        <w:t>msec</w:t>
      </w:r>
      <w:proofErr w:type="spellEnd"/>
      <w:r w:rsidRPr="00573C3D">
        <w:rPr>
          <w:rFonts w:eastAsia="Times New Roman"/>
          <w:lang w:val="en-GB" w:eastAsia="it-IT"/>
        </w:rPr>
        <w:t xml:space="preserve"> and/or absolute </w:t>
      </w:r>
      <w:proofErr w:type="spellStart"/>
      <w:r w:rsidRPr="00573C3D">
        <w:rPr>
          <w:rFonts w:eastAsia="Times New Roman"/>
          <w:lang w:val="en-GB" w:eastAsia="it-IT"/>
        </w:rPr>
        <w:t>QTc</w:t>
      </w:r>
      <w:proofErr w:type="spellEnd"/>
      <w:r w:rsidRPr="00573C3D">
        <w:rPr>
          <w:rFonts w:eastAsia="Times New Roman"/>
          <w:lang w:val="en-GB" w:eastAsia="it-IT"/>
        </w:rPr>
        <w:t xml:space="preserve"> &gt;500 </w:t>
      </w:r>
      <w:proofErr w:type="spellStart"/>
      <w:r w:rsidRPr="00573C3D">
        <w:rPr>
          <w:rFonts w:eastAsia="Times New Roman"/>
          <w:lang w:val="en-GB" w:eastAsia="it-IT"/>
        </w:rPr>
        <w:t>msec</w:t>
      </w:r>
      <w:proofErr w:type="spellEnd"/>
      <w:r w:rsidRPr="00573C3D">
        <w:rPr>
          <w:rFonts w:eastAsia="Times New Roman"/>
          <w:lang w:val="en-GB" w:eastAsia="it-IT"/>
        </w:rPr>
        <w:t xml:space="preserve"> (or &gt;530-550 </w:t>
      </w:r>
      <w:proofErr w:type="spellStart"/>
      <w:r w:rsidRPr="00573C3D">
        <w:rPr>
          <w:rFonts w:eastAsia="Times New Roman"/>
          <w:lang w:val="en-GB" w:eastAsia="it-IT"/>
        </w:rPr>
        <w:t>msec</w:t>
      </w:r>
      <w:proofErr w:type="spellEnd"/>
      <w:r w:rsidRPr="00573C3D">
        <w:rPr>
          <w:rFonts w:eastAsia="Times New Roman"/>
          <w:lang w:val="en-GB" w:eastAsia="it-IT"/>
        </w:rPr>
        <w:t xml:space="preserve"> if QRS &gt;120 </w:t>
      </w:r>
      <w:proofErr w:type="spellStart"/>
      <w:r w:rsidRPr="00573C3D">
        <w:rPr>
          <w:rFonts w:eastAsia="Times New Roman"/>
          <w:lang w:val="en-GB" w:eastAsia="it-IT"/>
        </w:rPr>
        <w:t>msec</w:t>
      </w:r>
      <w:proofErr w:type="spellEnd"/>
      <w:r w:rsidRPr="00573C3D">
        <w:rPr>
          <w:rFonts w:eastAsia="Times New Roman"/>
          <w:lang w:val="en-GB" w:eastAsia="it-IT"/>
        </w:rPr>
        <w:t xml:space="preserve">), </w:t>
      </w:r>
      <w:proofErr w:type="spellStart"/>
      <w:r w:rsidRPr="00573C3D">
        <w:rPr>
          <w:rFonts w:eastAsia="Times New Roman"/>
          <w:lang w:val="en-GB" w:eastAsia="it-IT"/>
        </w:rPr>
        <w:t>reevaluate</w:t>
      </w:r>
      <w:proofErr w:type="spellEnd"/>
      <w:r w:rsidRPr="00573C3D">
        <w:rPr>
          <w:rFonts w:eastAsia="Times New Roman"/>
          <w:lang w:val="en-GB" w:eastAsia="it-IT"/>
        </w:rPr>
        <w:t xml:space="preserve"> the risk/benefit of ongoing therapy, and consider discontinuation of hydroxychloroquine.</w:t>
      </w:r>
    </w:p>
    <w:p w:rsidR="004F488F" w:rsidRPr="00573C3D" w:rsidRDefault="004F488F" w:rsidP="0012556F">
      <w:pPr>
        <w:spacing w:line="276" w:lineRule="auto"/>
        <w:jc w:val="both"/>
        <w:rPr>
          <w:rFonts w:eastAsia="Times New Roman"/>
          <w:lang w:val="en-GB" w:eastAsia="it-IT"/>
        </w:rPr>
      </w:pPr>
      <w:r w:rsidRPr="00573C3D">
        <w:rPr>
          <w:rFonts w:eastAsia="Times New Roman"/>
          <w:b/>
          <w:lang w:val="en-GB" w:eastAsia="it-IT"/>
        </w:rPr>
        <w:t>2)</w:t>
      </w:r>
      <w:r w:rsidRPr="00573C3D">
        <w:rPr>
          <w:rFonts w:eastAsia="Times New Roman"/>
          <w:lang w:val="en-GB" w:eastAsia="it-IT"/>
        </w:rPr>
        <w:t xml:space="preserve"> It is important </w:t>
      </w:r>
      <w:r w:rsidR="00CF77D1" w:rsidRPr="00573C3D">
        <w:rPr>
          <w:rFonts w:eastAsia="Times New Roman"/>
          <w:lang w:val="en-GB" w:eastAsia="it-IT"/>
        </w:rPr>
        <w:t>to</w:t>
      </w:r>
      <w:r w:rsidR="006621FD" w:rsidRPr="00573C3D">
        <w:rPr>
          <w:rFonts w:eastAsia="Times New Roman"/>
          <w:lang w:val="en-GB" w:eastAsia="it-IT"/>
        </w:rPr>
        <w:t xml:space="preserve"> monitor electroc</w:t>
      </w:r>
      <w:r w:rsidR="00721151" w:rsidRPr="00573C3D">
        <w:rPr>
          <w:rFonts w:eastAsia="Times New Roman"/>
          <w:lang w:val="en-GB" w:eastAsia="it-IT"/>
        </w:rPr>
        <w:t>ardiogram, particularly QT intervals</w:t>
      </w:r>
      <w:r w:rsidR="006621FD" w:rsidRPr="00573C3D">
        <w:rPr>
          <w:rFonts w:eastAsia="Times New Roman"/>
          <w:lang w:val="en-GB" w:eastAsia="it-IT"/>
        </w:rPr>
        <w:t xml:space="preserve"> and </w:t>
      </w:r>
      <w:r w:rsidR="003A1BC1" w:rsidRPr="00573C3D">
        <w:rPr>
          <w:rFonts w:eastAsia="Times New Roman"/>
          <w:lang w:val="en-GB" w:eastAsia="it-IT"/>
        </w:rPr>
        <w:t>treat</w:t>
      </w:r>
      <w:r w:rsidR="006621FD" w:rsidRPr="00573C3D">
        <w:rPr>
          <w:rFonts w:eastAsia="Times New Roman"/>
          <w:lang w:val="en-GB" w:eastAsia="it-IT"/>
        </w:rPr>
        <w:t xml:space="preserve"> electrolytes imbalances as </w:t>
      </w:r>
      <w:proofErr w:type="spellStart"/>
      <w:r w:rsidR="00721151" w:rsidRPr="00573C3D">
        <w:rPr>
          <w:rFonts w:eastAsia="Times New Roman"/>
          <w:lang w:val="en-GB" w:eastAsia="it-IT"/>
        </w:rPr>
        <w:t>hypokal</w:t>
      </w:r>
      <w:r w:rsidR="006621FD" w:rsidRPr="00573C3D">
        <w:rPr>
          <w:rFonts w:eastAsia="Times New Roman"/>
          <w:lang w:val="en-GB" w:eastAsia="it-IT"/>
        </w:rPr>
        <w:t>emia</w:t>
      </w:r>
      <w:proofErr w:type="spellEnd"/>
      <w:r w:rsidR="006621FD" w:rsidRPr="00573C3D">
        <w:rPr>
          <w:rFonts w:eastAsia="Times New Roman"/>
          <w:lang w:val="en-GB" w:eastAsia="it-IT"/>
        </w:rPr>
        <w:t xml:space="preserve"> and </w:t>
      </w:r>
      <w:proofErr w:type="spellStart"/>
      <w:r w:rsidR="006621FD" w:rsidRPr="00573C3D">
        <w:rPr>
          <w:rFonts w:eastAsia="Times New Roman"/>
          <w:lang w:val="en-GB" w:eastAsia="it-IT"/>
        </w:rPr>
        <w:t>hypomagnesemia</w:t>
      </w:r>
      <w:proofErr w:type="spellEnd"/>
      <w:r w:rsidR="006621FD" w:rsidRPr="00573C3D">
        <w:rPr>
          <w:rFonts w:eastAsia="Times New Roman"/>
          <w:lang w:val="en-GB" w:eastAsia="it-IT"/>
        </w:rPr>
        <w:t xml:space="preserve"> which can prolong QT.</w:t>
      </w:r>
    </w:p>
    <w:p w:rsidR="0041459E" w:rsidRDefault="0041459E" w:rsidP="00AD1471">
      <w:pPr>
        <w:spacing w:line="276" w:lineRule="auto"/>
        <w:jc w:val="both"/>
        <w:rPr>
          <w:rFonts w:eastAsia="Times New Roman"/>
          <w:lang w:val="en-GB" w:eastAsia="it-IT"/>
        </w:rPr>
      </w:pPr>
    </w:p>
    <w:p w:rsidR="00AD1471" w:rsidRDefault="00AD1471" w:rsidP="00AD1471">
      <w:pPr>
        <w:spacing w:line="276" w:lineRule="auto"/>
        <w:jc w:val="both"/>
        <w:rPr>
          <w:rFonts w:eastAsia="Times New Roman"/>
          <w:lang w:val="en-GB" w:eastAsia="it-IT"/>
        </w:rPr>
      </w:pPr>
      <w:r w:rsidRPr="00573C3D">
        <w:rPr>
          <w:rFonts w:eastAsia="Times New Roman"/>
          <w:lang w:val="en-GB" w:eastAsia="it-IT"/>
        </w:rPr>
        <w:t>To aid in the risk stratification  for drug-associated QTc prolongation the following risk score can be used:</w:t>
      </w:r>
    </w:p>
    <w:p w:rsidR="004835A5" w:rsidRPr="00573C3D" w:rsidRDefault="004835A5" w:rsidP="00AD1471">
      <w:pPr>
        <w:spacing w:line="276" w:lineRule="auto"/>
        <w:jc w:val="both"/>
        <w:rPr>
          <w:rFonts w:eastAsia="Times New Roman"/>
          <w:lang w:val="en-GB" w:eastAsia="it-IT"/>
        </w:rPr>
      </w:pPr>
    </w:p>
    <w:p w:rsidR="00C265F0" w:rsidRPr="004835A5" w:rsidRDefault="004835A5" w:rsidP="00AD1471">
      <w:pPr>
        <w:spacing w:line="276" w:lineRule="auto"/>
        <w:jc w:val="both"/>
        <w:rPr>
          <w:rFonts w:eastAsia="Times New Roman"/>
          <w:b/>
          <w:lang w:val="en-GB" w:eastAsia="it-IT"/>
        </w:rPr>
      </w:pPr>
      <w:r>
        <w:rPr>
          <w:rFonts w:eastAsia="Times New Roman"/>
          <w:b/>
          <w:lang w:val="en-GB" w:eastAsia="it-IT"/>
        </w:rPr>
        <w:t xml:space="preserve">Table </w:t>
      </w:r>
      <w:r w:rsidR="009B0F52">
        <w:rPr>
          <w:rFonts w:eastAsia="Times New Roman"/>
          <w:b/>
          <w:lang w:val="en-GB" w:eastAsia="it-IT"/>
        </w:rPr>
        <w:t>5</w:t>
      </w:r>
      <w:r>
        <w:rPr>
          <w:rFonts w:eastAsia="Times New Roman"/>
          <w:b/>
          <w:lang w:val="en-GB" w:eastAsia="it-IT"/>
        </w:rPr>
        <w:t xml:space="preserve">. </w:t>
      </w:r>
      <w:r w:rsidRPr="00392B5C">
        <w:rPr>
          <w:rStyle w:val="Pogrubienie"/>
          <w:b w:val="0"/>
          <w:shd w:val="clear" w:color="auto" w:fill="FFFFFF"/>
          <w:lang w:val="en-US"/>
        </w:rPr>
        <w:t>Risk Score For Drug-Associated QTc Prolongation</w:t>
      </w:r>
    </w:p>
    <w:tbl>
      <w:tblPr>
        <w:tblStyle w:val="redniecieniowanie1akcent11"/>
        <w:tblW w:w="9360" w:type="dxa"/>
        <w:tblLook w:val="04A0"/>
      </w:tblPr>
      <w:tblGrid>
        <w:gridCol w:w="7185"/>
        <w:gridCol w:w="2175"/>
      </w:tblGrid>
      <w:tr w:rsidR="00C265F0" w:rsidRPr="00573C3D" w:rsidTr="00D870E8">
        <w:trPr>
          <w:cnfStyle w:val="100000000000"/>
          <w:trHeight w:val="167"/>
        </w:trPr>
        <w:tc>
          <w:tcPr>
            <w:cnfStyle w:val="001000000000"/>
            <w:tcW w:w="0" w:type="auto"/>
            <w:hideMark/>
          </w:tcPr>
          <w:p w:rsidR="00C265F0" w:rsidRPr="00573C3D" w:rsidRDefault="00604672" w:rsidP="00DD7456">
            <w:pPr>
              <w:keepNext/>
              <w:keepLines/>
              <w:spacing w:before="240" w:after="240"/>
              <w:jc w:val="center"/>
              <w:outlineLvl w:val="0"/>
              <w:rPr>
                <w:rFonts w:ascii="Cambria" w:eastAsia="Times New Roman" w:hAnsi="Cambria"/>
                <w:color w:val="444444"/>
                <w:lang w:val="en-GB" w:eastAsia="it-IT"/>
              </w:rPr>
            </w:pPr>
            <w:bookmarkStart w:id="42" w:name="_Toc38208556"/>
            <w:bookmarkStart w:id="43" w:name="_Toc38214873"/>
            <w:bookmarkStart w:id="44" w:name="_Toc40961978"/>
            <w:bookmarkStart w:id="45" w:name="_Toc54897294"/>
            <w:bookmarkStart w:id="46" w:name="_Toc86608114"/>
            <w:r w:rsidRPr="00604672">
              <w:rPr>
                <w:rFonts w:eastAsia="Times New Roman"/>
                <w:color w:val="444444"/>
                <w:lang w:val="en-GB" w:eastAsia="it-IT"/>
              </w:rPr>
              <w:t>Risk Factors</w:t>
            </w:r>
            <w:bookmarkEnd w:id="42"/>
            <w:bookmarkEnd w:id="43"/>
            <w:bookmarkEnd w:id="44"/>
            <w:bookmarkEnd w:id="45"/>
            <w:bookmarkEnd w:id="46"/>
          </w:p>
        </w:tc>
        <w:tc>
          <w:tcPr>
            <w:tcW w:w="0" w:type="auto"/>
            <w:hideMark/>
          </w:tcPr>
          <w:p w:rsidR="00C265F0" w:rsidRPr="00573C3D" w:rsidRDefault="00604672" w:rsidP="00DD7456">
            <w:pPr>
              <w:keepNext/>
              <w:keepLines/>
              <w:spacing w:before="240" w:after="240"/>
              <w:jc w:val="center"/>
              <w:outlineLvl w:val="0"/>
              <w:cnfStyle w:val="100000000000"/>
              <w:rPr>
                <w:rFonts w:ascii="Cambria" w:eastAsia="Times New Roman" w:hAnsi="Cambria"/>
                <w:color w:val="444444"/>
                <w:lang w:val="en-GB" w:eastAsia="it-IT"/>
              </w:rPr>
            </w:pPr>
            <w:bookmarkStart w:id="47" w:name="_Toc38208557"/>
            <w:bookmarkStart w:id="48" w:name="_Toc38214874"/>
            <w:bookmarkStart w:id="49" w:name="_Toc40961979"/>
            <w:bookmarkStart w:id="50" w:name="_Toc54897295"/>
            <w:bookmarkStart w:id="51" w:name="_Toc86608115"/>
            <w:r w:rsidRPr="00604672">
              <w:rPr>
                <w:rFonts w:eastAsia="Times New Roman"/>
                <w:color w:val="444444"/>
                <w:lang w:val="en-GB" w:eastAsia="it-IT"/>
              </w:rPr>
              <w:t>Points</w:t>
            </w:r>
            <w:bookmarkEnd w:id="47"/>
            <w:bookmarkEnd w:id="48"/>
            <w:bookmarkEnd w:id="49"/>
            <w:bookmarkEnd w:id="50"/>
            <w:bookmarkEnd w:id="51"/>
          </w:p>
        </w:tc>
      </w:tr>
      <w:tr w:rsidR="00C265F0" w:rsidRPr="00573C3D" w:rsidTr="00C265F0">
        <w:trPr>
          <w:cnfStyle w:val="00000010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Age ≥68 y</w:t>
            </w:r>
          </w:p>
        </w:tc>
        <w:tc>
          <w:tcPr>
            <w:tcW w:w="0" w:type="auto"/>
            <w:vAlign w:val="center"/>
            <w:hideMark/>
          </w:tcPr>
          <w:p w:rsidR="00C265F0" w:rsidRPr="00573C3D" w:rsidRDefault="00C265F0" w:rsidP="00C265F0">
            <w:pPr>
              <w:spacing w:after="240"/>
              <w:jc w:val="center"/>
              <w:cnfStyle w:val="000000100000"/>
              <w:rPr>
                <w:rFonts w:ascii="Cambria" w:eastAsia="Times New Roman" w:hAnsi="Cambria"/>
                <w:lang w:val="en-GB" w:eastAsia="it-IT"/>
              </w:rPr>
            </w:pPr>
            <w:r w:rsidRPr="00573C3D">
              <w:rPr>
                <w:rFonts w:ascii="Cambria" w:eastAsia="Times New Roman" w:hAnsi="Cambria"/>
                <w:lang w:val="en-GB" w:eastAsia="it-IT"/>
              </w:rPr>
              <w:t>1</w:t>
            </w:r>
          </w:p>
        </w:tc>
      </w:tr>
      <w:tr w:rsidR="00C265F0" w:rsidRPr="00573C3D" w:rsidTr="00C265F0">
        <w:trPr>
          <w:cnfStyle w:val="00000001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Female sex</w:t>
            </w:r>
          </w:p>
        </w:tc>
        <w:tc>
          <w:tcPr>
            <w:tcW w:w="0" w:type="auto"/>
            <w:vAlign w:val="center"/>
            <w:hideMark/>
          </w:tcPr>
          <w:p w:rsidR="00C265F0" w:rsidRPr="00573C3D" w:rsidRDefault="00C265F0" w:rsidP="00C265F0">
            <w:pPr>
              <w:spacing w:after="240"/>
              <w:jc w:val="center"/>
              <w:cnfStyle w:val="000000010000"/>
              <w:rPr>
                <w:rFonts w:ascii="Cambria" w:eastAsia="Times New Roman" w:hAnsi="Cambria"/>
                <w:lang w:val="en-GB" w:eastAsia="it-IT"/>
              </w:rPr>
            </w:pPr>
            <w:r w:rsidRPr="00573C3D">
              <w:rPr>
                <w:rFonts w:ascii="Cambria" w:eastAsia="Times New Roman" w:hAnsi="Cambria"/>
                <w:lang w:val="en-GB" w:eastAsia="it-IT"/>
              </w:rPr>
              <w:t>1</w:t>
            </w:r>
          </w:p>
        </w:tc>
      </w:tr>
      <w:tr w:rsidR="00C265F0" w:rsidRPr="00573C3D" w:rsidTr="00C265F0">
        <w:trPr>
          <w:cnfStyle w:val="00000010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Loop diuretic</w:t>
            </w:r>
          </w:p>
        </w:tc>
        <w:tc>
          <w:tcPr>
            <w:tcW w:w="0" w:type="auto"/>
            <w:vAlign w:val="center"/>
            <w:hideMark/>
          </w:tcPr>
          <w:p w:rsidR="00C265F0" w:rsidRPr="00573C3D" w:rsidRDefault="00C265F0" w:rsidP="00C265F0">
            <w:pPr>
              <w:spacing w:after="240"/>
              <w:jc w:val="center"/>
              <w:cnfStyle w:val="000000100000"/>
              <w:rPr>
                <w:rFonts w:ascii="Cambria" w:eastAsia="Times New Roman" w:hAnsi="Cambria"/>
                <w:lang w:val="en-GB" w:eastAsia="it-IT"/>
              </w:rPr>
            </w:pPr>
            <w:r w:rsidRPr="00573C3D">
              <w:rPr>
                <w:rFonts w:ascii="Cambria" w:eastAsia="Times New Roman" w:hAnsi="Cambria"/>
                <w:lang w:val="en-GB" w:eastAsia="it-IT"/>
              </w:rPr>
              <w:t>1</w:t>
            </w:r>
          </w:p>
        </w:tc>
      </w:tr>
      <w:tr w:rsidR="00C265F0" w:rsidRPr="00573C3D" w:rsidTr="00C265F0">
        <w:trPr>
          <w:cnfStyle w:val="00000001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 xml:space="preserve">Serum K+ ≤3.5 </w:t>
            </w:r>
            <w:proofErr w:type="spellStart"/>
            <w:r w:rsidRPr="00573C3D">
              <w:rPr>
                <w:rFonts w:ascii="Cambria" w:eastAsia="Times New Roman" w:hAnsi="Cambria"/>
                <w:b w:val="0"/>
                <w:lang w:val="en-GB" w:eastAsia="it-IT"/>
              </w:rPr>
              <w:t>mEq</w:t>
            </w:r>
            <w:proofErr w:type="spellEnd"/>
            <w:r w:rsidRPr="00573C3D">
              <w:rPr>
                <w:rFonts w:ascii="Cambria" w:eastAsia="Times New Roman" w:hAnsi="Cambria"/>
                <w:b w:val="0"/>
                <w:lang w:val="en-GB" w:eastAsia="it-IT"/>
              </w:rPr>
              <w:t>/L</w:t>
            </w:r>
          </w:p>
        </w:tc>
        <w:tc>
          <w:tcPr>
            <w:tcW w:w="0" w:type="auto"/>
            <w:vAlign w:val="center"/>
            <w:hideMark/>
          </w:tcPr>
          <w:p w:rsidR="00C265F0" w:rsidRPr="00573C3D" w:rsidRDefault="00C265F0" w:rsidP="00C265F0">
            <w:pPr>
              <w:spacing w:after="240"/>
              <w:jc w:val="center"/>
              <w:cnfStyle w:val="000000010000"/>
              <w:rPr>
                <w:rFonts w:ascii="Cambria" w:eastAsia="Times New Roman" w:hAnsi="Cambria"/>
                <w:lang w:val="en-GB" w:eastAsia="it-IT"/>
              </w:rPr>
            </w:pPr>
            <w:r w:rsidRPr="00573C3D">
              <w:rPr>
                <w:rFonts w:ascii="Cambria" w:eastAsia="Times New Roman" w:hAnsi="Cambria"/>
                <w:lang w:val="en-GB" w:eastAsia="it-IT"/>
              </w:rPr>
              <w:t>2</w:t>
            </w:r>
          </w:p>
        </w:tc>
      </w:tr>
      <w:tr w:rsidR="00C265F0" w:rsidRPr="00573C3D" w:rsidTr="00C265F0">
        <w:trPr>
          <w:cnfStyle w:val="00000010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 xml:space="preserve">Admission </w:t>
            </w:r>
            <w:proofErr w:type="spellStart"/>
            <w:r w:rsidRPr="00573C3D">
              <w:rPr>
                <w:rFonts w:ascii="Cambria" w:eastAsia="Times New Roman" w:hAnsi="Cambria"/>
                <w:b w:val="0"/>
                <w:lang w:val="en-GB" w:eastAsia="it-IT"/>
              </w:rPr>
              <w:t>QTc</w:t>
            </w:r>
            <w:proofErr w:type="spellEnd"/>
            <w:r w:rsidRPr="00573C3D">
              <w:rPr>
                <w:rFonts w:ascii="Cambria" w:eastAsia="Times New Roman" w:hAnsi="Cambria"/>
                <w:b w:val="0"/>
                <w:lang w:val="en-GB" w:eastAsia="it-IT"/>
              </w:rPr>
              <w:t xml:space="preserve"> ≥450 ms</w:t>
            </w:r>
          </w:p>
        </w:tc>
        <w:tc>
          <w:tcPr>
            <w:tcW w:w="0" w:type="auto"/>
            <w:vAlign w:val="center"/>
            <w:hideMark/>
          </w:tcPr>
          <w:p w:rsidR="00C265F0" w:rsidRPr="00573C3D" w:rsidRDefault="00C265F0" w:rsidP="00C265F0">
            <w:pPr>
              <w:spacing w:after="240"/>
              <w:jc w:val="center"/>
              <w:cnfStyle w:val="000000100000"/>
              <w:rPr>
                <w:rFonts w:ascii="Cambria" w:eastAsia="Times New Roman" w:hAnsi="Cambria"/>
                <w:lang w:val="en-GB" w:eastAsia="it-IT"/>
              </w:rPr>
            </w:pPr>
            <w:r w:rsidRPr="00573C3D">
              <w:rPr>
                <w:rFonts w:ascii="Cambria" w:eastAsia="Times New Roman" w:hAnsi="Cambria"/>
                <w:lang w:val="en-GB" w:eastAsia="it-IT"/>
              </w:rPr>
              <w:t>2</w:t>
            </w:r>
          </w:p>
        </w:tc>
      </w:tr>
      <w:tr w:rsidR="00C265F0" w:rsidRPr="00573C3D" w:rsidTr="00C265F0">
        <w:trPr>
          <w:cnfStyle w:val="00000001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Acute MI</w:t>
            </w:r>
          </w:p>
        </w:tc>
        <w:tc>
          <w:tcPr>
            <w:tcW w:w="0" w:type="auto"/>
            <w:vAlign w:val="center"/>
            <w:hideMark/>
          </w:tcPr>
          <w:p w:rsidR="00C265F0" w:rsidRPr="00573C3D" w:rsidRDefault="00C265F0" w:rsidP="00C265F0">
            <w:pPr>
              <w:spacing w:after="240"/>
              <w:jc w:val="center"/>
              <w:cnfStyle w:val="000000010000"/>
              <w:rPr>
                <w:rFonts w:ascii="Cambria" w:eastAsia="Times New Roman" w:hAnsi="Cambria"/>
                <w:lang w:val="en-GB" w:eastAsia="it-IT"/>
              </w:rPr>
            </w:pPr>
            <w:r w:rsidRPr="00573C3D">
              <w:rPr>
                <w:rFonts w:ascii="Cambria" w:eastAsia="Times New Roman" w:hAnsi="Cambria"/>
                <w:lang w:val="en-GB" w:eastAsia="it-IT"/>
              </w:rPr>
              <w:t>2</w:t>
            </w:r>
          </w:p>
        </w:tc>
      </w:tr>
      <w:tr w:rsidR="00C265F0" w:rsidRPr="00573C3D" w:rsidTr="00C265F0">
        <w:trPr>
          <w:cnfStyle w:val="00000010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≥2 QTc-prolonging drugs</w:t>
            </w:r>
          </w:p>
        </w:tc>
        <w:tc>
          <w:tcPr>
            <w:tcW w:w="0" w:type="auto"/>
            <w:vAlign w:val="center"/>
            <w:hideMark/>
          </w:tcPr>
          <w:p w:rsidR="00C265F0" w:rsidRPr="00573C3D" w:rsidRDefault="00C265F0" w:rsidP="00C265F0">
            <w:pPr>
              <w:spacing w:after="240"/>
              <w:jc w:val="center"/>
              <w:cnfStyle w:val="000000100000"/>
              <w:rPr>
                <w:rFonts w:ascii="Cambria" w:eastAsia="Times New Roman" w:hAnsi="Cambria"/>
                <w:lang w:val="en-GB" w:eastAsia="it-IT"/>
              </w:rPr>
            </w:pPr>
            <w:r w:rsidRPr="00573C3D">
              <w:rPr>
                <w:rFonts w:ascii="Cambria" w:eastAsia="Times New Roman" w:hAnsi="Cambria"/>
                <w:lang w:val="en-GB" w:eastAsia="it-IT"/>
              </w:rPr>
              <w:t>3</w:t>
            </w:r>
          </w:p>
        </w:tc>
      </w:tr>
      <w:tr w:rsidR="00C265F0" w:rsidRPr="00573C3D" w:rsidTr="00C265F0">
        <w:trPr>
          <w:cnfStyle w:val="000000010000"/>
          <w:trHeight w:val="283"/>
        </w:trPr>
        <w:tc>
          <w:tcPr>
            <w:cnfStyle w:val="001000000000"/>
            <w:tcW w:w="0" w:type="auto"/>
            <w:vAlign w:val="center"/>
            <w:hideMark/>
          </w:tcPr>
          <w:p w:rsidR="00C265F0" w:rsidRPr="00573C3D" w:rsidRDefault="00340BF8" w:rsidP="00C265F0">
            <w:pPr>
              <w:spacing w:after="240"/>
              <w:rPr>
                <w:rFonts w:ascii="Cambria" w:eastAsia="Times New Roman" w:hAnsi="Cambria"/>
                <w:b w:val="0"/>
                <w:lang w:val="en-GB" w:eastAsia="it-IT"/>
              </w:rPr>
            </w:pPr>
            <w:r>
              <w:rPr>
                <w:rFonts w:eastAsia="Times New Roman"/>
                <w:b w:val="0"/>
                <w:lang w:val="en-GB" w:eastAsia="it-IT"/>
              </w:rPr>
              <w:t>S</w:t>
            </w:r>
            <w:r w:rsidR="00C265F0" w:rsidRPr="00573C3D">
              <w:rPr>
                <w:rFonts w:ascii="Cambria" w:eastAsia="Times New Roman" w:hAnsi="Cambria"/>
                <w:b w:val="0"/>
                <w:lang w:val="en-GB" w:eastAsia="it-IT"/>
              </w:rPr>
              <w:t>epsis</w:t>
            </w:r>
          </w:p>
        </w:tc>
        <w:tc>
          <w:tcPr>
            <w:tcW w:w="0" w:type="auto"/>
            <w:vAlign w:val="center"/>
            <w:hideMark/>
          </w:tcPr>
          <w:p w:rsidR="00C265F0" w:rsidRPr="00573C3D" w:rsidRDefault="00C265F0" w:rsidP="00C265F0">
            <w:pPr>
              <w:spacing w:after="240"/>
              <w:jc w:val="center"/>
              <w:cnfStyle w:val="000000010000"/>
              <w:rPr>
                <w:rFonts w:ascii="Cambria" w:eastAsia="Times New Roman" w:hAnsi="Cambria"/>
                <w:lang w:val="en-GB" w:eastAsia="it-IT"/>
              </w:rPr>
            </w:pPr>
            <w:r w:rsidRPr="00573C3D">
              <w:rPr>
                <w:rFonts w:ascii="Cambria" w:eastAsia="Times New Roman" w:hAnsi="Cambria"/>
                <w:lang w:val="en-GB" w:eastAsia="it-IT"/>
              </w:rPr>
              <w:t>3</w:t>
            </w:r>
          </w:p>
        </w:tc>
      </w:tr>
      <w:tr w:rsidR="00C265F0" w:rsidRPr="00573C3D" w:rsidTr="00C265F0">
        <w:trPr>
          <w:cnfStyle w:val="00000010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Heart failure</w:t>
            </w:r>
          </w:p>
        </w:tc>
        <w:tc>
          <w:tcPr>
            <w:tcW w:w="0" w:type="auto"/>
            <w:vAlign w:val="center"/>
            <w:hideMark/>
          </w:tcPr>
          <w:p w:rsidR="00C265F0" w:rsidRPr="00573C3D" w:rsidRDefault="00C265F0" w:rsidP="00C265F0">
            <w:pPr>
              <w:spacing w:after="240"/>
              <w:jc w:val="center"/>
              <w:cnfStyle w:val="000000100000"/>
              <w:rPr>
                <w:rFonts w:ascii="Cambria" w:eastAsia="Times New Roman" w:hAnsi="Cambria"/>
                <w:lang w:val="en-GB" w:eastAsia="it-IT"/>
              </w:rPr>
            </w:pPr>
            <w:r w:rsidRPr="00573C3D">
              <w:rPr>
                <w:rFonts w:ascii="Cambria" w:eastAsia="Times New Roman" w:hAnsi="Cambria"/>
                <w:lang w:val="en-GB" w:eastAsia="it-IT"/>
              </w:rPr>
              <w:t>3</w:t>
            </w:r>
          </w:p>
        </w:tc>
      </w:tr>
      <w:tr w:rsidR="00C265F0" w:rsidRPr="00573C3D" w:rsidTr="00C265F0">
        <w:trPr>
          <w:cnfStyle w:val="00000001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One QTc-prolonging drug</w:t>
            </w:r>
          </w:p>
        </w:tc>
        <w:tc>
          <w:tcPr>
            <w:tcW w:w="0" w:type="auto"/>
            <w:vAlign w:val="center"/>
            <w:hideMark/>
          </w:tcPr>
          <w:p w:rsidR="00C265F0" w:rsidRPr="00573C3D" w:rsidRDefault="00C265F0" w:rsidP="00C265F0">
            <w:pPr>
              <w:spacing w:after="240"/>
              <w:jc w:val="center"/>
              <w:cnfStyle w:val="000000010000"/>
              <w:rPr>
                <w:rFonts w:ascii="Cambria" w:eastAsia="Times New Roman" w:hAnsi="Cambria"/>
                <w:lang w:val="en-GB" w:eastAsia="it-IT"/>
              </w:rPr>
            </w:pPr>
            <w:r w:rsidRPr="00573C3D">
              <w:rPr>
                <w:rFonts w:ascii="Cambria" w:eastAsia="Times New Roman" w:hAnsi="Cambria"/>
                <w:lang w:val="en-GB" w:eastAsia="it-IT"/>
              </w:rPr>
              <w:t>3</w:t>
            </w:r>
          </w:p>
        </w:tc>
      </w:tr>
      <w:tr w:rsidR="00C265F0" w:rsidRPr="00573C3D" w:rsidTr="00C265F0">
        <w:trPr>
          <w:cnfStyle w:val="000000100000"/>
          <w:trHeight w:val="283"/>
        </w:trPr>
        <w:tc>
          <w:tcPr>
            <w:cnfStyle w:val="001000000000"/>
            <w:tcW w:w="0" w:type="auto"/>
            <w:vAlign w:val="center"/>
            <w:hideMark/>
          </w:tcPr>
          <w:p w:rsidR="00C265F0" w:rsidRPr="00573C3D" w:rsidRDefault="00C265F0" w:rsidP="00C265F0">
            <w:pPr>
              <w:spacing w:after="240"/>
              <w:rPr>
                <w:rFonts w:ascii="Cambria" w:eastAsia="Times New Roman" w:hAnsi="Cambria"/>
                <w:b w:val="0"/>
                <w:lang w:val="en-GB" w:eastAsia="it-IT"/>
              </w:rPr>
            </w:pPr>
            <w:r w:rsidRPr="00573C3D">
              <w:rPr>
                <w:rFonts w:ascii="Cambria" w:eastAsia="Times New Roman" w:hAnsi="Cambria"/>
                <w:b w:val="0"/>
                <w:lang w:val="en-GB" w:eastAsia="it-IT"/>
              </w:rPr>
              <w:t>Maximum Risk Score</w:t>
            </w:r>
          </w:p>
        </w:tc>
        <w:tc>
          <w:tcPr>
            <w:tcW w:w="0" w:type="auto"/>
            <w:vAlign w:val="center"/>
            <w:hideMark/>
          </w:tcPr>
          <w:p w:rsidR="00C265F0" w:rsidRPr="00573C3D" w:rsidRDefault="00C265F0" w:rsidP="00C265F0">
            <w:pPr>
              <w:spacing w:after="240"/>
              <w:jc w:val="center"/>
              <w:cnfStyle w:val="000000100000"/>
              <w:rPr>
                <w:rFonts w:ascii="Cambria" w:eastAsia="Times New Roman" w:hAnsi="Cambria"/>
                <w:lang w:val="en-GB" w:eastAsia="it-IT"/>
              </w:rPr>
            </w:pPr>
            <w:r w:rsidRPr="00573C3D">
              <w:rPr>
                <w:rFonts w:ascii="Cambria" w:eastAsia="Times New Roman" w:hAnsi="Cambria"/>
                <w:lang w:val="en-GB" w:eastAsia="it-IT"/>
              </w:rPr>
              <w:t>21</w:t>
            </w:r>
          </w:p>
        </w:tc>
      </w:tr>
      <w:tr w:rsidR="00C265F0" w:rsidRPr="006C528C" w:rsidTr="00DD7456">
        <w:trPr>
          <w:cnfStyle w:val="000000010000"/>
          <w:trHeight w:val="283"/>
        </w:trPr>
        <w:tc>
          <w:tcPr>
            <w:cnfStyle w:val="001000000000"/>
            <w:tcW w:w="0" w:type="auto"/>
            <w:gridSpan w:val="2"/>
            <w:vAlign w:val="center"/>
            <w:hideMark/>
          </w:tcPr>
          <w:p w:rsidR="00C265F0" w:rsidRPr="00573C3D" w:rsidRDefault="00C265F0" w:rsidP="00DD7456">
            <w:pPr>
              <w:spacing w:after="240"/>
              <w:jc w:val="center"/>
              <w:rPr>
                <w:rFonts w:ascii="Cambria" w:eastAsia="Times New Roman" w:hAnsi="Cambria"/>
                <w:b w:val="0"/>
                <w:lang w:val="en-GB" w:eastAsia="it-IT"/>
              </w:rPr>
            </w:pPr>
            <w:r w:rsidRPr="00573C3D">
              <w:rPr>
                <w:rFonts w:ascii="Cambria" w:eastAsia="Times New Roman" w:hAnsi="Cambria"/>
                <w:b w:val="0"/>
                <w:lang w:val="en-GB" w:eastAsia="it-IT"/>
              </w:rPr>
              <w:t>K+ indicates potassium; and MI, myocardial infarction.</w:t>
            </w:r>
          </w:p>
        </w:tc>
      </w:tr>
    </w:tbl>
    <w:p w:rsidR="00AD1471" w:rsidRPr="00573C3D" w:rsidRDefault="00C265F0" w:rsidP="00AD1471">
      <w:pPr>
        <w:shd w:val="clear" w:color="auto" w:fill="FFFFFF"/>
        <w:spacing w:before="100" w:beforeAutospacing="1" w:after="100" w:afterAutospacing="1"/>
        <w:rPr>
          <w:rFonts w:eastAsia="Times New Roman"/>
          <w:lang w:val="en-GB" w:eastAsia="it-IT"/>
        </w:rPr>
      </w:pPr>
      <w:r w:rsidRPr="00573C3D">
        <w:rPr>
          <w:rFonts w:eastAsia="Times New Roman"/>
          <w:lang w:val="en-GB" w:eastAsia="it-IT"/>
        </w:rPr>
        <w:t>Risk Levels: a</w:t>
      </w:r>
      <w:r w:rsidR="00A47C2D" w:rsidRPr="00573C3D">
        <w:rPr>
          <w:rFonts w:eastAsia="Times New Roman"/>
          <w:lang w:val="en-GB" w:eastAsia="it-IT"/>
        </w:rPr>
        <w:t xml:space="preserve"> </w:t>
      </w:r>
      <w:r w:rsidR="00AD1471" w:rsidRPr="00573C3D">
        <w:rPr>
          <w:rFonts w:eastAsia="Times New Roman"/>
          <w:lang w:val="en-GB" w:eastAsia="it-IT"/>
        </w:rPr>
        <w:t xml:space="preserve"> score of ≤ 6 predicts low risk, 7-10 medium risk, and ≥ 11 high risk of drug-associated QT prolongation.</w:t>
      </w:r>
    </w:p>
    <w:p w:rsidR="00F65655" w:rsidRPr="00573C3D" w:rsidRDefault="00F65655" w:rsidP="00C265F0">
      <w:pPr>
        <w:rPr>
          <w:b/>
          <w:lang w:val="en-GB" w:eastAsia="ja-JP"/>
        </w:rPr>
      </w:pPr>
    </w:p>
    <w:p w:rsidR="004835A5" w:rsidRDefault="004835A5" w:rsidP="00C265F0">
      <w:pPr>
        <w:rPr>
          <w:b/>
          <w:lang w:val="en-GB" w:eastAsia="ja-JP"/>
        </w:rPr>
      </w:pPr>
    </w:p>
    <w:p w:rsidR="00C265F0" w:rsidRPr="00395598" w:rsidRDefault="00604672" w:rsidP="00395598">
      <w:pPr>
        <w:pStyle w:val="Nagwek1"/>
        <w:rPr>
          <w:rFonts w:ascii="Cambria" w:hAnsi="Cambria"/>
          <w:b/>
          <w:color w:val="auto"/>
          <w:sz w:val="24"/>
          <w:szCs w:val="24"/>
          <w:lang w:val="en-GB" w:eastAsia="ja-JP"/>
        </w:rPr>
      </w:pPr>
      <w:bookmarkStart w:id="52" w:name="_Toc86608116"/>
      <w:r w:rsidRPr="00395598">
        <w:rPr>
          <w:rFonts w:ascii="Cambria" w:hAnsi="Cambria"/>
          <w:b/>
          <w:color w:val="auto"/>
          <w:sz w:val="24"/>
          <w:szCs w:val="24"/>
          <w:lang w:val="en-GB" w:eastAsia="ja-JP"/>
        </w:rPr>
        <w:lastRenderedPageBreak/>
        <w:t>6. Study Assessment and Procedures</w:t>
      </w:r>
      <w:bookmarkEnd w:id="52"/>
    </w:p>
    <w:p w:rsidR="00C265F0" w:rsidRPr="00573C3D" w:rsidRDefault="00C265F0" w:rsidP="00CF2405">
      <w:pPr>
        <w:jc w:val="both"/>
        <w:rPr>
          <w:b/>
          <w:lang w:val="en-GB" w:eastAsia="ja-JP"/>
        </w:rPr>
      </w:pPr>
    </w:p>
    <w:p w:rsidR="00C265F0" w:rsidRPr="00395598" w:rsidRDefault="00604672" w:rsidP="00395598">
      <w:pPr>
        <w:pStyle w:val="Nagwek2"/>
        <w:rPr>
          <w:rFonts w:ascii="Cambria" w:hAnsi="Cambria"/>
          <w:b/>
          <w:color w:val="auto"/>
          <w:sz w:val="24"/>
          <w:lang w:val="en-GB" w:eastAsia="ja-JP"/>
        </w:rPr>
      </w:pPr>
      <w:bookmarkStart w:id="53" w:name="_Toc86608117"/>
      <w:r w:rsidRPr="00395598">
        <w:rPr>
          <w:rFonts w:ascii="Cambria" w:hAnsi="Cambria"/>
          <w:b/>
          <w:color w:val="auto"/>
          <w:sz w:val="24"/>
          <w:lang w:val="en-GB" w:eastAsia="ja-JP"/>
        </w:rPr>
        <w:t>6. 1 General information</w:t>
      </w:r>
      <w:bookmarkEnd w:id="53"/>
    </w:p>
    <w:p w:rsidR="00C265F0" w:rsidRDefault="00604672" w:rsidP="00CF2405">
      <w:pPr>
        <w:jc w:val="both"/>
        <w:rPr>
          <w:lang w:val="en-GB" w:eastAsia="ja-JP"/>
        </w:rPr>
      </w:pPr>
      <w:r w:rsidRPr="00604672">
        <w:rPr>
          <w:lang w:val="en-GB" w:eastAsia="ja-JP"/>
        </w:rPr>
        <w:t xml:space="preserve">Protocol waivers or exemptions are not allowed. Immediate safety concerns should be discussed with the sponsor immediately upon occurrence or awareness to determine if the participant should continue or discontinue study treatment. Adherence to the study design requirements, including those specified in the </w:t>
      </w:r>
      <w:proofErr w:type="spellStart"/>
      <w:r w:rsidRPr="00604672">
        <w:rPr>
          <w:lang w:val="en-GB" w:eastAsia="ja-JP"/>
        </w:rPr>
        <w:t>SoA</w:t>
      </w:r>
      <w:proofErr w:type="spellEnd"/>
      <w:r w:rsidRPr="00604672">
        <w:rPr>
          <w:lang w:val="en-GB" w:eastAsia="ja-JP"/>
        </w:rPr>
        <w:t xml:space="preserve">, is essential and required for study conduct. All screening evaluations must be completed and reviewed to confirm that potential participants meet all eligibility criteria. The investigator will maintain a screening log to record details of all participants screened and to confirm eligibility or record reasons for screening failure, as applicable. Procedures conducted as part of the </w:t>
      </w:r>
      <w:r w:rsidRPr="00604672">
        <w:rPr>
          <w:color w:val="000000" w:themeColor="text1"/>
          <w:lang w:val="en-GB" w:eastAsia="ja-JP"/>
        </w:rPr>
        <w:t xml:space="preserve">participant’s routine clinical management  and obtained before signing of the ICF </w:t>
      </w:r>
      <w:r w:rsidRPr="00604672">
        <w:rPr>
          <w:lang w:val="en-GB" w:eastAsia="ja-JP"/>
        </w:rPr>
        <w:t xml:space="preserve">may be utilized for screening or baseline purposes provided the procedures met the protocol-specified criteria and were performed within the time frame defined in the </w:t>
      </w:r>
      <w:proofErr w:type="spellStart"/>
      <w:r w:rsidRPr="00604672">
        <w:rPr>
          <w:lang w:val="en-GB" w:eastAsia="ja-JP"/>
        </w:rPr>
        <w:t>SoA</w:t>
      </w:r>
      <w:proofErr w:type="spellEnd"/>
      <w:r w:rsidRPr="00604672">
        <w:rPr>
          <w:lang w:val="en-GB" w:eastAsia="ja-JP"/>
        </w:rPr>
        <w:t>.</w:t>
      </w:r>
    </w:p>
    <w:p w:rsidR="0041459E" w:rsidRPr="00573C3D" w:rsidRDefault="0041459E" w:rsidP="00CF2405">
      <w:pPr>
        <w:jc w:val="both"/>
        <w:rPr>
          <w:lang w:val="en-GB" w:eastAsia="ja-JP"/>
        </w:rPr>
      </w:pPr>
    </w:p>
    <w:p w:rsidR="00C265F0" w:rsidRPr="00573C3D" w:rsidRDefault="00C265F0" w:rsidP="00CF2405">
      <w:pPr>
        <w:jc w:val="both"/>
        <w:rPr>
          <w:lang w:val="en-GB" w:eastAsia="ja-JP"/>
        </w:rPr>
      </w:pPr>
    </w:p>
    <w:p w:rsidR="00C265F0" w:rsidRPr="00395598" w:rsidRDefault="00604672" w:rsidP="00395598">
      <w:pPr>
        <w:pStyle w:val="Nagwek2"/>
        <w:rPr>
          <w:rFonts w:ascii="Cambria" w:hAnsi="Cambria"/>
          <w:b/>
          <w:color w:val="auto"/>
          <w:sz w:val="24"/>
          <w:lang w:val="en-GB" w:eastAsia="ja-JP"/>
        </w:rPr>
      </w:pPr>
      <w:bookmarkStart w:id="54" w:name="_Toc38208558"/>
      <w:bookmarkStart w:id="55" w:name="_Toc86608118"/>
      <w:r w:rsidRPr="00395598">
        <w:rPr>
          <w:rFonts w:ascii="Cambria" w:hAnsi="Cambria"/>
          <w:b/>
          <w:color w:val="auto"/>
          <w:sz w:val="24"/>
          <w:lang w:val="en-GB" w:eastAsia="ja-JP"/>
        </w:rPr>
        <w:t>6.2 Standard treatment of Coronavirus Disease 2019 (COVID-19)</w:t>
      </w:r>
      <w:bookmarkEnd w:id="54"/>
      <w:bookmarkEnd w:id="55"/>
    </w:p>
    <w:p w:rsidR="00C265F0" w:rsidRPr="00573C3D" w:rsidRDefault="00C265F0" w:rsidP="00CF2405">
      <w:pPr>
        <w:pStyle w:val="Default"/>
        <w:jc w:val="both"/>
        <w:outlineLvl w:val="0"/>
        <w:rPr>
          <w:rFonts w:ascii="Cambria" w:hAnsi="Cambria"/>
          <w:b/>
          <w:lang w:val="en-GB" w:eastAsia="ja-JP"/>
        </w:rPr>
      </w:pPr>
    </w:p>
    <w:p w:rsidR="00DE2716" w:rsidRDefault="00C265F0" w:rsidP="00CF2405">
      <w:pPr>
        <w:pStyle w:val="Default"/>
        <w:jc w:val="both"/>
        <w:outlineLvl w:val="0"/>
        <w:rPr>
          <w:rFonts w:ascii="Cambria" w:hAnsi="Cambria" w:cs="Times New Roman"/>
          <w:lang w:val="en-GB"/>
        </w:rPr>
      </w:pPr>
      <w:bookmarkStart w:id="56" w:name="_Toc54897299"/>
      <w:bookmarkStart w:id="57" w:name="_Toc86608119"/>
      <w:bookmarkStart w:id="58" w:name="_Toc40961983"/>
      <w:bookmarkStart w:id="59" w:name="_Toc38208559"/>
      <w:bookmarkStart w:id="60" w:name="_Toc38214878"/>
      <w:r w:rsidRPr="00573C3D">
        <w:rPr>
          <w:rFonts w:ascii="Cambria" w:hAnsi="Cambria" w:cs="Times New Roman"/>
          <w:lang w:val="en-GB"/>
        </w:rPr>
        <w:t xml:space="preserve">Usual care means: </w:t>
      </w:r>
      <w:r w:rsidR="00340BF8" w:rsidRPr="00573C3D">
        <w:rPr>
          <w:rFonts w:ascii="Cambria" w:hAnsi="Cambria" w:cs="Times New Roman"/>
          <w:lang w:val="en-GB"/>
        </w:rPr>
        <w:t>oxygen therapy for hypoxemia</w:t>
      </w:r>
      <w:r w:rsidR="00340BF8">
        <w:rPr>
          <w:rFonts w:ascii="Cambria" w:hAnsi="Cambria" w:cs="Times New Roman"/>
          <w:lang w:val="en-GB"/>
        </w:rPr>
        <w:t xml:space="preserve">, </w:t>
      </w:r>
      <w:r w:rsidRPr="00573C3D">
        <w:rPr>
          <w:rFonts w:ascii="Cambria" w:hAnsi="Cambria" w:cs="Times New Roman"/>
          <w:lang w:val="en-GB"/>
        </w:rPr>
        <w:t>symptomatic treatment for the comfort and well-being of the patient (e.g. rest, fluid therapy, pain relievers, antipyretics)</w:t>
      </w:r>
      <w:r w:rsidR="009B0F52">
        <w:rPr>
          <w:rFonts w:ascii="Cambria" w:hAnsi="Cambria" w:cs="Times New Roman"/>
          <w:lang w:val="en-GB"/>
        </w:rPr>
        <w:t xml:space="preserve">, </w:t>
      </w:r>
      <w:r w:rsidR="009B0F52" w:rsidRPr="009B0F52">
        <w:rPr>
          <w:rFonts w:ascii="Cambria" w:hAnsi="Cambria" w:cs="Times New Roman"/>
          <w:lang w:val="en-GB"/>
        </w:rPr>
        <w:t>anticoagulant prophylaxis</w:t>
      </w:r>
      <w:r w:rsidRPr="00573C3D">
        <w:rPr>
          <w:rFonts w:ascii="Cambria" w:hAnsi="Cambria" w:cs="Times New Roman"/>
          <w:lang w:val="en-GB"/>
        </w:rPr>
        <w:t xml:space="preserve"> and </w:t>
      </w:r>
      <w:r w:rsidR="00340BF8" w:rsidRPr="00DE2716">
        <w:rPr>
          <w:rFonts w:ascii="Cambria" w:hAnsi="Cambria" w:cs="Times New Roman"/>
          <w:lang w:val="en-GB"/>
        </w:rPr>
        <w:t xml:space="preserve">drugs with </w:t>
      </w:r>
      <w:r w:rsidR="00340BF8">
        <w:rPr>
          <w:rFonts w:ascii="Cambria" w:hAnsi="Cambria" w:cs="Times New Roman"/>
          <w:lang w:val="en-GB"/>
        </w:rPr>
        <w:t xml:space="preserve">supposed </w:t>
      </w:r>
      <w:r w:rsidR="009B0F52">
        <w:rPr>
          <w:rFonts w:ascii="Cambria" w:hAnsi="Cambria" w:cs="Times New Roman"/>
          <w:lang w:val="en-GB"/>
        </w:rPr>
        <w:t>or</w:t>
      </w:r>
      <w:r w:rsidR="00340BF8">
        <w:rPr>
          <w:rFonts w:ascii="Cambria" w:hAnsi="Cambria" w:cs="Times New Roman"/>
          <w:lang w:val="en-GB"/>
        </w:rPr>
        <w:t xml:space="preserve"> documented</w:t>
      </w:r>
      <w:r w:rsidR="00340BF8" w:rsidRPr="00DE2716">
        <w:rPr>
          <w:rFonts w:ascii="Cambria" w:hAnsi="Cambria" w:cs="Times New Roman"/>
          <w:lang w:val="en-GB"/>
        </w:rPr>
        <w:t xml:space="preserve"> antiviral activity</w:t>
      </w:r>
      <w:r w:rsidR="009B0F52">
        <w:rPr>
          <w:rFonts w:ascii="Cambria" w:hAnsi="Cambria" w:cs="Times New Roman"/>
          <w:lang w:val="en-GB"/>
        </w:rPr>
        <w:t xml:space="preserve"> recommended in local guidelines.</w:t>
      </w:r>
      <w:bookmarkEnd w:id="56"/>
      <w:bookmarkEnd w:id="57"/>
      <w:r w:rsidR="009B0F52">
        <w:rPr>
          <w:rFonts w:ascii="Cambria" w:hAnsi="Cambria" w:cs="Times New Roman"/>
          <w:lang w:val="en-GB"/>
        </w:rPr>
        <w:t xml:space="preserve"> </w:t>
      </w:r>
      <w:bookmarkEnd w:id="58"/>
    </w:p>
    <w:bookmarkEnd w:id="59"/>
    <w:bookmarkEnd w:id="60"/>
    <w:p w:rsidR="00395598" w:rsidRPr="00573C3D" w:rsidRDefault="00395598" w:rsidP="00CF2405">
      <w:pPr>
        <w:pStyle w:val="Default"/>
        <w:jc w:val="both"/>
        <w:outlineLvl w:val="0"/>
        <w:rPr>
          <w:rFonts w:ascii="Cambria" w:hAnsi="Cambria" w:cs="Times New Roman"/>
          <w:lang w:val="en-GB"/>
        </w:rPr>
      </w:pPr>
    </w:p>
    <w:p w:rsidR="000C794A" w:rsidRDefault="00141BED">
      <w:pPr>
        <w:pStyle w:val="Nagwek2"/>
        <w:rPr>
          <w:rFonts w:eastAsia="Times New Roman"/>
          <w:lang w:val="en-GB" w:eastAsia="it-IT"/>
        </w:rPr>
      </w:pPr>
      <w:bookmarkStart w:id="61" w:name="_Toc86608120"/>
      <w:r w:rsidRPr="00395598">
        <w:rPr>
          <w:rFonts w:ascii="Cambria" w:eastAsia="Times New Roman" w:hAnsi="Cambria"/>
          <w:b/>
          <w:color w:val="auto"/>
          <w:sz w:val="24"/>
          <w:lang w:val="en-GB" w:eastAsia="it-IT"/>
        </w:rPr>
        <w:t>6.3 Schedule of Activities (</w:t>
      </w:r>
      <w:proofErr w:type="spellStart"/>
      <w:r w:rsidRPr="00395598">
        <w:rPr>
          <w:rFonts w:ascii="Cambria" w:eastAsia="Times New Roman" w:hAnsi="Cambria"/>
          <w:b/>
          <w:color w:val="auto"/>
          <w:sz w:val="24"/>
          <w:lang w:val="en-GB" w:eastAsia="it-IT"/>
        </w:rPr>
        <w:t>SoA</w:t>
      </w:r>
      <w:proofErr w:type="spellEnd"/>
      <w:r w:rsidRPr="00395598">
        <w:rPr>
          <w:rFonts w:ascii="Cambria" w:eastAsia="Times New Roman" w:hAnsi="Cambria"/>
          <w:b/>
          <w:color w:val="auto"/>
          <w:sz w:val="24"/>
          <w:lang w:val="en-GB" w:eastAsia="it-IT"/>
        </w:rPr>
        <w:t>)</w:t>
      </w:r>
      <w:bookmarkEnd w:id="61"/>
    </w:p>
    <w:p w:rsidR="00141BED" w:rsidRPr="00573C3D" w:rsidRDefault="00141BED" w:rsidP="00AD1471">
      <w:pPr>
        <w:shd w:val="clear" w:color="auto" w:fill="FFFFFF"/>
        <w:spacing w:before="100" w:beforeAutospacing="1" w:after="100" w:afterAutospacing="1"/>
        <w:rPr>
          <w:rFonts w:eastAsia="Times New Roman"/>
          <w:b/>
          <w:lang w:val="en-GB" w:eastAsia="it-IT"/>
        </w:rPr>
      </w:pPr>
    </w:p>
    <w:p w:rsidR="004835A5" w:rsidRPr="00573C3D" w:rsidRDefault="004835A5" w:rsidP="00AD1471">
      <w:pPr>
        <w:shd w:val="clear" w:color="auto" w:fill="FFFFFF"/>
        <w:spacing w:before="100" w:beforeAutospacing="1" w:after="100" w:afterAutospacing="1"/>
        <w:rPr>
          <w:rFonts w:eastAsia="Times New Roman"/>
          <w:b/>
          <w:lang w:val="en-GB" w:eastAsia="it-IT"/>
        </w:rPr>
      </w:pPr>
    </w:p>
    <w:p w:rsidR="00141BED" w:rsidRPr="00573C3D" w:rsidRDefault="00141BED" w:rsidP="00AD1471">
      <w:pPr>
        <w:shd w:val="clear" w:color="auto" w:fill="FFFFFF"/>
        <w:spacing w:before="100" w:beforeAutospacing="1" w:after="100" w:afterAutospacing="1"/>
        <w:rPr>
          <w:rFonts w:eastAsia="Times New Roman"/>
          <w:b/>
          <w:lang w:val="en-GB" w:eastAsia="it-IT"/>
        </w:rPr>
      </w:pPr>
    </w:p>
    <w:p w:rsidR="00141BED" w:rsidRPr="00573C3D" w:rsidRDefault="00141BED" w:rsidP="00AD1471">
      <w:pPr>
        <w:shd w:val="clear" w:color="auto" w:fill="FFFFFF"/>
        <w:spacing w:before="100" w:beforeAutospacing="1" w:after="100" w:afterAutospacing="1"/>
        <w:rPr>
          <w:rFonts w:eastAsia="Times New Roman"/>
          <w:b/>
          <w:lang w:val="en-GB" w:eastAsia="it-IT"/>
        </w:rPr>
      </w:pPr>
    </w:p>
    <w:p w:rsidR="00141BED" w:rsidRDefault="00141BED" w:rsidP="00AD1471">
      <w:pPr>
        <w:shd w:val="clear" w:color="auto" w:fill="FFFFFF"/>
        <w:spacing w:before="100" w:beforeAutospacing="1" w:after="100" w:afterAutospacing="1"/>
        <w:rPr>
          <w:rFonts w:eastAsia="Times New Roman"/>
          <w:b/>
          <w:lang w:val="en-GB" w:eastAsia="it-IT"/>
        </w:rPr>
      </w:pPr>
    </w:p>
    <w:p w:rsidR="004835A5" w:rsidRPr="00573C3D" w:rsidRDefault="004835A5" w:rsidP="00AD1471">
      <w:pPr>
        <w:shd w:val="clear" w:color="auto" w:fill="FFFFFF"/>
        <w:spacing w:before="100" w:beforeAutospacing="1" w:after="100" w:afterAutospacing="1"/>
        <w:rPr>
          <w:rFonts w:eastAsia="Times New Roman"/>
          <w:b/>
          <w:lang w:val="en-GB" w:eastAsia="it-IT"/>
        </w:rPr>
      </w:pPr>
    </w:p>
    <w:p w:rsidR="00141BED" w:rsidRPr="00573C3D" w:rsidRDefault="00141BED" w:rsidP="00AD1471">
      <w:pPr>
        <w:shd w:val="clear" w:color="auto" w:fill="FFFFFF"/>
        <w:spacing w:before="100" w:beforeAutospacing="1" w:after="100" w:afterAutospacing="1"/>
        <w:rPr>
          <w:rFonts w:eastAsia="Times New Roman"/>
          <w:b/>
          <w:lang w:val="en-GB" w:eastAsia="it-IT"/>
        </w:rPr>
      </w:pPr>
    </w:p>
    <w:p w:rsidR="00141BED" w:rsidRPr="00573C3D" w:rsidRDefault="00141BED" w:rsidP="00F65655">
      <w:pPr>
        <w:shd w:val="clear" w:color="auto" w:fill="FFFFFF"/>
        <w:spacing w:before="100" w:beforeAutospacing="1" w:after="100" w:afterAutospacing="1"/>
        <w:rPr>
          <w:rFonts w:eastAsia="Times New Roman"/>
          <w:b/>
          <w:lang w:val="en-GB" w:eastAsia="it-IT"/>
        </w:rPr>
        <w:sectPr w:rsidR="00141BED" w:rsidRPr="00573C3D" w:rsidSect="005C1381">
          <w:headerReference w:type="default" r:id="rId12"/>
          <w:footerReference w:type="default" r:id="rId13"/>
          <w:pgSz w:w="11900" w:h="16840"/>
          <w:pgMar w:top="1134" w:right="1418" w:bottom="1276" w:left="1418" w:header="709" w:footer="709" w:gutter="0"/>
          <w:cols w:space="708"/>
          <w:noEndnote/>
        </w:sectPr>
      </w:pPr>
    </w:p>
    <w:tbl>
      <w:tblPr>
        <w:tblStyle w:val="Tabela-Siatka"/>
        <w:tblpPr w:leftFromText="141" w:rightFromText="141" w:vertAnchor="page" w:horzAnchor="margin" w:tblpY="1992"/>
        <w:tblW w:w="14283" w:type="dxa"/>
        <w:tblLayout w:type="fixed"/>
        <w:tblLook w:val="04A0"/>
      </w:tblPr>
      <w:tblGrid>
        <w:gridCol w:w="3227"/>
        <w:gridCol w:w="1276"/>
        <w:gridCol w:w="624"/>
        <w:gridCol w:w="624"/>
        <w:gridCol w:w="624"/>
        <w:gridCol w:w="624"/>
        <w:gridCol w:w="624"/>
        <w:gridCol w:w="624"/>
        <w:gridCol w:w="624"/>
        <w:gridCol w:w="624"/>
        <w:gridCol w:w="624"/>
        <w:gridCol w:w="624"/>
        <w:gridCol w:w="624"/>
        <w:gridCol w:w="624"/>
        <w:gridCol w:w="591"/>
        <w:gridCol w:w="567"/>
        <w:gridCol w:w="1134"/>
      </w:tblGrid>
      <w:tr w:rsidR="00141BED" w:rsidRPr="006C528C" w:rsidTr="00C22721">
        <w:tc>
          <w:tcPr>
            <w:tcW w:w="3227"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lastRenderedPageBreak/>
              <w:t>Phase of study/ Point of time</w:t>
            </w:r>
          </w:p>
        </w:tc>
        <w:tc>
          <w:tcPr>
            <w:tcW w:w="1276"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1 screening/ enrolment</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2</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3</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4</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5</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6</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7</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8</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9</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10</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w:t>
            </w:r>
          </w:p>
          <w:p w:rsidR="00141BED" w:rsidRPr="00573C3D" w:rsidRDefault="00604672" w:rsidP="004835A5">
            <w:pPr>
              <w:jc w:val="center"/>
              <w:rPr>
                <w:rFonts w:ascii="Cambria" w:hAnsi="Cambria"/>
                <w:b/>
                <w:sz w:val="20"/>
                <w:szCs w:val="20"/>
                <w:lang w:val="en-GB"/>
              </w:rPr>
            </w:pPr>
            <w:r w:rsidRPr="00604672">
              <w:rPr>
                <w:b/>
                <w:sz w:val="20"/>
                <w:szCs w:val="20"/>
                <w:lang w:val="en-GB"/>
              </w:rPr>
              <w:t>11</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w:t>
            </w:r>
          </w:p>
          <w:p w:rsidR="00141BED" w:rsidRPr="00573C3D" w:rsidRDefault="00604672" w:rsidP="004835A5">
            <w:pPr>
              <w:jc w:val="center"/>
              <w:rPr>
                <w:rFonts w:ascii="Cambria" w:hAnsi="Cambria"/>
                <w:b/>
                <w:sz w:val="20"/>
                <w:szCs w:val="20"/>
                <w:lang w:val="en-GB"/>
              </w:rPr>
            </w:pPr>
            <w:r w:rsidRPr="00604672">
              <w:rPr>
                <w:b/>
                <w:sz w:val="20"/>
                <w:szCs w:val="20"/>
                <w:lang w:val="en-GB"/>
              </w:rPr>
              <w:t>12</w:t>
            </w:r>
          </w:p>
        </w:tc>
        <w:tc>
          <w:tcPr>
            <w:tcW w:w="62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13</w:t>
            </w:r>
          </w:p>
        </w:tc>
        <w:tc>
          <w:tcPr>
            <w:tcW w:w="591"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14</w:t>
            </w:r>
          </w:p>
        </w:tc>
        <w:tc>
          <w:tcPr>
            <w:tcW w:w="567"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15</w:t>
            </w:r>
          </w:p>
          <w:p w:rsidR="00141BED" w:rsidRPr="00573C3D" w:rsidRDefault="00604672" w:rsidP="004835A5">
            <w:pPr>
              <w:jc w:val="center"/>
              <w:rPr>
                <w:rFonts w:ascii="Cambria" w:hAnsi="Cambria"/>
                <w:sz w:val="20"/>
                <w:szCs w:val="20"/>
                <w:lang w:val="en-GB"/>
              </w:rPr>
            </w:pPr>
            <w:r w:rsidRPr="00604672">
              <w:rPr>
                <w:sz w:val="20"/>
                <w:szCs w:val="20"/>
                <w:lang w:val="en-GB"/>
              </w:rPr>
              <w:t xml:space="preserve">+/- </w:t>
            </w:r>
            <w:r w:rsidRPr="00604672">
              <w:rPr>
                <w:sz w:val="20"/>
                <w:szCs w:val="20"/>
                <w:lang w:val="en-GB"/>
              </w:rPr>
              <w:br/>
              <w:t>2 days</w:t>
            </w:r>
          </w:p>
        </w:tc>
        <w:tc>
          <w:tcPr>
            <w:tcW w:w="1134" w:type="dxa"/>
            <w:vAlign w:val="center"/>
          </w:tcPr>
          <w:p w:rsidR="00141BED" w:rsidRPr="00573C3D" w:rsidRDefault="00604672" w:rsidP="004835A5">
            <w:pPr>
              <w:jc w:val="center"/>
              <w:rPr>
                <w:rFonts w:ascii="Cambria" w:hAnsi="Cambria"/>
                <w:b/>
                <w:sz w:val="20"/>
                <w:szCs w:val="20"/>
                <w:lang w:val="en-GB"/>
              </w:rPr>
            </w:pPr>
            <w:r w:rsidRPr="00604672">
              <w:rPr>
                <w:b/>
                <w:sz w:val="20"/>
                <w:szCs w:val="20"/>
                <w:lang w:val="en-GB"/>
              </w:rPr>
              <w:t>Day 28</w:t>
            </w:r>
            <w:r w:rsidR="00C22721">
              <w:rPr>
                <w:b/>
                <w:sz w:val="20"/>
                <w:szCs w:val="20"/>
                <w:lang w:val="en-GB"/>
              </w:rPr>
              <w:t xml:space="preserve"> or discharge</w:t>
            </w:r>
          </w:p>
          <w:p w:rsidR="00141BED" w:rsidRPr="00573C3D" w:rsidRDefault="00604672" w:rsidP="004835A5">
            <w:pPr>
              <w:jc w:val="center"/>
              <w:rPr>
                <w:rFonts w:ascii="Cambria" w:hAnsi="Cambria"/>
                <w:sz w:val="20"/>
                <w:szCs w:val="20"/>
                <w:lang w:val="en-GB"/>
              </w:rPr>
            </w:pPr>
            <w:r w:rsidRPr="00604672">
              <w:rPr>
                <w:sz w:val="20"/>
                <w:szCs w:val="20"/>
                <w:lang w:val="en-GB"/>
              </w:rPr>
              <w:t xml:space="preserve">+/- </w:t>
            </w:r>
            <w:r w:rsidRPr="00604672">
              <w:rPr>
                <w:sz w:val="20"/>
                <w:szCs w:val="20"/>
                <w:lang w:val="en-GB"/>
              </w:rPr>
              <w:br/>
              <w:t>2 days</w:t>
            </w:r>
          </w:p>
          <w:p w:rsidR="00141BED" w:rsidRPr="00573C3D" w:rsidRDefault="00604672" w:rsidP="004835A5">
            <w:pPr>
              <w:jc w:val="center"/>
              <w:rPr>
                <w:rFonts w:ascii="Cambria" w:hAnsi="Cambria"/>
                <w:b/>
                <w:sz w:val="20"/>
                <w:szCs w:val="20"/>
                <w:lang w:val="en-GB"/>
              </w:rPr>
            </w:pPr>
            <w:r w:rsidRPr="00604672">
              <w:rPr>
                <w:b/>
                <w:sz w:val="20"/>
                <w:szCs w:val="20"/>
                <w:lang w:val="en-GB"/>
              </w:rPr>
              <w:t>(End of Study)</w:t>
            </w: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lang w:val="en-GB"/>
              </w:rPr>
            </w:pPr>
            <w:r w:rsidRPr="00604672">
              <w:rPr>
                <w:sz w:val="20"/>
                <w:szCs w:val="20"/>
                <w:lang w:val="en-GB"/>
              </w:rPr>
              <w:t>Informed Consent</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591" w:type="dxa"/>
            <w:vAlign w:val="center"/>
          </w:tcPr>
          <w:p w:rsidR="00141BED" w:rsidRPr="00573C3D" w:rsidRDefault="00141BED" w:rsidP="004835A5">
            <w:pPr>
              <w:jc w:val="center"/>
              <w:rPr>
                <w:rFonts w:ascii="Cambria" w:hAnsi="Cambria"/>
                <w:sz w:val="20"/>
                <w:szCs w:val="20"/>
                <w:lang w:val="en-GB"/>
              </w:rPr>
            </w:pPr>
          </w:p>
        </w:tc>
        <w:tc>
          <w:tcPr>
            <w:tcW w:w="567" w:type="dxa"/>
            <w:vAlign w:val="center"/>
          </w:tcPr>
          <w:p w:rsidR="00141BED" w:rsidRPr="00573C3D" w:rsidRDefault="00141BED" w:rsidP="004835A5">
            <w:pPr>
              <w:jc w:val="center"/>
              <w:rPr>
                <w:rFonts w:ascii="Cambria" w:hAnsi="Cambria"/>
                <w:sz w:val="20"/>
                <w:szCs w:val="20"/>
                <w:lang w:val="en-GB"/>
              </w:rPr>
            </w:pPr>
          </w:p>
        </w:tc>
        <w:tc>
          <w:tcPr>
            <w:tcW w:w="1134" w:type="dxa"/>
            <w:vAlign w:val="center"/>
          </w:tcPr>
          <w:p w:rsidR="00141BED" w:rsidRPr="00573C3D" w:rsidRDefault="00141BED" w:rsidP="004835A5">
            <w:pPr>
              <w:jc w:val="center"/>
              <w:rPr>
                <w:rFonts w:ascii="Cambria" w:hAnsi="Cambria"/>
                <w:sz w:val="20"/>
                <w:szCs w:val="20"/>
                <w:lang w:val="en-GB"/>
              </w:rPr>
            </w:pP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lang w:val="en-GB"/>
              </w:rPr>
            </w:pPr>
            <w:r w:rsidRPr="00604672">
              <w:rPr>
                <w:sz w:val="20"/>
                <w:szCs w:val="20"/>
                <w:lang w:val="en-GB"/>
              </w:rPr>
              <w:t>I/E Criteria</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591" w:type="dxa"/>
            <w:vAlign w:val="center"/>
          </w:tcPr>
          <w:p w:rsidR="00141BED" w:rsidRPr="00573C3D" w:rsidRDefault="00141BED" w:rsidP="004835A5">
            <w:pPr>
              <w:jc w:val="center"/>
              <w:rPr>
                <w:rFonts w:ascii="Cambria" w:hAnsi="Cambria"/>
                <w:sz w:val="20"/>
                <w:szCs w:val="20"/>
                <w:lang w:val="en-GB"/>
              </w:rPr>
            </w:pPr>
          </w:p>
        </w:tc>
        <w:tc>
          <w:tcPr>
            <w:tcW w:w="567" w:type="dxa"/>
            <w:vAlign w:val="center"/>
          </w:tcPr>
          <w:p w:rsidR="00141BED" w:rsidRPr="00573C3D" w:rsidRDefault="00141BED" w:rsidP="004835A5">
            <w:pPr>
              <w:jc w:val="center"/>
              <w:rPr>
                <w:rFonts w:ascii="Cambria" w:hAnsi="Cambria"/>
                <w:sz w:val="20"/>
                <w:szCs w:val="20"/>
                <w:lang w:val="en-GB"/>
              </w:rPr>
            </w:pPr>
          </w:p>
        </w:tc>
        <w:tc>
          <w:tcPr>
            <w:tcW w:w="1134" w:type="dxa"/>
            <w:vAlign w:val="center"/>
          </w:tcPr>
          <w:p w:rsidR="00141BED" w:rsidRPr="00573C3D" w:rsidRDefault="00141BED" w:rsidP="004835A5">
            <w:pPr>
              <w:jc w:val="center"/>
              <w:rPr>
                <w:rFonts w:ascii="Cambria" w:hAnsi="Cambria"/>
                <w:sz w:val="20"/>
                <w:szCs w:val="20"/>
                <w:lang w:val="en-GB"/>
              </w:rPr>
            </w:pPr>
          </w:p>
        </w:tc>
      </w:tr>
      <w:tr w:rsidR="00EC47B3" w:rsidRPr="00573C3D" w:rsidTr="00C22721">
        <w:trPr>
          <w:trHeight w:val="454"/>
        </w:trPr>
        <w:tc>
          <w:tcPr>
            <w:tcW w:w="3227" w:type="dxa"/>
            <w:vAlign w:val="center"/>
          </w:tcPr>
          <w:p w:rsidR="00EC47B3" w:rsidRPr="00573C3D" w:rsidRDefault="00604672" w:rsidP="004835A5">
            <w:pPr>
              <w:rPr>
                <w:rFonts w:ascii="Cambria" w:hAnsi="Cambria"/>
                <w:sz w:val="20"/>
                <w:szCs w:val="20"/>
                <w:lang w:val="en-GB"/>
              </w:rPr>
            </w:pPr>
            <w:r w:rsidRPr="00604672">
              <w:rPr>
                <w:sz w:val="20"/>
                <w:szCs w:val="20"/>
                <w:lang w:val="en-GB"/>
              </w:rPr>
              <w:t>Randomisation</w:t>
            </w:r>
          </w:p>
        </w:tc>
        <w:tc>
          <w:tcPr>
            <w:tcW w:w="1276" w:type="dxa"/>
            <w:vAlign w:val="center"/>
          </w:tcPr>
          <w:p w:rsidR="00EC47B3"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624" w:type="dxa"/>
            <w:vAlign w:val="center"/>
          </w:tcPr>
          <w:p w:rsidR="00EC47B3" w:rsidRPr="00573C3D" w:rsidRDefault="00EC47B3" w:rsidP="004835A5">
            <w:pPr>
              <w:jc w:val="center"/>
              <w:rPr>
                <w:rFonts w:ascii="Cambria" w:hAnsi="Cambria"/>
                <w:sz w:val="20"/>
                <w:szCs w:val="20"/>
                <w:lang w:val="en-GB"/>
              </w:rPr>
            </w:pPr>
          </w:p>
        </w:tc>
        <w:tc>
          <w:tcPr>
            <w:tcW w:w="591" w:type="dxa"/>
            <w:vAlign w:val="center"/>
          </w:tcPr>
          <w:p w:rsidR="00EC47B3" w:rsidRPr="00573C3D" w:rsidRDefault="00EC47B3" w:rsidP="004835A5">
            <w:pPr>
              <w:jc w:val="center"/>
              <w:rPr>
                <w:rFonts w:ascii="Cambria" w:hAnsi="Cambria"/>
                <w:sz w:val="20"/>
                <w:szCs w:val="20"/>
                <w:lang w:val="en-GB"/>
              </w:rPr>
            </w:pPr>
          </w:p>
        </w:tc>
        <w:tc>
          <w:tcPr>
            <w:tcW w:w="567" w:type="dxa"/>
            <w:vAlign w:val="center"/>
          </w:tcPr>
          <w:p w:rsidR="00EC47B3" w:rsidRPr="00573C3D" w:rsidRDefault="00EC47B3" w:rsidP="004835A5">
            <w:pPr>
              <w:jc w:val="center"/>
              <w:rPr>
                <w:rFonts w:ascii="Cambria" w:hAnsi="Cambria"/>
                <w:sz w:val="20"/>
                <w:szCs w:val="20"/>
                <w:lang w:val="en-GB"/>
              </w:rPr>
            </w:pPr>
          </w:p>
        </w:tc>
        <w:tc>
          <w:tcPr>
            <w:tcW w:w="1134" w:type="dxa"/>
            <w:vAlign w:val="center"/>
          </w:tcPr>
          <w:p w:rsidR="00EC47B3" w:rsidRPr="00573C3D" w:rsidRDefault="00EC47B3" w:rsidP="004835A5">
            <w:pPr>
              <w:jc w:val="center"/>
              <w:rPr>
                <w:rFonts w:ascii="Cambria" w:hAnsi="Cambria"/>
                <w:sz w:val="20"/>
                <w:szCs w:val="20"/>
                <w:lang w:val="en-GB"/>
              </w:rPr>
            </w:pP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vertAlign w:val="superscript"/>
                <w:lang w:val="en-GB"/>
              </w:rPr>
            </w:pPr>
            <w:r w:rsidRPr="00604672">
              <w:rPr>
                <w:sz w:val="20"/>
                <w:szCs w:val="20"/>
                <w:lang w:val="en-GB"/>
              </w:rPr>
              <w:t>Blood / urine pregnancy test</w:t>
            </w:r>
            <w:r w:rsidRPr="00604672">
              <w:rPr>
                <w:sz w:val="20"/>
                <w:szCs w:val="20"/>
                <w:vertAlign w:val="superscript"/>
                <w:lang w:val="en-GB"/>
              </w:rPr>
              <w:t>1</w:t>
            </w:r>
          </w:p>
        </w:tc>
        <w:tc>
          <w:tcPr>
            <w:tcW w:w="1276" w:type="dxa"/>
            <w:vAlign w:val="center"/>
          </w:tcPr>
          <w:p w:rsidR="00141BED" w:rsidRPr="00573C3D" w:rsidRDefault="00604672" w:rsidP="004835A5">
            <w:pPr>
              <w:jc w:val="center"/>
              <w:rPr>
                <w:rFonts w:ascii="Cambria" w:hAnsi="Cambria"/>
                <w:sz w:val="20"/>
                <w:szCs w:val="20"/>
                <w:vertAlign w:val="superscript"/>
                <w:lang w:val="en-GB"/>
              </w:rPr>
            </w:pPr>
            <w:r w:rsidRPr="00604672">
              <w:rPr>
                <w:sz w:val="20"/>
                <w:szCs w:val="20"/>
                <w:lang w:val="en-GB"/>
              </w:rPr>
              <w:t>X</w:t>
            </w:r>
            <w:r w:rsidRPr="00604672">
              <w:rPr>
                <w:sz w:val="20"/>
                <w:szCs w:val="20"/>
                <w:vertAlign w:val="superscript"/>
                <w:lang w:val="en-GB"/>
              </w:rPr>
              <w:t>2</w:t>
            </w: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591" w:type="dxa"/>
            <w:vAlign w:val="center"/>
          </w:tcPr>
          <w:p w:rsidR="00141BED" w:rsidRPr="00573C3D" w:rsidRDefault="00141BED" w:rsidP="004835A5">
            <w:pPr>
              <w:jc w:val="center"/>
              <w:rPr>
                <w:rFonts w:ascii="Cambria" w:hAnsi="Cambria"/>
                <w:sz w:val="20"/>
                <w:szCs w:val="20"/>
                <w:lang w:val="en-GB"/>
              </w:rPr>
            </w:pPr>
          </w:p>
        </w:tc>
        <w:tc>
          <w:tcPr>
            <w:tcW w:w="567" w:type="dxa"/>
            <w:vAlign w:val="center"/>
          </w:tcPr>
          <w:p w:rsidR="00141BED" w:rsidRPr="00573C3D" w:rsidRDefault="00141BED" w:rsidP="004835A5">
            <w:pPr>
              <w:jc w:val="center"/>
              <w:rPr>
                <w:rFonts w:ascii="Cambria" w:hAnsi="Cambria"/>
                <w:sz w:val="20"/>
                <w:szCs w:val="20"/>
                <w:lang w:val="en-GB"/>
              </w:rPr>
            </w:pPr>
          </w:p>
        </w:tc>
        <w:tc>
          <w:tcPr>
            <w:tcW w:w="113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r>
      <w:tr w:rsidR="00141BED" w:rsidRPr="00573C3D" w:rsidTr="00C22721">
        <w:trPr>
          <w:trHeight w:val="454"/>
        </w:trPr>
        <w:tc>
          <w:tcPr>
            <w:tcW w:w="3227" w:type="dxa"/>
            <w:vAlign w:val="center"/>
          </w:tcPr>
          <w:p w:rsidR="00141BED" w:rsidRPr="000E1ECF" w:rsidRDefault="00604672" w:rsidP="004835A5">
            <w:pPr>
              <w:rPr>
                <w:rFonts w:ascii="Cambria" w:hAnsi="Cambria"/>
                <w:sz w:val="20"/>
                <w:szCs w:val="20"/>
                <w:vertAlign w:val="superscript"/>
                <w:lang w:val="en-GB"/>
              </w:rPr>
            </w:pPr>
            <w:r w:rsidRPr="00604672">
              <w:rPr>
                <w:sz w:val="20"/>
                <w:szCs w:val="20"/>
                <w:lang w:val="en-GB"/>
              </w:rPr>
              <w:t>Medical History</w:t>
            </w:r>
            <w:r w:rsidR="000E1ECF">
              <w:rPr>
                <w:sz w:val="20"/>
                <w:szCs w:val="20"/>
                <w:vertAlign w:val="superscript"/>
                <w:lang w:val="en-GB"/>
              </w:rPr>
              <w:t>3</w:t>
            </w:r>
            <w:r w:rsidRPr="00604672">
              <w:rPr>
                <w:sz w:val="20"/>
                <w:szCs w:val="20"/>
                <w:lang w:val="en-GB"/>
              </w:rPr>
              <w:t xml:space="preserve"> &amp; Demographics</w:t>
            </w:r>
            <w:r w:rsidR="000E1ECF">
              <w:rPr>
                <w:sz w:val="20"/>
                <w:szCs w:val="20"/>
                <w:vertAlign w:val="superscript"/>
                <w:lang w:val="en-GB"/>
              </w:rPr>
              <w:t>4</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591" w:type="dxa"/>
            <w:vAlign w:val="center"/>
          </w:tcPr>
          <w:p w:rsidR="00141BED" w:rsidRPr="00573C3D" w:rsidRDefault="00141BED" w:rsidP="004835A5">
            <w:pPr>
              <w:jc w:val="center"/>
              <w:rPr>
                <w:rFonts w:ascii="Cambria" w:hAnsi="Cambria"/>
                <w:sz w:val="20"/>
                <w:szCs w:val="20"/>
                <w:lang w:val="en-GB"/>
              </w:rPr>
            </w:pPr>
          </w:p>
        </w:tc>
        <w:tc>
          <w:tcPr>
            <w:tcW w:w="567" w:type="dxa"/>
            <w:vAlign w:val="center"/>
          </w:tcPr>
          <w:p w:rsidR="00141BED" w:rsidRPr="00573C3D" w:rsidRDefault="00141BED" w:rsidP="004835A5">
            <w:pPr>
              <w:jc w:val="center"/>
              <w:rPr>
                <w:rFonts w:ascii="Cambria" w:hAnsi="Cambria"/>
                <w:sz w:val="20"/>
                <w:szCs w:val="20"/>
                <w:lang w:val="en-GB"/>
              </w:rPr>
            </w:pPr>
          </w:p>
        </w:tc>
        <w:tc>
          <w:tcPr>
            <w:tcW w:w="1134" w:type="dxa"/>
            <w:vAlign w:val="center"/>
          </w:tcPr>
          <w:p w:rsidR="00141BED" w:rsidRPr="00573C3D" w:rsidRDefault="00141BED" w:rsidP="004835A5">
            <w:pPr>
              <w:jc w:val="center"/>
              <w:rPr>
                <w:rFonts w:ascii="Cambria" w:hAnsi="Cambria"/>
                <w:sz w:val="20"/>
                <w:szCs w:val="20"/>
                <w:lang w:val="en-GB"/>
              </w:rPr>
            </w:pPr>
          </w:p>
        </w:tc>
      </w:tr>
      <w:tr w:rsidR="00141BED" w:rsidRPr="00573C3D" w:rsidTr="00C22721">
        <w:trPr>
          <w:trHeight w:val="454"/>
        </w:trPr>
        <w:tc>
          <w:tcPr>
            <w:tcW w:w="3227" w:type="dxa"/>
            <w:vAlign w:val="center"/>
          </w:tcPr>
          <w:p w:rsidR="00141BED" w:rsidRPr="00E8411B" w:rsidRDefault="0055565A" w:rsidP="004835A5">
            <w:pPr>
              <w:rPr>
                <w:rFonts w:ascii="Cambria" w:hAnsi="Cambria"/>
                <w:sz w:val="20"/>
                <w:szCs w:val="20"/>
                <w:vertAlign w:val="superscript"/>
                <w:lang w:val="en-GB"/>
              </w:rPr>
            </w:pPr>
            <w:r>
              <w:rPr>
                <w:sz w:val="20"/>
                <w:szCs w:val="20"/>
                <w:lang w:val="en-GB"/>
              </w:rPr>
              <w:t xml:space="preserve">COVID-19 </w:t>
            </w:r>
            <w:r w:rsidR="00604672" w:rsidRPr="00604672">
              <w:rPr>
                <w:sz w:val="20"/>
                <w:szCs w:val="20"/>
                <w:lang w:val="en-GB"/>
              </w:rPr>
              <w:t>Symptoms</w:t>
            </w:r>
            <w:r w:rsidR="000E1ECF">
              <w:rPr>
                <w:sz w:val="20"/>
                <w:szCs w:val="20"/>
                <w:vertAlign w:val="superscript"/>
                <w:lang w:val="en-GB"/>
              </w:rPr>
              <w:t>5</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vertAlign w:val="superscript"/>
                <w:lang w:val="en-GB"/>
              </w:rPr>
            </w:pPr>
            <w:r w:rsidRPr="00604672">
              <w:rPr>
                <w:sz w:val="20"/>
                <w:szCs w:val="20"/>
                <w:lang w:val="en-GB"/>
              </w:rPr>
              <w:t>Physical Examination</w:t>
            </w:r>
            <w:r w:rsidR="000E1ECF">
              <w:rPr>
                <w:sz w:val="20"/>
                <w:szCs w:val="20"/>
                <w:vertAlign w:val="superscript"/>
                <w:lang w:val="en-GB"/>
              </w:rPr>
              <w:t>6</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lang w:val="en-GB"/>
              </w:rPr>
            </w:pPr>
            <w:r w:rsidRPr="00604672">
              <w:rPr>
                <w:sz w:val="20"/>
                <w:szCs w:val="20"/>
                <w:lang w:val="en-GB"/>
              </w:rPr>
              <w:t xml:space="preserve">Score on </w:t>
            </w:r>
            <w:r w:rsidRPr="00604672">
              <w:rPr>
                <w:rFonts w:eastAsia="Times New Roman"/>
                <w:color w:val="000000"/>
                <w:sz w:val="20"/>
                <w:szCs w:val="20"/>
                <w:lang w:val="en-GB" w:eastAsia="it-IT"/>
              </w:rPr>
              <w:t>7-point ordinal scale</w:t>
            </w:r>
            <w:r w:rsidR="00083AC9">
              <w:rPr>
                <w:rFonts w:eastAsia="Times New Roman"/>
                <w:color w:val="000000"/>
                <w:sz w:val="20"/>
                <w:szCs w:val="20"/>
                <w:vertAlign w:val="superscript"/>
                <w:lang w:val="en-GB" w:eastAsia="it-IT"/>
              </w:rPr>
              <w:t>7</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r>
      <w:tr w:rsidR="000E1ECF" w:rsidRPr="00573C3D" w:rsidTr="00C22721">
        <w:trPr>
          <w:trHeight w:val="454"/>
        </w:trPr>
        <w:tc>
          <w:tcPr>
            <w:tcW w:w="3227" w:type="dxa"/>
            <w:vAlign w:val="center"/>
          </w:tcPr>
          <w:p w:rsidR="000E1ECF" w:rsidRPr="00083AC9" w:rsidRDefault="000E1ECF" w:rsidP="004835A5">
            <w:pPr>
              <w:rPr>
                <w:sz w:val="20"/>
                <w:szCs w:val="20"/>
                <w:vertAlign w:val="superscript"/>
                <w:lang w:val="en-GB"/>
              </w:rPr>
            </w:pPr>
            <w:r>
              <w:rPr>
                <w:sz w:val="20"/>
                <w:szCs w:val="20"/>
                <w:lang w:val="en-GB"/>
              </w:rPr>
              <w:t>NEWS2 score</w:t>
            </w:r>
            <w:r w:rsidR="00083AC9">
              <w:rPr>
                <w:sz w:val="20"/>
                <w:szCs w:val="20"/>
                <w:vertAlign w:val="superscript"/>
                <w:lang w:val="en-GB"/>
              </w:rPr>
              <w:t>8</w:t>
            </w:r>
          </w:p>
        </w:tc>
        <w:tc>
          <w:tcPr>
            <w:tcW w:w="1276" w:type="dxa"/>
            <w:vAlign w:val="center"/>
          </w:tcPr>
          <w:p w:rsidR="000E1ECF" w:rsidRPr="00604672" w:rsidRDefault="000E1ECF" w:rsidP="004835A5">
            <w:pPr>
              <w:jc w:val="center"/>
              <w:rPr>
                <w:sz w:val="20"/>
                <w:szCs w:val="20"/>
                <w:lang w:val="en-GB"/>
              </w:rPr>
            </w:pPr>
            <w:r>
              <w:rPr>
                <w:sz w:val="20"/>
                <w:szCs w:val="20"/>
                <w:lang w:val="en-GB"/>
              </w:rPr>
              <w:t>X</w:t>
            </w: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0E1ECF" w:rsidP="004835A5">
            <w:pPr>
              <w:jc w:val="center"/>
              <w:rPr>
                <w:sz w:val="20"/>
                <w:szCs w:val="20"/>
                <w:lang w:val="en-GB"/>
              </w:rPr>
            </w:pPr>
            <w:r>
              <w:rPr>
                <w:sz w:val="20"/>
                <w:szCs w:val="20"/>
                <w:lang w:val="en-GB"/>
              </w:rPr>
              <w:t>X</w:t>
            </w: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0E1ECF" w:rsidP="004835A5">
            <w:pPr>
              <w:jc w:val="center"/>
              <w:rPr>
                <w:sz w:val="20"/>
                <w:szCs w:val="20"/>
                <w:lang w:val="en-GB"/>
              </w:rPr>
            </w:pPr>
          </w:p>
        </w:tc>
        <w:tc>
          <w:tcPr>
            <w:tcW w:w="624" w:type="dxa"/>
            <w:vAlign w:val="center"/>
          </w:tcPr>
          <w:p w:rsidR="000E1ECF" w:rsidRPr="00604672" w:rsidRDefault="0017668C" w:rsidP="004835A5">
            <w:pPr>
              <w:jc w:val="center"/>
              <w:rPr>
                <w:sz w:val="20"/>
                <w:szCs w:val="20"/>
                <w:lang w:val="en-GB"/>
              </w:rPr>
            </w:pPr>
            <w:r>
              <w:rPr>
                <w:sz w:val="20"/>
                <w:szCs w:val="20"/>
                <w:lang w:val="en-GB"/>
              </w:rPr>
              <w:t>X</w:t>
            </w:r>
          </w:p>
        </w:tc>
        <w:tc>
          <w:tcPr>
            <w:tcW w:w="624" w:type="dxa"/>
            <w:vAlign w:val="center"/>
          </w:tcPr>
          <w:p w:rsidR="000E1ECF" w:rsidRPr="00604672" w:rsidRDefault="000E1ECF" w:rsidP="004835A5">
            <w:pPr>
              <w:tabs>
                <w:tab w:val="center" w:pos="4536"/>
                <w:tab w:val="right" w:pos="9072"/>
              </w:tabs>
              <w:jc w:val="center"/>
              <w:rPr>
                <w:sz w:val="20"/>
                <w:szCs w:val="20"/>
                <w:lang w:val="en-GB"/>
              </w:rPr>
            </w:pPr>
          </w:p>
        </w:tc>
        <w:tc>
          <w:tcPr>
            <w:tcW w:w="624" w:type="dxa"/>
            <w:vAlign w:val="center"/>
          </w:tcPr>
          <w:p w:rsidR="000E1ECF" w:rsidRPr="00604672" w:rsidRDefault="000E1ECF" w:rsidP="004835A5">
            <w:pPr>
              <w:tabs>
                <w:tab w:val="center" w:pos="4536"/>
                <w:tab w:val="right" w:pos="9072"/>
              </w:tabs>
              <w:jc w:val="center"/>
              <w:rPr>
                <w:sz w:val="20"/>
                <w:szCs w:val="20"/>
                <w:lang w:val="en-GB"/>
              </w:rPr>
            </w:pPr>
          </w:p>
        </w:tc>
        <w:tc>
          <w:tcPr>
            <w:tcW w:w="624" w:type="dxa"/>
            <w:vAlign w:val="center"/>
          </w:tcPr>
          <w:p w:rsidR="000E1ECF" w:rsidRPr="00604672" w:rsidRDefault="000E1ECF" w:rsidP="004835A5">
            <w:pPr>
              <w:tabs>
                <w:tab w:val="center" w:pos="4536"/>
                <w:tab w:val="right" w:pos="9072"/>
              </w:tabs>
              <w:jc w:val="center"/>
              <w:rPr>
                <w:sz w:val="20"/>
                <w:szCs w:val="20"/>
                <w:lang w:val="en-GB"/>
              </w:rPr>
            </w:pPr>
          </w:p>
        </w:tc>
        <w:tc>
          <w:tcPr>
            <w:tcW w:w="591" w:type="dxa"/>
            <w:vAlign w:val="center"/>
          </w:tcPr>
          <w:p w:rsidR="000E1ECF" w:rsidRPr="00604672" w:rsidRDefault="000E1ECF" w:rsidP="004835A5">
            <w:pPr>
              <w:tabs>
                <w:tab w:val="center" w:pos="4536"/>
                <w:tab w:val="right" w:pos="9072"/>
              </w:tabs>
              <w:jc w:val="center"/>
              <w:rPr>
                <w:sz w:val="20"/>
                <w:szCs w:val="20"/>
                <w:lang w:val="en-GB"/>
              </w:rPr>
            </w:pPr>
          </w:p>
        </w:tc>
        <w:tc>
          <w:tcPr>
            <w:tcW w:w="567" w:type="dxa"/>
            <w:vAlign w:val="center"/>
          </w:tcPr>
          <w:p w:rsidR="000E1ECF" w:rsidRPr="00604672" w:rsidRDefault="000E1ECF" w:rsidP="004835A5">
            <w:pPr>
              <w:tabs>
                <w:tab w:val="center" w:pos="4536"/>
                <w:tab w:val="right" w:pos="9072"/>
              </w:tabs>
              <w:jc w:val="center"/>
              <w:rPr>
                <w:sz w:val="20"/>
                <w:szCs w:val="20"/>
                <w:lang w:val="en-GB"/>
              </w:rPr>
            </w:pPr>
            <w:r>
              <w:rPr>
                <w:sz w:val="20"/>
                <w:szCs w:val="20"/>
                <w:lang w:val="en-GB"/>
              </w:rPr>
              <w:t>X</w:t>
            </w:r>
          </w:p>
        </w:tc>
        <w:tc>
          <w:tcPr>
            <w:tcW w:w="1134" w:type="dxa"/>
            <w:vAlign w:val="center"/>
          </w:tcPr>
          <w:p w:rsidR="000E1ECF" w:rsidRPr="00604672" w:rsidRDefault="000E1ECF" w:rsidP="004835A5">
            <w:pPr>
              <w:tabs>
                <w:tab w:val="center" w:pos="4536"/>
                <w:tab w:val="right" w:pos="9072"/>
              </w:tabs>
              <w:jc w:val="center"/>
              <w:rPr>
                <w:sz w:val="20"/>
                <w:szCs w:val="20"/>
                <w:lang w:val="en-GB"/>
              </w:rPr>
            </w:pPr>
            <w:r>
              <w:rPr>
                <w:sz w:val="20"/>
                <w:szCs w:val="20"/>
                <w:lang w:val="en-GB"/>
              </w:rPr>
              <w:t>X</w:t>
            </w: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vertAlign w:val="superscript"/>
                <w:lang w:val="en-GB"/>
              </w:rPr>
            </w:pPr>
            <w:r w:rsidRPr="00604672">
              <w:rPr>
                <w:sz w:val="20"/>
                <w:szCs w:val="20"/>
                <w:lang w:val="en-GB"/>
              </w:rPr>
              <w:t>Height and Weight, BMI</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624" w:type="dxa"/>
            <w:vAlign w:val="center"/>
          </w:tcPr>
          <w:p w:rsidR="00141BED" w:rsidRPr="00573C3D" w:rsidRDefault="00141BED" w:rsidP="004835A5">
            <w:pPr>
              <w:jc w:val="center"/>
              <w:rPr>
                <w:rFonts w:ascii="Cambria" w:hAnsi="Cambria"/>
                <w:sz w:val="20"/>
                <w:szCs w:val="20"/>
                <w:lang w:val="en-GB"/>
              </w:rPr>
            </w:pPr>
          </w:p>
        </w:tc>
        <w:tc>
          <w:tcPr>
            <w:tcW w:w="591" w:type="dxa"/>
            <w:vAlign w:val="center"/>
          </w:tcPr>
          <w:p w:rsidR="00141BED" w:rsidRPr="00573C3D" w:rsidRDefault="00141BED" w:rsidP="004835A5">
            <w:pPr>
              <w:jc w:val="center"/>
              <w:rPr>
                <w:rFonts w:ascii="Cambria" w:hAnsi="Cambria"/>
                <w:sz w:val="20"/>
                <w:szCs w:val="20"/>
                <w:lang w:val="en-GB"/>
              </w:rPr>
            </w:pPr>
          </w:p>
        </w:tc>
        <w:tc>
          <w:tcPr>
            <w:tcW w:w="567" w:type="dxa"/>
            <w:vAlign w:val="center"/>
          </w:tcPr>
          <w:p w:rsidR="00141BED" w:rsidRPr="00573C3D" w:rsidRDefault="00141BED" w:rsidP="004835A5">
            <w:pPr>
              <w:jc w:val="center"/>
              <w:rPr>
                <w:rFonts w:ascii="Cambria" w:hAnsi="Cambria"/>
                <w:sz w:val="20"/>
                <w:szCs w:val="20"/>
                <w:lang w:val="en-GB"/>
              </w:rPr>
            </w:pPr>
          </w:p>
        </w:tc>
        <w:tc>
          <w:tcPr>
            <w:tcW w:w="1134" w:type="dxa"/>
            <w:vAlign w:val="center"/>
          </w:tcPr>
          <w:p w:rsidR="00141BED" w:rsidRPr="00573C3D" w:rsidRDefault="00141BED" w:rsidP="004835A5">
            <w:pPr>
              <w:jc w:val="center"/>
              <w:rPr>
                <w:rFonts w:ascii="Cambria" w:hAnsi="Cambria"/>
                <w:sz w:val="20"/>
                <w:szCs w:val="20"/>
                <w:lang w:val="en-GB"/>
              </w:rPr>
            </w:pPr>
          </w:p>
        </w:tc>
      </w:tr>
      <w:tr w:rsidR="00141BED" w:rsidRPr="00573C3D" w:rsidTr="00C22721">
        <w:trPr>
          <w:trHeight w:val="454"/>
        </w:trPr>
        <w:tc>
          <w:tcPr>
            <w:tcW w:w="3227" w:type="dxa"/>
            <w:vAlign w:val="center"/>
          </w:tcPr>
          <w:p w:rsidR="00141BED" w:rsidRPr="0054206C" w:rsidRDefault="00604672" w:rsidP="004835A5">
            <w:pPr>
              <w:rPr>
                <w:rFonts w:ascii="Cambria" w:hAnsi="Cambria"/>
                <w:sz w:val="20"/>
                <w:szCs w:val="20"/>
                <w:vertAlign w:val="superscript"/>
                <w:lang w:val="en-GB"/>
              </w:rPr>
            </w:pPr>
            <w:r w:rsidRPr="00604672">
              <w:rPr>
                <w:sz w:val="20"/>
                <w:szCs w:val="20"/>
                <w:lang w:val="en-GB"/>
              </w:rPr>
              <w:t>Body Temperature</w:t>
            </w:r>
            <w:r w:rsidR="00083AC9">
              <w:rPr>
                <w:sz w:val="20"/>
                <w:szCs w:val="20"/>
                <w:vertAlign w:val="superscript"/>
                <w:lang w:val="en-GB"/>
              </w:rPr>
              <w:t>9</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tabs>
                <w:tab w:val="center" w:pos="4536"/>
                <w:tab w:val="right" w:pos="9072"/>
              </w:tabs>
              <w:jc w:val="center"/>
              <w:rPr>
                <w:rFonts w:ascii="Cambria" w:hAnsi="Cambria"/>
                <w:sz w:val="20"/>
                <w:szCs w:val="20"/>
                <w:lang w:val="en-GB"/>
              </w:rPr>
            </w:pPr>
            <w:r w:rsidRPr="00604672">
              <w:rPr>
                <w:sz w:val="20"/>
                <w:szCs w:val="20"/>
                <w:lang w:val="en-GB"/>
              </w:rPr>
              <w:t>X</w:t>
            </w: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vertAlign w:val="superscript"/>
                <w:lang w:val="en-GB"/>
              </w:rPr>
            </w:pPr>
            <w:r w:rsidRPr="00604672">
              <w:rPr>
                <w:sz w:val="20"/>
                <w:szCs w:val="20"/>
                <w:lang w:val="en-GB"/>
              </w:rPr>
              <w:t>Blood pressure &amp; Heart Rate</w:t>
            </w:r>
            <w:r w:rsidR="00083AC9">
              <w:rPr>
                <w:sz w:val="20"/>
                <w:szCs w:val="20"/>
                <w:vertAlign w:val="superscript"/>
                <w:lang w:val="en-GB"/>
              </w:rPr>
              <w:t>10</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r>
      <w:tr w:rsidR="000E1ECF" w:rsidRPr="00573C3D" w:rsidTr="00C22721">
        <w:trPr>
          <w:trHeight w:val="454"/>
        </w:trPr>
        <w:tc>
          <w:tcPr>
            <w:tcW w:w="3227" w:type="dxa"/>
            <w:vAlign w:val="center"/>
          </w:tcPr>
          <w:p w:rsidR="000E1ECF" w:rsidRPr="00604672" w:rsidRDefault="000E1ECF" w:rsidP="004835A5">
            <w:pPr>
              <w:rPr>
                <w:sz w:val="20"/>
                <w:szCs w:val="20"/>
                <w:lang w:val="en-GB"/>
              </w:rPr>
            </w:pPr>
            <w:r>
              <w:rPr>
                <w:sz w:val="20"/>
                <w:szCs w:val="20"/>
                <w:lang w:val="en-GB"/>
              </w:rPr>
              <w:t>Respiratory rate</w:t>
            </w:r>
          </w:p>
        </w:tc>
        <w:tc>
          <w:tcPr>
            <w:tcW w:w="1276"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624" w:type="dxa"/>
            <w:vAlign w:val="center"/>
          </w:tcPr>
          <w:p w:rsidR="000E1ECF" w:rsidRPr="00604672" w:rsidRDefault="00052FAC" w:rsidP="004835A5">
            <w:pPr>
              <w:jc w:val="center"/>
              <w:rPr>
                <w:sz w:val="20"/>
                <w:szCs w:val="20"/>
                <w:lang w:val="en-GB"/>
              </w:rPr>
            </w:pPr>
            <w:r>
              <w:rPr>
                <w:sz w:val="20"/>
                <w:szCs w:val="20"/>
                <w:lang w:val="en-GB"/>
              </w:rPr>
              <w:t>X</w:t>
            </w:r>
          </w:p>
        </w:tc>
        <w:tc>
          <w:tcPr>
            <w:tcW w:w="591" w:type="dxa"/>
            <w:vAlign w:val="center"/>
          </w:tcPr>
          <w:p w:rsidR="000E1ECF" w:rsidRPr="00604672" w:rsidRDefault="00052FAC" w:rsidP="004835A5">
            <w:pPr>
              <w:jc w:val="center"/>
              <w:rPr>
                <w:sz w:val="20"/>
                <w:szCs w:val="20"/>
                <w:lang w:val="en-GB"/>
              </w:rPr>
            </w:pPr>
            <w:r>
              <w:rPr>
                <w:sz w:val="20"/>
                <w:szCs w:val="20"/>
                <w:lang w:val="en-GB"/>
              </w:rPr>
              <w:t>X</w:t>
            </w:r>
          </w:p>
        </w:tc>
        <w:tc>
          <w:tcPr>
            <w:tcW w:w="567" w:type="dxa"/>
            <w:vAlign w:val="center"/>
          </w:tcPr>
          <w:p w:rsidR="000E1ECF" w:rsidRPr="00604672" w:rsidRDefault="00052FAC" w:rsidP="004835A5">
            <w:pPr>
              <w:jc w:val="center"/>
              <w:rPr>
                <w:sz w:val="20"/>
                <w:szCs w:val="20"/>
                <w:lang w:val="en-GB"/>
              </w:rPr>
            </w:pPr>
            <w:r>
              <w:rPr>
                <w:sz w:val="20"/>
                <w:szCs w:val="20"/>
                <w:lang w:val="en-GB"/>
              </w:rPr>
              <w:t>X</w:t>
            </w:r>
          </w:p>
        </w:tc>
        <w:tc>
          <w:tcPr>
            <w:tcW w:w="1134" w:type="dxa"/>
            <w:vAlign w:val="center"/>
          </w:tcPr>
          <w:p w:rsidR="000E1ECF" w:rsidRPr="00604672" w:rsidRDefault="00052FAC" w:rsidP="004835A5">
            <w:pPr>
              <w:jc w:val="center"/>
              <w:rPr>
                <w:sz w:val="20"/>
                <w:szCs w:val="20"/>
                <w:lang w:val="en-GB"/>
              </w:rPr>
            </w:pPr>
            <w:r>
              <w:rPr>
                <w:sz w:val="20"/>
                <w:szCs w:val="20"/>
                <w:lang w:val="en-GB"/>
              </w:rPr>
              <w:t>X</w:t>
            </w:r>
          </w:p>
        </w:tc>
      </w:tr>
      <w:tr w:rsidR="00141BED" w:rsidRPr="00573C3D" w:rsidTr="00C22721">
        <w:trPr>
          <w:trHeight w:val="454"/>
        </w:trPr>
        <w:tc>
          <w:tcPr>
            <w:tcW w:w="3227" w:type="dxa"/>
            <w:vAlign w:val="center"/>
          </w:tcPr>
          <w:p w:rsidR="00141BED" w:rsidRPr="005A0E41" w:rsidRDefault="00604672" w:rsidP="004835A5">
            <w:pPr>
              <w:rPr>
                <w:rFonts w:ascii="Cambria" w:hAnsi="Cambria"/>
                <w:sz w:val="20"/>
                <w:szCs w:val="20"/>
                <w:vertAlign w:val="superscript"/>
                <w:lang w:val="en-GB"/>
              </w:rPr>
            </w:pPr>
            <w:r w:rsidRPr="00604672">
              <w:rPr>
                <w:sz w:val="20"/>
                <w:szCs w:val="20"/>
                <w:lang w:val="en-GB"/>
              </w:rPr>
              <w:t xml:space="preserve">Oxygen saturation (O2 </w:t>
            </w:r>
            <w:proofErr w:type="spellStart"/>
            <w:r w:rsidRPr="00604672">
              <w:rPr>
                <w:sz w:val="20"/>
                <w:szCs w:val="20"/>
                <w:lang w:val="en-GB"/>
              </w:rPr>
              <w:t>sats</w:t>
            </w:r>
            <w:proofErr w:type="spellEnd"/>
            <w:r w:rsidRPr="00604672">
              <w:rPr>
                <w:sz w:val="20"/>
                <w:szCs w:val="20"/>
                <w:lang w:val="en-GB"/>
              </w:rPr>
              <w:t>)</w:t>
            </w:r>
            <w:r w:rsidR="003C3ABB">
              <w:rPr>
                <w:sz w:val="20"/>
                <w:szCs w:val="20"/>
                <w:vertAlign w:val="superscript"/>
                <w:lang w:val="en-GB"/>
              </w:rPr>
              <w:t>11</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r>
      <w:tr w:rsidR="00141BED" w:rsidRPr="00573C3D" w:rsidTr="00C22721">
        <w:trPr>
          <w:trHeight w:val="454"/>
        </w:trPr>
        <w:tc>
          <w:tcPr>
            <w:tcW w:w="3227" w:type="dxa"/>
            <w:vAlign w:val="center"/>
          </w:tcPr>
          <w:p w:rsidR="00141BED" w:rsidRPr="00573C3D" w:rsidRDefault="00604672" w:rsidP="004835A5">
            <w:pPr>
              <w:rPr>
                <w:rFonts w:ascii="Cambria" w:hAnsi="Cambria"/>
                <w:sz w:val="20"/>
                <w:szCs w:val="20"/>
                <w:lang w:val="en-GB"/>
              </w:rPr>
            </w:pPr>
            <w:r w:rsidRPr="00604672">
              <w:rPr>
                <w:sz w:val="20"/>
                <w:szCs w:val="20"/>
                <w:lang w:val="en-GB"/>
              </w:rPr>
              <w:t>Is oxygen therapy necessary? Kind of oxygen support</w:t>
            </w:r>
          </w:p>
        </w:tc>
        <w:tc>
          <w:tcPr>
            <w:tcW w:w="1276"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62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91"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567"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c>
          <w:tcPr>
            <w:tcW w:w="1134" w:type="dxa"/>
            <w:vAlign w:val="center"/>
          </w:tcPr>
          <w:p w:rsidR="00141BED" w:rsidRPr="00573C3D" w:rsidRDefault="00604672" w:rsidP="004835A5">
            <w:pPr>
              <w:jc w:val="center"/>
              <w:rPr>
                <w:rFonts w:ascii="Cambria" w:hAnsi="Cambria"/>
                <w:sz w:val="20"/>
                <w:szCs w:val="20"/>
                <w:lang w:val="en-GB"/>
              </w:rPr>
            </w:pPr>
            <w:r w:rsidRPr="00604672">
              <w:rPr>
                <w:sz w:val="20"/>
                <w:szCs w:val="20"/>
                <w:lang w:val="en-GB"/>
              </w:rPr>
              <w:t>X</w:t>
            </w:r>
          </w:p>
        </w:tc>
      </w:tr>
    </w:tbl>
    <w:p w:rsidR="004B412F" w:rsidRDefault="004B412F" w:rsidP="00F65655">
      <w:pPr>
        <w:shd w:val="clear" w:color="auto" w:fill="FFFFFF"/>
        <w:spacing w:before="100" w:beforeAutospacing="1" w:after="100" w:afterAutospacing="1"/>
        <w:rPr>
          <w:rFonts w:eastAsia="Times New Roman" w:cstheme="minorHAnsi"/>
          <w:b/>
          <w:vertAlign w:val="superscript"/>
          <w:lang w:val="en-GB" w:eastAsia="it-IT"/>
        </w:rPr>
      </w:pPr>
      <w:r>
        <w:rPr>
          <w:rFonts w:eastAsia="Times New Roman" w:cstheme="minorHAnsi"/>
          <w:b/>
          <w:vertAlign w:val="superscript"/>
          <w:lang w:val="en-GB" w:eastAsia="it-IT"/>
        </w:rPr>
        <w:t>Table 4. Schedule of Activities (</w:t>
      </w:r>
      <w:proofErr w:type="spellStart"/>
      <w:r>
        <w:rPr>
          <w:rFonts w:eastAsia="Times New Roman" w:cstheme="minorHAnsi"/>
          <w:b/>
          <w:vertAlign w:val="superscript"/>
          <w:lang w:val="en-GB" w:eastAsia="it-IT"/>
        </w:rPr>
        <w:t>SoA</w:t>
      </w:r>
      <w:proofErr w:type="spellEnd"/>
      <w:r>
        <w:rPr>
          <w:rFonts w:eastAsia="Times New Roman" w:cstheme="minorHAnsi"/>
          <w:b/>
          <w:vertAlign w:val="superscript"/>
          <w:lang w:val="en-GB" w:eastAsia="it-IT"/>
        </w:rPr>
        <w:t>)</w:t>
      </w:r>
    </w:p>
    <w:tbl>
      <w:tblPr>
        <w:tblStyle w:val="Tabela-Siatka"/>
        <w:tblpPr w:leftFromText="141" w:rightFromText="141" w:vertAnchor="page" w:horzAnchor="margin" w:tblpY="1385"/>
        <w:tblW w:w="14283" w:type="dxa"/>
        <w:tblLayout w:type="fixed"/>
        <w:tblLook w:val="04A0"/>
      </w:tblPr>
      <w:tblGrid>
        <w:gridCol w:w="3227"/>
        <w:gridCol w:w="1276"/>
        <w:gridCol w:w="624"/>
        <w:gridCol w:w="624"/>
        <w:gridCol w:w="624"/>
        <w:gridCol w:w="624"/>
        <w:gridCol w:w="624"/>
        <w:gridCol w:w="624"/>
        <w:gridCol w:w="624"/>
        <w:gridCol w:w="624"/>
        <w:gridCol w:w="624"/>
        <w:gridCol w:w="624"/>
        <w:gridCol w:w="624"/>
        <w:gridCol w:w="624"/>
        <w:gridCol w:w="624"/>
        <w:gridCol w:w="676"/>
        <w:gridCol w:w="992"/>
      </w:tblGrid>
      <w:tr w:rsidR="004B412F" w:rsidRPr="00573C3D" w:rsidTr="004B412F">
        <w:trPr>
          <w:trHeight w:val="454"/>
        </w:trPr>
        <w:tc>
          <w:tcPr>
            <w:tcW w:w="3227" w:type="dxa"/>
            <w:vAlign w:val="center"/>
          </w:tcPr>
          <w:p w:rsidR="004B412F" w:rsidRPr="00DA59E5" w:rsidRDefault="004B412F" w:rsidP="004B412F">
            <w:pPr>
              <w:rPr>
                <w:rFonts w:ascii="Cambria" w:hAnsi="Cambria"/>
                <w:sz w:val="20"/>
                <w:szCs w:val="20"/>
                <w:vertAlign w:val="superscript"/>
                <w:lang w:val="en-GB"/>
              </w:rPr>
            </w:pPr>
            <w:r w:rsidRPr="00604672">
              <w:rPr>
                <w:sz w:val="20"/>
                <w:szCs w:val="20"/>
                <w:lang w:val="en-GB"/>
              </w:rPr>
              <w:lastRenderedPageBreak/>
              <w:t>The oxygenation index</w:t>
            </w:r>
            <w:r w:rsidR="003C3ABB">
              <w:rPr>
                <w:sz w:val="20"/>
                <w:szCs w:val="20"/>
                <w:vertAlign w:val="superscript"/>
                <w:lang w:val="en-GB"/>
              </w:rPr>
              <w:t>12</w:t>
            </w:r>
          </w:p>
        </w:tc>
        <w:tc>
          <w:tcPr>
            <w:tcW w:w="12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17668C" w:rsidP="004B412F">
            <w:pPr>
              <w:jc w:val="center"/>
              <w:rPr>
                <w:rFonts w:ascii="Cambria" w:hAnsi="Cambria"/>
                <w:sz w:val="20"/>
                <w:szCs w:val="20"/>
                <w:lang w:val="en-GB"/>
              </w:rPr>
            </w:pPr>
            <w:r>
              <w:rPr>
                <w:rFonts w:ascii="Cambria" w:hAnsi="Cambria"/>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992"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r>
      <w:tr w:rsidR="004B412F" w:rsidRPr="00573C3D" w:rsidTr="004B412F">
        <w:trPr>
          <w:trHeight w:val="454"/>
        </w:trPr>
        <w:tc>
          <w:tcPr>
            <w:tcW w:w="3227" w:type="dxa"/>
            <w:vAlign w:val="center"/>
          </w:tcPr>
          <w:p w:rsidR="004B412F" w:rsidRPr="00573C3D" w:rsidRDefault="004B412F" w:rsidP="004B412F">
            <w:pPr>
              <w:rPr>
                <w:rFonts w:ascii="Cambria" w:hAnsi="Cambria"/>
                <w:sz w:val="20"/>
                <w:szCs w:val="20"/>
                <w:vertAlign w:val="superscript"/>
                <w:lang w:val="en-GB"/>
              </w:rPr>
            </w:pPr>
            <w:r w:rsidRPr="00604672">
              <w:rPr>
                <w:sz w:val="20"/>
                <w:szCs w:val="20"/>
                <w:lang w:val="en-GB"/>
              </w:rPr>
              <w:t>12-lead ECG with QT and QTc monitor</w:t>
            </w:r>
            <w:r>
              <w:rPr>
                <w:sz w:val="20"/>
                <w:szCs w:val="20"/>
                <w:vertAlign w:val="superscript"/>
                <w:lang w:val="en-GB"/>
              </w:rPr>
              <w:t>1</w:t>
            </w:r>
            <w:r w:rsidR="009D718C">
              <w:rPr>
                <w:sz w:val="20"/>
                <w:szCs w:val="20"/>
                <w:vertAlign w:val="superscript"/>
                <w:lang w:val="en-GB"/>
              </w:rPr>
              <w:t>3</w:t>
            </w:r>
          </w:p>
        </w:tc>
        <w:tc>
          <w:tcPr>
            <w:tcW w:w="12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992"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r>
      <w:tr w:rsidR="004B412F" w:rsidRPr="00573C3D" w:rsidTr="004B412F">
        <w:trPr>
          <w:trHeight w:val="454"/>
        </w:trPr>
        <w:tc>
          <w:tcPr>
            <w:tcW w:w="3227" w:type="dxa"/>
            <w:vAlign w:val="center"/>
          </w:tcPr>
          <w:p w:rsidR="004B412F" w:rsidRPr="0017668C" w:rsidRDefault="004B412F" w:rsidP="004B412F">
            <w:pPr>
              <w:rPr>
                <w:rFonts w:ascii="Cambria" w:hAnsi="Cambria"/>
                <w:sz w:val="20"/>
                <w:szCs w:val="20"/>
                <w:vertAlign w:val="superscript"/>
                <w:lang w:val="en-GB"/>
              </w:rPr>
            </w:pPr>
            <w:r w:rsidRPr="00604672">
              <w:rPr>
                <w:sz w:val="20"/>
                <w:szCs w:val="20"/>
                <w:lang w:val="en-GB"/>
              </w:rPr>
              <w:t>Serum potassium level</w:t>
            </w:r>
            <w:r w:rsidR="0017668C">
              <w:rPr>
                <w:sz w:val="20"/>
                <w:szCs w:val="20"/>
                <w:vertAlign w:val="superscript"/>
                <w:lang w:val="en-GB"/>
              </w:rPr>
              <w:t>14</w:t>
            </w:r>
          </w:p>
        </w:tc>
        <w:tc>
          <w:tcPr>
            <w:tcW w:w="12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992" w:type="dxa"/>
            <w:vAlign w:val="center"/>
          </w:tcPr>
          <w:p w:rsidR="004B412F" w:rsidRPr="00573C3D" w:rsidRDefault="00A27EA9" w:rsidP="004B412F">
            <w:pPr>
              <w:jc w:val="center"/>
              <w:rPr>
                <w:rFonts w:ascii="Cambria" w:hAnsi="Cambria"/>
                <w:sz w:val="20"/>
                <w:szCs w:val="20"/>
                <w:lang w:val="en-GB"/>
              </w:rPr>
            </w:pPr>
            <w:r>
              <w:rPr>
                <w:rFonts w:ascii="Cambria" w:hAnsi="Cambria"/>
                <w:sz w:val="20"/>
                <w:szCs w:val="20"/>
                <w:lang w:val="en-GB"/>
              </w:rPr>
              <w:t>X</w:t>
            </w:r>
          </w:p>
        </w:tc>
      </w:tr>
      <w:tr w:rsidR="00A27EA9" w:rsidRPr="00573C3D" w:rsidTr="004B412F">
        <w:trPr>
          <w:trHeight w:val="454"/>
        </w:trPr>
        <w:tc>
          <w:tcPr>
            <w:tcW w:w="3227" w:type="dxa"/>
            <w:vAlign w:val="center"/>
          </w:tcPr>
          <w:p w:rsidR="00A27EA9" w:rsidRPr="00604672" w:rsidRDefault="00A27EA9" w:rsidP="004B412F">
            <w:pPr>
              <w:rPr>
                <w:sz w:val="20"/>
                <w:szCs w:val="20"/>
                <w:lang w:val="en-GB"/>
              </w:rPr>
            </w:pPr>
            <w:r>
              <w:rPr>
                <w:sz w:val="20"/>
                <w:szCs w:val="20"/>
                <w:lang w:val="en-GB"/>
              </w:rPr>
              <w:t>Serum sodium level</w:t>
            </w:r>
          </w:p>
        </w:tc>
        <w:tc>
          <w:tcPr>
            <w:tcW w:w="1276" w:type="dxa"/>
            <w:vAlign w:val="center"/>
          </w:tcPr>
          <w:p w:rsidR="00A27EA9" w:rsidRPr="00604672" w:rsidRDefault="00A27EA9" w:rsidP="004B412F">
            <w:pPr>
              <w:jc w:val="center"/>
              <w:rPr>
                <w:sz w:val="20"/>
                <w:szCs w:val="20"/>
                <w:lang w:val="en-GB"/>
              </w:rPr>
            </w:pPr>
            <w:r>
              <w:rPr>
                <w:sz w:val="20"/>
                <w:szCs w:val="20"/>
                <w:lang w:val="en-GB"/>
              </w:rPr>
              <w:t>X</w:t>
            </w: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76" w:type="dxa"/>
            <w:vAlign w:val="center"/>
          </w:tcPr>
          <w:p w:rsidR="00A27EA9" w:rsidRPr="00604672" w:rsidRDefault="00A27EA9" w:rsidP="004B412F">
            <w:pPr>
              <w:jc w:val="center"/>
              <w:rPr>
                <w:sz w:val="20"/>
                <w:szCs w:val="20"/>
                <w:lang w:val="en-GB"/>
              </w:rPr>
            </w:pPr>
          </w:p>
        </w:tc>
        <w:tc>
          <w:tcPr>
            <w:tcW w:w="992" w:type="dxa"/>
            <w:vAlign w:val="center"/>
          </w:tcPr>
          <w:p w:rsidR="00A27EA9" w:rsidRDefault="00A27EA9" w:rsidP="004B412F">
            <w:pPr>
              <w:jc w:val="center"/>
              <w:rPr>
                <w:sz w:val="20"/>
                <w:szCs w:val="20"/>
                <w:lang w:val="en-GB"/>
              </w:rPr>
            </w:pPr>
          </w:p>
        </w:tc>
      </w:tr>
      <w:tr w:rsidR="00A27EA9" w:rsidRPr="00573C3D" w:rsidTr="004B412F">
        <w:trPr>
          <w:trHeight w:val="454"/>
        </w:trPr>
        <w:tc>
          <w:tcPr>
            <w:tcW w:w="3227" w:type="dxa"/>
            <w:vAlign w:val="center"/>
          </w:tcPr>
          <w:p w:rsidR="00A27EA9" w:rsidRDefault="00A27EA9" w:rsidP="004B412F">
            <w:pPr>
              <w:rPr>
                <w:sz w:val="20"/>
                <w:szCs w:val="20"/>
                <w:lang w:val="en-GB"/>
              </w:rPr>
            </w:pPr>
            <w:r>
              <w:rPr>
                <w:sz w:val="20"/>
                <w:szCs w:val="20"/>
                <w:lang w:val="en-GB"/>
              </w:rPr>
              <w:t>Serum calcium level</w:t>
            </w:r>
            <w:r w:rsidR="00841639">
              <w:rPr>
                <w:sz w:val="20"/>
                <w:szCs w:val="20"/>
                <w:lang w:val="en-GB"/>
              </w:rPr>
              <w:t xml:space="preserve"> (total calcium)</w:t>
            </w:r>
          </w:p>
        </w:tc>
        <w:tc>
          <w:tcPr>
            <w:tcW w:w="1276" w:type="dxa"/>
            <w:vAlign w:val="center"/>
          </w:tcPr>
          <w:p w:rsidR="00A27EA9" w:rsidRDefault="00A27EA9" w:rsidP="004B412F">
            <w:pPr>
              <w:jc w:val="center"/>
              <w:rPr>
                <w:sz w:val="20"/>
                <w:szCs w:val="20"/>
                <w:lang w:val="en-GB"/>
              </w:rPr>
            </w:pPr>
            <w:r>
              <w:rPr>
                <w:sz w:val="20"/>
                <w:szCs w:val="20"/>
                <w:lang w:val="en-GB"/>
              </w:rPr>
              <w:t>X</w:t>
            </w: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76" w:type="dxa"/>
            <w:vAlign w:val="center"/>
          </w:tcPr>
          <w:p w:rsidR="00A27EA9" w:rsidRDefault="00A27EA9" w:rsidP="004B412F">
            <w:pPr>
              <w:jc w:val="center"/>
              <w:rPr>
                <w:sz w:val="20"/>
                <w:szCs w:val="20"/>
                <w:lang w:val="en-GB"/>
              </w:rPr>
            </w:pPr>
          </w:p>
        </w:tc>
        <w:tc>
          <w:tcPr>
            <w:tcW w:w="992" w:type="dxa"/>
            <w:vAlign w:val="center"/>
          </w:tcPr>
          <w:p w:rsidR="00A27EA9" w:rsidRDefault="00A27EA9" w:rsidP="004B412F">
            <w:pPr>
              <w:jc w:val="center"/>
              <w:rPr>
                <w:sz w:val="20"/>
                <w:szCs w:val="20"/>
                <w:lang w:val="en-GB"/>
              </w:rPr>
            </w:pPr>
          </w:p>
        </w:tc>
      </w:tr>
      <w:tr w:rsidR="00A27EA9" w:rsidRPr="00573C3D" w:rsidTr="004B412F">
        <w:trPr>
          <w:trHeight w:val="454"/>
        </w:trPr>
        <w:tc>
          <w:tcPr>
            <w:tcW w:w="3227" w:type="dxa"/>
            <w:vAlign w:val="center"/>
          </w:tcPr>
          <w:p w:rsidR="00A27EA9" w:rsidRDefault="00A27EA9" w:rsidP="004B412F">
            <w:pPr>
              <w:rPr>
                <w:sz w:val="20"/>
                <w:szCs w:val="20"/>
                <w:lang w:val="en-GB"/>
              </w:rPr>
            </w:pPr>
            <w:r>
              <w:rPr>
                <w:sz w:val="20"/>
                <w:szCs w:val="20"/>
                <w:lang w:val="en-GB"/>
              </w:rPr>
              <w:t>Serum creatinine</w:t>
            </w:r>
          </w:p>
        </w:tc>
        <w:tc>
          <w:tcPr>
            <w:tcW w:w="1276" w:type="dxa"/>
            <w:vAlign w:val="center"/>
          </w:tcPr>
          <w:p w:rsidR="00A27EA9" w:rsidRDefault="00A27EA9" w:rsidP="004B412F">
            <w:pPr>
              <w:jc w:val="center"/>
              <w:rPr>
                <w:sz w:val="20"/>
                <w:szCs w:val="20"/>
                <w:lang w:val="en-GB"/>
              </w:rPr>
            </w:pPr>
            <w:r>
              <w:rPr>
                <w:sz w:val="20"/>
                <w:szCs w:val="20"/>
                <w:lang w:val="en-GB"/>
              </w:rPr>
              <w:t>X</w:t>
            </w: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76" w:type="dxa"/>
            <w:vAlign w:val="center"/>
          </w:tcPr>
          <w:p w:rsidR="00A27EA9" w:rsidRDefault="00A27EA9" w:rsidP="004B412F">
            <w:pPr>
              <w:jc w:val="center"/>
              <w:rPr>
                <w:sz w:val="20"/>
                <w:szCs w:val="20"/>
                <w:lang w:val="en-GB"/>
              </w:rPr>
            </w:pPr>
          </w:p>
        </w:tc>
        <w:tc>
          <w:tcPr>
            <w:tcW w:w="992" w:type="dxa"/>
            <w:vAlign w:val="center"/>
          </w:tcPr>
          <w:p w:rsidR="00A27EA9" w:rsidRDefault="00A27EA9" w:rsidP="004B412F">
            <w:pPr>
              <w:jc w:val="center"/>
              <w:rPr>
                <w:sz w:val="20"/>
                <w:szCs w:val="20"/>
                <w:lang w:val="en-GB"/>
              </w:rPr>
            </w:pPr>
          </w:p>
        </w:tc>
      </w:tr>
      <w:tr w:rsidR="00A27EA9" w:rsidRPr="00573C3D" w:rsidTr="004B412F">
        <w:trPr>
          <w:trHeight w:val="454"/>
        </w:trPr>
        <w:tc>
          <w:tcPr>
            <w:tcW w:w="3227" w:type="dxa"/>
            <w:vAlign w:val="center"/>
          </w:tcPr>
          <w:p w:rsidR="00A27EA9" w:rsidRDefault="00A27EA9" w:rsidP="004B412F">
            <w:pPr>
              <w:rPr>
                <w:sz w:val="20"/>
                <w:szCs w:val="20"/>
                <w:lang w:val="en-GB"/>
              </w:rPr>
            </w:pPr>
            <w:r>
              <w:rPr>
                <w:sz w:val="20"/>
                <w:szCs w:val="20"/>
                <w:lang w:val="en-GB"/>
              </w:rPr>
              <w:t>AST, ALT</w:t>
            </w:r>
          </w:p>
        </w:tc>
        <w:tc>
          <w:tcPr>
            <w:tcW w:w="1276" w:type="dxa"/>
            <w:vAlign w:val="center"/>
          </w:tcPr>
          <w:p w:rsidR="00A27EA9" w:rsidRDefault="00A27EA9" w:rsidP="004B412F">
            <w:pPr>
              <w:jc w:val="center"/>
              <w:rPr>
                <w:sz w:val="20"/>
                <w:szCs w:val="20"/>
                <w:lang w:val="en-GB"/>
              </w:rPr>
            </w:pPr>
            <w:r>
              <w:rPr>
                <w:sz w:val="20"/>
                <w:szCs w:val="20"/>
                <w:lang w:val="en-GB"/>
              </w:rPr>
              <w:t>X</w:t>
            </w: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24" w:type="dxa"/>
            <w:vAlign w:val="center"/>
          </w:tcPr>
          <w:p w:rsidR="00A27EA9" w:rsidRPr="00604672" w:rsidRDefault="00A27EA9" w:rsidP="004B412F">
            <w:pPr>
              <w:jc w:val="center"/>
              <w:rPr>
                <w:sz w:val="20"/>
                <w:szCs w:val="20"/>
                <w:lang w:val="en-GB"/>
              </w:rPr>
            </w:pPr>
          </w:p>
        </w:tc>
        <w:tc>
          <w:tcPr>
            <w:tcW w:w="676" w:type="dxa"/>
            <w:vAlign w:val="center"/>
          </w:tcPr>
          <w:p w:rsidR="00A27EA9" w:rsidRDefault="00A27EA9" w:rsidP="004B412F">
            <w:pPr>
              <w:jc w:val="center"/>
              <w:rPr>
                <w:sz w:val="20"/>
                <w:szCs w:val="20"/>
                <w:lang w:val="en-GB"/>
              </w:rPr>
            </w:pPr>
          </w:p>
        </w:tc>
        <w:tc>
          <w:tcPr>
            <w:tcW w:w="992" w:type="dxa"/>
            <w:vAlign w:val="center"/>
          </w:tcPr>
          <w:p w:rsidR="00A27EA9" w:rsidRDefault="00A27EA9" w:rsidP="004B412F">
            <w:pPr>
              <w:jc w:val="center"/>
              <w:rPr>
                <w:sz w:val="20"/>
                <w:szCs w:val="20"/>
                <w:lang w:val="en-GB"/>
              </w:rPr>
            </w:pPr>
          </w:p>
        </w:tc>
      </w:tr>
      <w:tr w:rsidR="009D718C" w:rsidRPr="00573C3D" w:rsidTr="004B412F">
        <w:trPr>
          <w:trHeight w:val="454"/>
        </w:trPr>
        <w:tc>
          <w:tcPr>
            <w:tcW w:w="3227" w:type="dxa"/>
            <w:vAlign w:val="center"/>
          </w:tcPr>
          <w:p w:rsidR="009D718C" w:rsidRPr="009D718C" w:rsidRDefault="009D718C" w:rsidP="004B412F">
            <w:pPr>
              <w:rPr>
                <w:sz w:val="20"/>
                <w:szCs w:val="20"/>
                <w:vertAlign w:val="superscript"/>
                <w:lang w:val="en-GB"/>
              </w:rPr>
            </w:pPr>
            <w:r>
              <w:rPr>
                <w:sz w:val="20"/>
                <w:szCs w:val="20"/>
                <w:lang w:val="en-GB"/>
              </w:rPr>
              <w:t>Troponin level</w:t>
            </w:r>
            <w:r>
              <w:rPr>
                <w:sz w:val="20"/>
                <w:szCs w:val="20"/>
                <w:vertAlign w:val="superscript"/>
                <w:lang w:val="en-GB"/>
              </w:rPr>
              <w:t>1</w:t>
            </w:r>
            <w:r w:rsidR="0017668C">
              <w:rPr>
                <w:sz w:val="20"/>
                <w:szCs w:val="20"/>
                <w:vertAlign w:val="superscript"/>
                <w:lang w:val="en-GB"/>
              </w:rPr>
              <w:t>5</w:t>
            </w:r>
          </w:p>
        </w:tc>
        <w:tc>
          <w:tcPr>
            <w:tcW w:w="1276" w:type="dxa"/>
            <w:vAlign w:val="center"/>
          </w:tcPr>
          <w:p w:rsidR="009D718C" w:rsidRDefault="009D718C" w:rsidP="004B412F">
            <w:pPr>
              <w:jc w:val="center"/>
              <w:rPr>
                <w:sz w:val="20"/>
                <w:szCs w:val="20"/>
                <w:lang w:val="en-GB"/>
              </w:rPr>
            </w:pPr>
            <w:r>
              <w:rPr>
                <w:sz w:val="20"/>
                <w:szCs w:val="20"/>
                <w:lang w:val="en-GB"/>
              </w:rPr>
              <w:t>X</w:t>
            </w: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Default="009D718C" w:rsidP="004B412F">
            <w:pPr>
              <w:jc w:val="center"/>
              <w:rPr>
                <w:sz w:val="20"/>
                <w:szCs w:val="20"/>
                <w:lang w:val="en-GB"/>
              </w:rPr>
            </w:pPr>
            <w:r>
              <w:rPr>
                <w:sz w:val="20"/>
                <w:szCs w:val="20"/>
                <w:lang w:val="en-GB"/>
              </w:rPr>
              <w:t>X</w:t>
            </w: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17668C" w:rsidP="004B412F">
            <w:pPr>
              <w:jc w:val="center"/>
              <w:rPr>
                <w:sz w:val="20"/>
                <w:szCs w:val="20"/>
                <w:lang w:val="en-GB"/>
              </w:rPr>
            </w:pPr>
            <w:r>
              <w:rPr>
                <w:sz w:val="20"/>
                <w:szCs w:val="20"/>
                <w:lang w:val="en-GB"/>
              </w:rPr>
              <w:t>X</w:t>
            </w: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76" w:type="dxa"/>
            <w:vAlign w:val="center"/>
          </w:tcPr>
          <w:p w:rsidR="009D718C" w:rsidRDefault="009D718C" w:rsidP="004B412F">
            <w:pPr>
              <w:jc w:val="center"/>
              <w:rPr>
                <w:sz w:val="20"/>
                <w:szCs w:val="20"/>
                <w:lang w:val="en-GB"/>
              </w:rPr>
            </w:pPr>
            <w:r>
              <w:rPr>
                <w:sz w:val="20"/>
                <w:szCs w:val="20"/>
                <w:lang w:val="en-GB"/>
              </w:rPr>
              <w:t>X</w:t>
            </w:r>
          </w:p>
        </w:tc>
        <w:tc>
          <w:tcPr>
            <w:tcW w:w="992" w:type="dxa"/>
            <w:vAlign w:val="center"/>
          </w:tcPr>
          <w:p w:rsidR="009D718C" w:rsidRDefault="009D718C" w:rsidP="004B412F">
            <w:pPr>
              <w:jc w:val="center"/>
              <w:rPr>
                <w:sz w:val="20"/>
                <w:szCs w:val="20"/>
                <w:lang w:val="en-GB"/>
              </w:rPr>
            </w:pPr>
          </w:p>
        </w:tc>
      </w:tr>
      <w:tr w:rsidR="009D718C" w:rsidRPr="00573C3D" w:rsidTr="004B412F">
        <w:trPr>
          <w:trHeight w:val="454"/>
        </w:trPr>
        <w:tc>
          <w:tcPr>
            <w:tcW w:w="3227" w:type="dxa"/>
            <w:vAlign w:val="center"/>
          </w:tcPr>
          <w:p w:rsidR="009D718C" w:rsidRPr="00E4669C" w:rsidRDefault="00E4669C" w:rsidP="004B412F">
            <w:pPr>
              <w:tabs>
                <w:tab w:val="center" w:pos="4536"/>
                <w:tab w:val="right" w:pos="9072"/>
              </w:tabs>
              <w:rPr>
                <w:sz w:val="20"/>
                <w:szCs w:val="20"/>
                <w:vertAlign w:val="superscript"/>
                <w:lang w:val="en-GB"/>
              </w:rPr>
            </w:pPr>
            <w:r>
              <w:rPr>
                <w:sz w:val="20"/>
                <w:szCs w:val="20"/>
                <w:lang w:val="en-GB"/>
              </w:rPr>
              <w:t>D-dimer</w:t>
            </w:r>
            <w:r>
              <w:rPr>
                <w:sz w:val="20"/>
                <w:szCs w:val="20"/>
                <w:vertAlign w:val="superscript"/>
                <w:lang w:val="en-GB"/>
              </w:rPr>
              <w:t>1</w:t>
            </w:r>
            <w:r w:rsidR="0017668C">
              <w:rPr>
                <w:sz w:val="20"/>
                <w:szCs w:val="20"/>
                <w:vertAlign w:val="superscript"/>
                <w:lang w:val="en-GB"/>
              </w:rPr>
              <w:t>5</w:t>
            </w:r>
          </w:p>
        </w:tc>
        <w:tc>
          <w:tcPr>
            <w:tcW w:w="1276" w:type="dxa"/>
            <w:vAlign w:val="center"/>
          </w:tcPr>
          <w:p w:rsidR="009D718C" w:rsidRDefault="00E4669C" w:rsidP="004B412F">
            <w:pPr>
              <w:jc w:val="center"/>
              <w:rPr>
                <w:sz w:val="20"/>
                <w:szCs w:val="20"/>
                <w:lang w:val="en-GB"/>
              </w:rPr>
            </w:pPr>
            <w:r>
              <w:rPr>
                <w:sz w:val="20"/>
                <w:szCs w:val="20"/>
                <w:lang w:val="en-GB"/>
              </w:rPr>
              <w:t>X</w:t>
            </w: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24" w:type="dxa"/>
            <w:vAlign w:val="center"/>
          </w:tcPr>
          <w:p w:rsidR="009D718C" w:rsidRPr="00604672" w:rsidRDefault="009D718C" w:rsidP="004B412F">
            <w:pPr>
              <w:jc w:val="center"/>
              <w:rPr>
                <w:sz w:val="20"/>
                <w:szCs w:val="20"/>
                <w:lang w:val="en-GB"/>
              </w:rPr>
            </w:pPr>
          </w:p>
        </w:tc>
        <w:tc>
          <w:tcPr>
            <w:tcW w:w="676" w:type="dxa"/>
            <w:vAlign w:val="center"/>
          </w:tcPr>
          <w:p w:rsidR="009D718C" w:rsidRDefault="009D718C" w:rsidP="004B412F">
            <w:pPr>
              <w:jc w:val="center"/>
              <w:rPr>
                <w:sz w:val="20"/>
                <w:szCs w:val="20"/>
                <w:lang w:val="en-GB"/>
              </w:rPr>
            </w:pPr>
          </w:p>
        </w:tc>
        <w:tc>
          <w:tcPr>
            <w:tcW w:w="992" w:type="dxa"/>
            <w:vAlign w:val="center"/>
          </w:tcPr>
          <w:p w:rsidR="009D718C" w:rsidRDefault="009D718C" w:rsidP="004B412F">
            <w:pPr>
              <w:jc w:val="center"/>
              <w:rPr>
                <w:sz w:val="20"/>
                <w:szCs w:val="20"/>
                <w:lang w:val="en-GB"/>
              </w:rPr>
            </w:pPr>
          </w:p>
        </w:tc>
      </w:tr>
      <w:tr w:rsidR="00E4669C" w:rsidRPr="00573C3D" w:rsidTr="004B412F">
        <w:trPr>
          <w:trHeight w:val="454"/>
        </w:trPr>
        <w:tc>
          <w:tcPr>
            <w:tcW w:w="3227" w:type="dxa"/>
            <w:vAlign w:val="center"/>
          </w:tcPr>
          <w:p w:rsidR="00E4669C" w:rsidRPr="00E4669C" w:rsidRDefault="00E4669C" w:rsidP="004B412F">
            <w:pPr>
              <w:tabs>
                <w:tab w:val="center" w:pos="4536"/>
                <w:tab w:val="right" w:pos="9072"/>
              </w:tabs>
              <w:rPr>
                <w:sz w:val="20"/>
                <w:szCs w:val="20"/>
                <w:vertAlign w:val="superscript"/>
                <w:lang w:val="en-GB"/>
              </w:rPr>
            </w:pPr>
            <w:r>
              <w:rPr>
                <w:sz w:val="20"/>
                <w:szCs w:val="20"/>
                <w:lang w:val="en-GB"/>
              </w:rPr>
              <w:t>Creatine kinase</w:t>
            </w:r>
            <w:r>
              <w:rPr>
                <w:sz w:val="20"/>
                <w:szCs w:val="20"/>
                <w:vertAlign w:val="superscript"/>
                <w:lang w:val="en-GB"/>
              </w:rPr>
              <w:t>1</w:t>
            </w:r>
            <w:r w:rsidR="0017668C">
              <w:rPr>
                <w:sz w:val="20"/>
                <w:szCs w:val="20"/>
                <w:vertAlign w:val="superscript"/>
                <w:lang w:val="en-GB"/>
              </w:rPr>
              <w:t>5</w:t>
            </w:r>
          </w:p>
        </w:tc>
        <w:tc>
          <w:tcPr>
            <w:tcW w:w="1276" w:type="dxa"/>
            <w:vAlign w:val="center"/>
          </w:tcPr>
          <w:p w:rsidR="00E4669C" w:rsidRDefault="00E4669C" w:rsidP="004B412F">
            <w:pPr>
              <w:jc w:val="center"/>
              <w:rPr>
                <w:sz w:val="20"/>
                <w:szCs w:val="20"/>
                <w:lang w:val="en-GB"/>
              </w:rPr>
            </w:pPr>
            <w:r>
              <w:rPr>
                <w:sz w:val="20"/>
                <w:szCs w:val="20"/>
                <w:lang w:val="en-GB"/>
              </w:rPr>
              <w:t>X</w:t>
            </w: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76" w:type="dxa"/>
            <w:vAlign w:val="center"/>
          </w:tcPr>
          <w:p w:rsidR="00E4669C" w:rsidRDefault="00E4669C" w:rsidP="004B412F">
            <w:pPr>
              <w:jc w:val="center"/>
              <w:rPr>
                <w:sz w:val="20"/>
                <w:szCs w:val="20"/>
                <w:lang w:val="en-GB"/>
              </w:rPr>
            </w:pPr>
          </w:p>
        </w:tc>
        <w:tc>
          <w:tcPr>
            <w:tcW w:w="992" w:type="dxa"/>
            <w:vAlign w:val="center"/>
          </w:tcPr>
          <w:p w:rsidR="00E4669C" w:rsidRDefault="00E4669C" w:rsidP="004B412F">
            <w:pPr>
              <w:jc w:val="center"/>
              <w:rPr>
                <w:sz w:val="20"/>
                <w:szCs w:val="20"/>
                <w:lang w:val="en-GB"/>
              </w:rPr>
            </w:pPr>
          </w:p>
        </w:tc>
      </w:tr>
      <w:tr w:rsidR="00E4669C" w:rsidRPr="00573C3D" w:rsidTr="004B412F">
        <w:trPr>
          <w:trHeight w:val="454"/>
        </w:trPr>
        <w:tc>
          <w:tcPr>
            <w:tcW w:w="3227" w:type="dxa"/>
            <w:vAlign w:val="center"/>
          </w:tcPr>
          <w:p w:rsidR="00E4669C" w:rsidRPr="00E4669C" w:rsidRDefault="00E4669C" w:rsidP="004B412F">
            <w:pPr>
              <w:tabs>
                <w:tab w:val="center" w:pos="4536"/>
                <w:tab w:val="right" w:pos="9072"/>
              </w:tabs>
              <w:rPr>
                <w:sz w:val="20"/>
                <w:szCs w:val="20"/>
                <w:vertAlign w:val="superscript"/>
                <w:lang w:val="en-GB"/>
              </w:rPr>
            </w:pPr>
            <w:r>
              <w:rPr>
                <w:sz w:val="20"/>
                <w:szCs w:val="20"/>
                <w:lang w:val="en-GB"/>
              </w:rPr>
              <w:t>Creatine kinase-MB</w:t>
            </w:r>
            <w:r>
              <w:rPr>
                <w:sz w:val="20"/>
                <w:szCs w:val="20"/>
                <w:vertAlign w:val="superscript"/>
                <w:lang w:val="en-GB"/>
              </w:rPr>
              <w:t>1</w:t>
            </w:r>
            <w:r w:rsidR="0017668C">
              <w:rPr>
                <w:sz w:val="20"/>
                <w:szCs w:val="20"/>
                <w:vertAlign w:val="superscript"/>
                <w:lang w:val="en-GB"/>
              </w:rPr>
              <w:t>5</w:t>
            </w:r>
          </w:p>
        </w:tc>
        <w:tc>
          <w:tcPr>
            <w:tcW w:w="1276" w:type="dxa"/>
            <w:vAlign w:val="center"/>
          </w:tcPr>
          <w:p w:rsidR="00E4669C" w:rsidRDefault="00E4669C" w:rsidP="004B412F">
            <w:pPr>
              <w:jc w:val="center"/>
              <w:rPr>
                <w:sz w:val="20"/>
                <w:szCs w:val="20"/>
                <w:lang w:val="en-GB"/>
              </w:rPr>
            </w:pPr>
            <w:r>
              <w:rPr>
                <w:sz w:val="20"/>
                <w:szCs w:val="20"/>
                <w:lang w:val="en-GB"/>
              </w:rPr>
              <w:t>X</w:t>
            </w: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24" w:type="dxa"/>
            <w:vAlign w:val="center"/>
          </w:tcPr>
          <w:p w:rsidR="00E4669C" w:rsidRPr="00604672" w:rsidRDefault="00E4669C" w:rsidP="004B412F">
            <w:pPr>
              <w:jc w:val="center"/>
              <w:rPr>
                <w:sz w:val="20"/>
                <w:szCs w:val="20"/>
                <w:lang w:val="en-GB"/>
              </w:rPr>
            </w:pPr>
          </w:p>
        </w:tc>
        <w:tc>
          <w:tcPr>
            <w:tcW w:w="676" w:type="dxa"/>
            <w:vAlign w:val="center"/>
          </w:tcPr>
          <w:p w:rsidR="00E4669C" w:rsidRDefault="00E4669C" w:rsidP="004B412F">
            <w:pPr>
              <w:jc w:val="center"/>
              <w:rPr>
                <w:sz w:val="20"/>
                <w:szCs w:val="20"/>
                <w:lang w:val="en-GB"/>
              </w:rPr>
            </w:pPr>
          </w:p>
        </w:tc>
        <w:tc>
          <w:tcPr>
            <w:tcW w:w="992" w:type="dxa"/>
            <w:vAlign w:val="center"/>
          </w:tcPr>
          <w:p w:rsidR="00E4669C" w:rsidRDefault="00E4669C" w:rsidP="004B412F">
            <w:pPr>
              <w:jc w:val="center"/>
              <w:rPr>
                <w:sz w:val="20"/>
                <w:szCs w:val="20"/>
                <w:lang w:val="en-GB"/>
              </w:rPr>
            </w:pPr>
          </w:p>
        </w:tc>
      </w:tr>
      <w:tr w:rsidR="004B412F" w:rsidRPr="00573C3D" w:rsidTr="004B412F">
        <w:trPr>
          <w:trHeight w:val="454"/>
        </w:trPr>
        <w:tc>
          <w:tcPr>
            <w:tcW w:w="3227" w:type="dxa"/>
            <w:vAlign w:val="center"/>
          </w:tcPr>
          <w:p w:rsidR="004B412F" w:rsidRPr="00573C3D" w:rsidRDefault="004B412F" w:rsidP="004B412F">
            <w:pPr>
              <w:rPr>
                <w:rFonts w:ascii="Cambria" w:hAnsi="Cambria"/>
                <w:sz w:val="20"/>
                <w:szCs w:val="20"/>
                <w:lang w:val="en-GB"/>
              </w:rPr>
            </w:pPr>
            <w:r w:rsidRPr="00604672">
              <w:rPr>
                <w:sz w:val="20"/>
                <w:szCs w:val="20"/>
                <w:lang w:val="en-GB"/>
              </w:rPr>
              <w:t>C-reactive protein level</w:t>
            </w:r>
          </w:p>
        </w:tc>
        <w:tc>
          <w:tcPr>
            <w:tcW w:w="12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17668C" w:rsidP="004B412F">
            <w:pPr>
              <w:jc w:val="center"/>
              <w:rPr>
                <w:rFonts w:ascii="Cambria" w:hAnsi="Cambria"/>
                <w:sz w:val="20"/>
                <w:szCs w:val="20"/>
                <w:lang w:val="en-GB"/>
              </w:rPr>
            </w:pPr>
            <w:r>
              <w:rPr>
                <w:rFonts w:ascii="Cambria" w:hAnsi="Cambria"/>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992" w:type="dxa"/>
            <w:vAlign w:val="center"/>
          </w:tcPr>
          <w:p w:rsidR="004B412F" w:rsidRPr="00573C3D" w:rsidRDefault="00A27EA9" w:rsidP="004B412F">
            <w:pPr>
              <w:jc w:val="center"/>
              <w:rPr>
                <w:rFonts w:ascii="Cambria" w:hAnsi="Cambria"/>
                <w:sz w:val="20"/>
                <w:szCs w:val="20"/>
                <w:lang w:val="en-GB"/>
              </w:rPr>
            </w:pPr>
            <w:r>
              <w:rPr>
                <w:rFonts w:ascii="Cambria" w:hAnsi="Cambria"/>
                <w:sz w:val="20"/>
                <w:szCs w:val="20"/>
                <w:lang w:val="en-GB"/>
              </w:rPr>
              <w:t>X</w:t>
            </w:r>
          </w:p>
        </w:tc>
      </w:tr>
      <w:tr w:rsidR="00A27EA9" w:rsidRPr="00573C3D" w:rsidTr="004B412F">
        <w:trPr>
          <w:trHeight w:val="454"/>
        </w:trPr>
        <w:tc>
          <w:tcPr>
            <w:tcW w:w="3227" w:type="dxa"/>
            <w:vAlign w:val="center"/>
          </w:tcPr>
          <w:p w:rsidR="00A27EA9" w:rsidRPr="00604672" w:rsidRDefault="00E4669C" w:rsidP="00E4669C">
            <w:pPr>
              <w:rPr>
                <w:sz w:val="20"/>
                <w:szCs w:val="20"/>
                <w:lang w:val="en-GB"/>
              </w:rPr>
            </w:pPr>
            <w:r>
              <w:rPr>
                <w:sz w:val="20"/>
                <w:szCs w:val="20"/>
                <w:lang w:val="en-GB"/>
              </w:rPr>
              <w:t>PLT,  WBC,  Lymphocytes</w:t>
            </w:r>
          </w:p>
        </w:tc>
        <w:tc>
          <w:tcPr>
            <w:tcW w:w="1276" w:type="dxa"/>
            <w:vAlign w:val="center"/>
          </w:tcPr>
          <w:p w:rsidR="00A27EA9" w:rsidRPr="00604672" w:rsidRDefault="00E4669C" w:rsidP="004B412F">
            <w:pPr>
              <w:jc w:val="center"/>
              <w:rPr>
                <w:sz w:val="20"/>
                <w:szCs w:val="20"/>
                <w:lang w:val="en-GB"/>
              </w:rPr>
            </w:pPr>
            <w:r>
              <w:rPr>
                <w:sz w:val="20"/>
                <w:szCs w:val="20"/>
                <w:lang w:val="en-GB"/>
              </w:rPr>
              <w:t>X</w:t>
            </w: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604672" w:rsidRDefault="009B0F52" w:rsidP="004B412F">
            <w:pPr>
              <w:jc w:val="center"/>
              <w:rPr>
                <w:sz w:val="20"/>
                <w:szCs w:val="20"/>
                <w:lang w:val="en-GB"/>
              </w:rPr>
            </w:pPr>
            <w:r>
              <w:rPr>
                <w:sz w:val="20"/>
                <w:szCs w:val="20"/>
                <w:lang w:val="en-GB"/>
              </w:rPr>
              <w:t>X</w:t>
            </w: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17668C" w:rsidP="004B412F">
            <w:pPr>
              <w:jc w:val="center"/>
              <w:rPr>
                <w:sz w:val="20"/>
                <w:szCs w:val="20"/>
                <w:lang w:val="en-GB"/>
              </w:rPr>
            </w:pPr>
            <w:r>
              <w:rPr>
                <w:sz w:val="20"/>
                <w:szCs w:val="20"/>
                <w:lang w:val="en-GB"/>
              </w:rPr>
              <w:t>X</w:t>
            </w: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24" w:type="dxa"/>
            <w:vAlign w:val="center"/>
          </w:tcPr>
          <w:p w:rsidR="00A27EA9" w:rsidRPr="00573C3D" w:rsidRDefault="00A27EA9" w:rsidP="004B412F">
            <w:pPr>
              <w:jc w:val="center"/>
              <w:rPr>
                <w:sz w:val="20"/>
                <w:szCs w:val="20"/>
                <w:lang w:val="en-GB"/>
              </w:rPr>
            </w:pPr>
          </w:p>
        </w:tc>
        <w:tc>
          <w:tcPr>
            <w:tcW w:w="676" w:type="dxa"/>
            <w:vAlign w:val="center"/>
          </w:tcPr>
          <w:p w:rsidR="00A27EA9" w:rsidRPr="00604672" w:rsidRDefault="00E4669C" w:rsidP="004B412F">
            <w:pPr>
              <w:jc w:val="center"/>
              <w:rPr>
                <w:sz w:val="20"/>
                <w:szCs w:val="20"/>
                <w:lang w:val="en-GB"/>
              </w:rPr>
            </w:pPr>
            <w:r>
              <w:rPr>
                <w:sz w:val="20"/>
                <w:szCs w:val="20"/>
                <w:lang w:val="en-GB"/>
              </w:rPr>
              <w:t>X</w:t>
            </w:r>
          </w:p>
        </w:tc>
        <w:tc>
          <w:tcPr>
            <w:tcW w:w="992" w:type="dxa"/>
            <w:vAlign w:val="center"/>
          </w:tcPr>
          <w:p w:rsidR="00A27EA9" w:rsidRDefault="00E4669C" w:rsidP="004B412F">
            <w:pPr>
              <w:jc w:val="center"/>
              <w:rPr>
                <w:sz w:val="20"/>
                <w:szCs w:val="20"/>
                <w:lang w:val="en-GB"/>
              </w:rPr>
            </w:pPr>
            <w:r>
              <w:rPr>
                <w:sz w:val="20"/>
                <w:szCs w:val="20"/>
                <w:lang w:val="en-GB"/>
              </w:rPr>
              <w:t>X</w:t>
            </w:r>
          </w:p>
        </w:tc>
      </w:tr>
      <w:tr w:rsidR="004B412F" w:rsidRPr="00573C3D" w:rsidTr="004B412F">
        <w:trPr>
          <w:trHeight w:val="454"/>
        </w:trPr>
        <w:tc>
          <w:tcPr>
            <w:tcW w:w="3227" w:type="dxa"/>
            <w:vAlign w:val="center"/>
          </w:tcPr>
          <w:p w:rsidR="004B412F" w:rsidRPr="00DA59E5" w:rsidRDefault="004B412F" w:rsidP="004B412F">
            <w:pPr>
              <w:rPr>
                <w:sz w:val="20"/>
                <w:szCs w:val="20"/>
                <w:vertAlign w:val="superscript"/>
                <w:lang w:val="en-GB"/>
              </w:rPr>
            </w:pPr>
            <w:r>
              <w:rPr>
                <w:sz w:val="20"/>
                <w:szCs w:val="20"/>
                <w:lang w:val="en-GB"/>
              </w:rPr>
              <w:t>TSH, fT3 and fT4</w:t>
            </w:r>
          </w:p>
        </w:tc>
        <w:tc>
          <w:tcPr>
            <w:tcW w:w="1276" w:type="dxa"/>
            <w:vAlign w:val="center"/>
          </w:tcPr>
          <w:p w:rsidR="004B412F" w:rsidRPr="00DA59E5" w:rsidRDefault="004B412F" w:rsidP="004B412F">
            <w:pPr>
              <w:jc w:val="center"/>
              <w:rPr>
                <w:sz w:val="20"/>
                <w:szCs w:val="20"/>
                <w:vertAlign w:val="superscript"/>
                <w:lang w:val="en-GB"/>
              </w:rPr>
            </w:pPr>
            <w:r>
              <w:rPr>
                <w:sz w:val="20"/>
                <w:szCs w:val="20"/>
                <w:lang w:val="en-GB"/>
              </w:rPr>
              <w:t>X</w:t>
            </w:r>
            <w:r>
              <w:rPr>
                <w:sz w:val="20"/>
                <w:szCs w:val="20"/>
                <w:vertAlign w:val="superscript"/>
                <w:lang w:val="en-GB"/>
              </w:rPr>
              <w:t>1</w:t>
            </w:r>
            <w:r w:rsidR="0017668C">
              <w:rPr>
                <w:sz w:val="20"/>
                <w:szCs w:val="20"/>
                <w:vertAlign w:val="superscript"/>
                <w:lang w:val="en-GB"/>
              </w:rPr>
              <w:t>6</w:t>
            </w: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84656E"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24" w:type="dxa"/>
            <w:vAlign w:val="center"/>
          </w:tcPr>
          <w:p w:rsidR="004B412F" w:rsidRPr="00573C3D" w:rsidRDefault="004B412F" w:rsidP="004B412F">
            <w:pPr>
              <w:jc w:val="center"/>
              <w:rPr>
                <w:sz w:val="20"/>
                <w:szCs w:val="20"/>
                <w:lang w:val="en-GB"/>
              </w:rPr>
            </w:pPr>
          </w:p>
        </w:tc>
        <w:tc>
          <w:tcPr>
            <w:tcW w:w="676" w:type="dxa"/>
            <w:vAlign w:val="center"/>
          </w:tcPr>
          <w:p w:rsidR="004B412F" w:rsidRPr="0084656E" w:rsidRDefault="004B412F" w:rsidP="004B412F">
            <w:pPr>
              <w:jc w:val="center"/>
              <w:rPr>
                <w:sz w:val="20"/>
                <w:szCs w:val="20"/>
                <w:lang w:val="en-GB"/>
              </w:rPr>
            </w:pPr>
          </w:p>
        </w:tc>
        <w:tc>
          <w:tcPr>
            <w:tcW w:w="992" w:type="dxa"/>
            <w:vAlign w:val="center"/>
          </w:tcPr>
          <w:p w:rsidR="004B412F" w:rsidRPr="00573C3D" w:rsidRDefault="004B412F" w:rsidP="004B412F">
            <w:pPr>
              <w:jc w:val="center"/>
              <w:rPr>
                <w:sz w:val="20"/>
                <w:szCs w:val="20"/>
                <w:lang w:val="en-GB"/>
              </w:rPr>
            </w:pPr>
          </w:p>
        </w:tc>
      </w:tr>
      <w:tr w:rsidR="00E4669C" w:rsidRPr="00573C3D" w:rsidTr="004B412F">
        <w:trPr>
          <w:trHeight w:val="454"/>
        </w:trPr>
        <w:tc>
          <w:tcPr>
            <w:tcW w:w="3227" w:type="dxa"/>
            <w:vAlign w:val="center"/>
          </w:tcPr>
          <w:p w:rsidR="00E4669C" w:rsidRPr="00E4669C" w:rsidRDefault="00E4669C" w:rsidP="004B412F">
            <w:pPr>
              <w:tabs>
                <w:tab w:val="center" w:pos="4536"/>
                <w:tab w:val="right" w:pos="9072"/>
              </w:tabs>
              <w:rPr>
                <w:sz w:val="20"/>
                <w:szCs w:val="20"/>
                <w:vertAlign w:val="superscript"/>
                <w:lang w:val="en-GB"/>
              </w:rPr>
            </w:pPr>
            <w:r>
              <w:rPr>
                <w:sz w:val="20"/>
                <w:szCs w:val="20"/>
                <w:lang w:val="en-GB"/>
              </w:rPr>
              <w:t>Echocardiogram</w:t>
            </w:r>
            <w:r>
              <w:rPr>
                <w:sz w:val="20"/>
                <w:szCs w:val="20"/>
                <w:vertAlign w:val="superscript"/>
                <w:lang w:val="en-GB"/>
              </w:rPr>
              <w:t>1</w:t>
            </w:r>
            <w:r w:rsidR="0017668C">
              <w:rPr>
                <w:sz w:val="20"/>
                <w:szCs w:val="20"/>
                <w:vertAlign w:val="superscript"/>
                <w:lang w:val="en-GB"/>
              </w:rPr>
              <w:t>5</w:t>
            </w:r>
            <w:r w:rsidR="007D0E5B">
              <w:rPr>
                <w:sz w:val="20"/>
                <w:szCs w:val="20"/>
                <w:vertAlign w:val="superscript"/>
                <w:lang w:val="en-GB"/>
              </w:rPr>
              <w:t>,1</w:t>
            </w:r>
            <w:r w:rsidR="0017668C">
              <w:rPr>
                <w:sz w:val="20"/>
                <w:szCs w:val="20"/>
                <w:vertAlign w:val="superscript"/>
                <w:lang w:val="en-GB"/>
              </w:rPr>
              <w:t>7</w:t>
            </w:r>
          </w:p>
        </w:tc>
        <w:tc>
          <w:tcPr>
            <w:tcW w:w="1276" w:type="dxa"/>
            <w:vAlign w:val="center"/>
          </w:tcPr>
          <w:p w:rsidR="00E4669C" w:rsidRDefault="00E4669C" w:rsidP="004B412F">
            <w:pPr>
              <w:jc w:val="center"/>
              <w:rPr>
                <w:sz w:val="20"/>
                <w:szCs w:val="20"/>
                <w:lang w:val="en-GB"/>
              </w:rPr>
            </w:pPr>
            <w:r>
              <w:rPr>
                <w:sz w:val="20"/>
                <w:szCs w:val="20"/>
                <w:lang w:val="en-GB"/>
              </w:rPr>
              <w:t>X</w:t>
            </w: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84656E"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24" w:type="dxa"/>
            <w:vAlign w:val="center"/>
          </w:tcPr>
          <w:p w:rsidR="00E4669C" w:rsidRPr="00573C3D" w:rsidRDefault="00E4669C" w:rsidP="004B412F">
            <w:pPr>
              <w:jc w:val="center"/>
              <w:rPr>
                <w:sz w:val="20"/>
                <w:szCs w:val="20"/>
                <w:lang w:val="en-GB"/>
              </w:rPr>
            </w:pPr>
          </w:p>
        </w:tc>
        <w:tc>
          <w:tcPr>
            <w:tcW w:w="676" w:type="dxa"/>
            <w:vAlign w:val="center"/>
          </w:tcPr>
          <w:p w:rsidR="00E4669C" w:rsidRPr="0084656E" w:rsidRDefault="00E4669C" w:rsidP="004B412F">
            <w:pPr>
              <w:jc w:val="center"/>
              <w:rPr>
                <w:sz w:val="20"/>
                <w:szCs w:val="20"/>
                <w:lang w:val="en-GB"/>
              </w:rPr>
            </w:pPr>
          </w:p>
        </w:tc>
        <w:tc>
          <w:tcPr>
            <w:tcW w:w="992" w:type="dxa"/>
            <w:vAlign w:val="center"/>
          </w:tcPr>
          <w:p w:rsidR="00E4669C" w:rsidRPr="00573C3D" w:rsidRDefault="00E4669C" w:rsidP="004B412F">
            <w:pPr>
              <w:jc w:val="center"/>
              <w:rPr>
                <w:sz w:val="20"/>
                <w:szCs w:val="20"/>
                <w:lang w:val="en-GB"/>
              </w:rPr>
            </w:pPr>
            <w:r>
              <w:rPr>
                <w:sz w:val="20"/>
                <w:szCs w:val="20"/>
                <w:lang w:val="en-GB"/>
              </w:rPr>
              <w:t>X</w:t>
            </w:r>
          </w:p>
        </w:tc>
      </w:tr>
      <w:tr w:rsidR="004B412F" w:rsidRPr="00573C3D" w:rsidTr="004B412F">
        <w:trPr>
          <w:trHeight w:val="454"/>
        </w:trPr>
        <w:tc>
          <w:tcPr>
            <w:tcW w:w="3227" w:type="dxa"/>
            <w:vAlign w:val="center"/>
          </w:tcPr>
          <w:p w:rsidR="004B412F" w:rsidRPr="00573C3D" w:rsidRDefault="004B412F" w:rsidP="004B412F">
            <w:pPr>
              <w:rPr>
                <w:rFonts w:ascii="Cambria" w:hAnsi="Cambria"/>
                <w:sz w:val="20"/>
                <w:szCs w:val="20"/>
                <w:vertAlign w:val="superscript"/>
                <w:lang w:val="en-GB"/>
              </w:rPr>
            </w:pPr>
            <w:r w:rsidRPr="00604672">
              <w:rPr>
                <w:sz w:val="20"/>
                <w:szCs w:val="20"/>
                <w:lang w:val="en-GB"/>
              </w:rPr>
              <w:t>IMP administration</w:t>
            </w:r>
            <w:r w:rsidR="00DA526C">
              <w:rPr>
                <w:rFonts w:ascii="Cambria" w:hAnsi="Cambria"/>
                <w:sz w:val="20"/>
                <w:szCs w:val="20"/>
                <w:vertAlign w:val="superscript"/>
                <w:lang w:val="en-GB"/>
              </w:rPr>
              <w:t>1</w:t>
            </w:r>
            <w:r w:rsidR="0017668C">
              <w:rPr>
                <w:rFonts w:ascii="Cambria" w:hAnsi="Cambria"/>
                <w:sz w:val="20"/>
                <w:szCs w:val="20"/>
                <w:vertAlign w:val="superscript"/>
                <w:lang w:val="en-GB"/>
              </w:rPr>
              <w:t>8</w:t>
            </w:r>
          </w:p>
        </w:tc>
        <w:tc>
          <w:tcPr>
            <w:tcW w:w="12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676" w:type="dxa"/>
            <w:vAlign w:val="center"/>
          </w:tcPr>
          <w:p w:rsidR="004B412F" w:rsidRPr="00573C3D" w:rsidRDefault="004B412F" w:rsidP="004B412F">
            <w:pPr>
              <w:jc w:val="center"/>
              <w:rPr>
                <w:rFonts w:ascii="Cambria" w:hAnsi="Cambria"/>
                <w:sz w:val="20"/>
                <w:szCs w:val="20"/>
                <w:lang w:val="en-GB"/>
              </w:rPr>
            </w:pPr>
            <w:r>
              <w:rPr>
                <w:rFonts w:ascii="Cambria" w:hAnsi="Cambria"/>
                <w:sz w:val="20"/>
                <w:szCs w:val="20"/>
                <w:lang w:val="en-GB"/>
              </w:rPr>
              <w:t>X</w:t>
            </w:r>
          </w:p>
        </w:tc>
        <w:tc>
          <w:tcPr>
            <w:tcW w:w="992" w:type="dxa"/>
            <w:vAlign w:val="center"/>
          </w:tcPr>
          <w:p w:rsidR="004B412F" w:rsidRPr="00470DCD" w:rsidRDefault="004B412F" w:rsidP="004B412F">
            <w:pPr>
              <w:jc w:val="center"/>
              <w:rPr>
                <w:rFonts w:ascii="Cambria" w:hAnsi="Cambria"/>
                <w:sz w:val="20"/>
                <w:szCs w:val="20"/>
                <w:vertAlign w:val="superscript"/>
                <w:lang w:val="en-GB"/>
              </w:rPr>
            </w:pPr>
            <w:r>
              <w:rPr>
                <w:rFonts w:ascii="Cambria" w:hAnsi="Cambria"/>
                <w:sz w:val="20"/>
                <w:szCs w:val="20"/>
                <w:lang w:val="en-GB"/>
              </w:rPr>
              <w:t>X</w:t>
            </w:r>
            <w:r w:rsidR="00DA526C">
              <w:rPr>
                <w:rFonts w:ascii="Cambria" w:hAnsi="Cambria"/>
                <w:sz w:val="20"/>
                <w:szCs w:val="20"/>
                <w:vertAlign w:val="superscript"/>
                <w:lang w:val="en-GB"/>
              </w:rPr>
              <w:t>1</w:t>
            </w:r>
            <w:r w:rsidR="0017668C">
              <w:rPr>
                <w:rFonts w:ascii="Cambria" w:hAnsi="Cambria"/>
                <w:sz w:val="20"/>
                <w:szCs w:val="20"/>
                <w:vertAlign w:val="superscript"/>
                <w:lang w:val="en-GB"/>
              </w:rPr>
              <w:t>9</w:t>
            </w:r>
          </w:p>
        </w:tc>
      </w:tr>
      <w:tr w:rsidR="004B412F" w:rsidRPr="00573C3D" w:rsidTr="004B412F">
        <w:trPr>
          <w:trHeight w:val="454"/>
        </w:trPr>
        <w:tc>
          <w:tcPr>
            <w:tcW w:w="3227" w:type="dxa"/>
            <w:vAlign w:val="center"/>
          </w:tcPr>
          <w:p w:rsidR="004B412F" w:rsidRPr="00573C3D" w:rsidRDefault="004B412F" w:rsidP="004B412F">
            <w:pPr>
              <w:rPr>
                <w:rFonts w:ascii="Cambria" w:hAnsi="Cambria"/>
                <w:sz w:val="20"/>
                <w:szCs w:val="20"/>
                <w:vertAlign w:val="superscript"/>
                <w:lang w:val="en-GB"/>
              </w:rPr>
            </w:pPr>
            <w:r w:rsidRPr="00604672">
              <w:rPr>
                <w:sz w:val="20"/>
                <w:szCs w:val="20"/>
                <w:lang w:val="en-GB"/>
              </w:rPr>
              <w:t>Adverse event monitoring</w:t>
            </w:r>
          </w:p>
        </w:tc>
        <w:tc>
          <w:tcPr>
            <w:tcW w:w="1276"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24"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676"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c>
          <w:tcPr>
            <w:tcW w:w="992" w:type="dxa"/>
            <w:vAlign w:val="center"/>
          </w:tcPr>
          <w:p w:rsidR="004B412F" w:rsidRPr="00573C3D" w:rsidRDefault="004B412F" w:rsidP="004B412F">
            <w:pPr>
              <w:tabs>
                <w:tab w:val="center" w:pos="4536"/>
                <w:tab w:val="right" w:pos="9072"/>
              </w:tabs>
              <w:jc w:val="center"/>
              <w:rPr>
                <w:rFonts w:ascii="Cambria" w:hAnsi="Cambria"/>
                <w:sz w:val="20"/>
                <w:szCs w:val="20"/>
                <w:lang w:val="en-GB"/>
              </w:rPr>
            </w:pPr>
            <w:r w:rsidRPr="00604672">
              <w:rPr>
                <w:sz w:val="20"/>
                <w:szCs w:val="20"/>
                <w:lang w:val="en-GB"/>
              </w:rPr>
              <w:t>X</w:t>
            </w:r>
          </w:p>
        </w:tc>
      </w:tr>
      <w:tr w:rsidR="004B412F" w:rsidRPr="00573C3D" w:rsidTr="004B412F">
        <w:trPr>
          <w:trHeight w:val="454"/>
        </w:trPr>
        <w:tc>
          <w:tcPr>
            <w:tcW w:w="3227" w:type="dxa"/>
            <w:vAlign w:val="center"/>
          </w:tcPr>
          <w:p w:rsidR="004B412F" w:rsidRPr="00DA526C" w:rsidRDefault="004B412F" w:rsidP="004B412F">
            <w:pPr>
              <w:rPr>
                <w:rFonts w:ascii="Cambria" w:hAnsi="Cambria"/>
                <w:sz w:val="20"/>
                <w:szCs w:val="20"/>
                <w:vertAlign w:val="superscript"/>
                <w:lang w:val="en-GB"/>
              </w:rPr>
            </w:pPr>
            <w:r w:rsidRPr="00604672">
              <w:rPr>
                <w:sz w:val="20"/>
                <w:szCs w:val="20"/>
                <w:lang w:val="en-GB"/>
              </w:rPr>
              <w:t>RT-PCR SARS-CoV-2</w:t>
            </w:r>
            <w:r w:rsidR="0017668C">
              <w:rPr>
                <w:sz w:val="20"/>
                <w:szCs w:val="20"/>
                <w:vertAlign w:val="superscript"/>
                <w:lang w:val="en-GB"/>
              </w:rPr>
              <w:t>20</w:t>
            </w:r>
          </w:p>
        </w:tc>
        <w:tc>
          <w:tcPr>
            <w:tcW w:w="1276" w:type="dxa"/>
            <w:vAlign w:val="center"/>
          </w:tcPr>
          <w:p w:rsidR="004B412F" w:rsidRPr="00DA526C" w:rsidRDefault="00DA526C" w:rsidP="004B412F">
            <w:pPr>
              <w:tabs>
                <w:tab w:val="center" w:pos="4536"/>
                <w:tab w:val="right" w:pos="9072"/>
              </w:tabs>
              <w:jc w:val="center"/>
              <w:rPr>
                <w:rFonts w:ascii="Cambria" w:hAnsi="Cambria"/>
                <w:sz w:val="20"/>
                <w:szCs w:val="20"/>
                <w:vertAlign w:val="superscript"/>
                <w:lang w:val="en-GB"/>
              </w:rPr>
            </w:pPr>
            <w:r>
              <w:rPr>
                <w:rFonts w:ascii="Cambria" w:hAnsi="Cambria"/>
                <w:sz w:val="20"/>
                <w:szCs w:val="20"/>
                <w:lang w:val="en-GB"/>
              </w:rPr>
              <w:t>X</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DA526C" w:rsidRDefault="00DA526C" w:rsidP="004B412F">
            <w:pPr>
              <w:tabs>
                <w:tab w:val="center" w:pos="4536"/>
                <w:tab w:val="right" w:pos="9072"/>
              </w:tabs>
              <w:jc w:val="center"/>
              <w:rPr>
                <w:rFonts w:ascii="Cambria" w:hAnsi="Cambria"/>
                <w:sz w:val="20"/>
                <w:szCs w:val="20"/>
                <w:vertAlign w:val="superscript"/>
                <w:lang w:val="en-GB"/>
              </w:rPr>
            </w:pPr>
            <w:r>
              <w:rPr>
                <w:rFonts w:ascii="Cambria" w:hAnsi="Cambria"/>
                <w:sz w:val="20"/>
                <w:szCs w:val="20"/>
                <w:lang w:val="en-GB"/>
              </w:rPr>
              <w:t>X</w:t>
            </w:r>
            <w:r>
              <w:rPr>
                <w:rFonts w:ascii="Cambria" w:hAnsi="Cambria"/>
                <w:sz w:val="20"/>
                <w:szCs w:val="20"/>
                <w:vertAlign w:val="superscript"/>
                <w:lang w:val="en-GB"/>
              </w:rPr>
              <w:t>1</w:t>
            </w:r>
            <w:r w:rsidR="0017668C">
              <w:rPr>
                <w:rFonts w:ascii="Cambria" w:hAnsi="Cambria"/>
                <w:sz w:val="20"/>
                <w:szCs w:val="20"/>
                <w:vertAlign w:val="superscript"/>
                <w:lang w:val="en-GB"/>
              </w:rPr>
              <w:t>5</w:t>
            </w: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24" w:type="dxa"/>
            <w:vAlign w:val="center"/>
          </w:tcPr>
          <w:p w:rsidR="004B412F" w:rsidRPr="00573C3D" w:rsidRDefault="004B412F" w:rsidP="004B412F">
            <w:pPr>
              <w:jc w:val="center"/>
              <w:rPr>
                <w:rFonts w:ascii="Cambria" w:hAnsi="Cambria"/>
                <w:sz w:val="20"/>
                <w:szCs w:val="20"/>
                <w:lang w:val="en-GB"/>
              </w:rPr>
            </w:pPr>
          </w:p>
        </w:tc>
        <w:tc>
          <w:tcPr>
            <w:tcW w:w="676" w:type="dxa"/>
            <w:vAlign w:val="center"/>
          </w:tcPr>
          <w:p w:rsidR="004B412F" w:rsidRPr="00573C3D" w:rsidRDefault="004B412F" w:rsidP="004B412F">
            <w:pPr>
              <w:jc w:val="center"/>
              <w:rPr>
                <w:rFonts w:ascii="Cambria" w:hAnsi="Cambria"/>
                <w:sz w:val="20"/>
                <w:szCs w:val="20"/>
                <w:lang w:val="en-GB"/>
              </w:rPr>
            </w:pPr>
            <w:r w:rsidRPr="00604672">
              <w:rPr>
                <w:sz w:val="20"/>
                <w:szCs w:val="20"/>
                <w:lang w:val="en-GB"/>
              </w:rPr>
              <w:t>X</w:t>
            </w:r>
          </w:p>
        </w:tc>
        <w:tc>
          <w:tcPr>
            <w:tcW w:w="992" w:type="dxa"/>
            <w:vAlign w:val="center"/>
          </w:tcPr>
          <w:p w:rsidR="004B412F" w:rsidRPr="00DA526C" w:rsidRDefault="00DA526C" w:rsidP="004B412F">
            <w:pPr>
              <w:tabs>
                <w:tab w:val="center" w:pos="4536"/>
                <w:tab w:val="right" w:pos="9072"/>
              </w:tabs>
              <w:jc w:val="center"/>
              <w:rPr>
                <w:rFonts w:ascii="Cambria" w:hAnsi="Cambria"/>
                <w:sz w:val="20"/>
                <w:szCs w:val="20"/>
                <w:vertAlign w:val="superscript"/>
                <w:lang w:val="en-GB"/>
              </w:rPr>
            </w:pPr>
            <w:r>
              <w:rPr>
                <w:rFonts w:ascii="Cambria" w:hAnsi="Cambria"/>
                <w:sz w:val="20"/>
                <w:szCs w:val="20"/>
                <w:lang w:val="en-GB"/>
              </w:rPr>
              <w:t>X</w:t>
            </w:r>
            <w:r>
              <w:rPr>
                <w:rFonts w:ascii="Cambria" w:hAnsi="Cambria"/>
                <w:sz w:val="20"/>
                <w:szCs w:val="20"/>
                <w:vertAlign w:val="superscript"/>
                <w:lang w:val="en-GB"/>
              </w:rPr>
              <w:t>1</w:t>
            </w:r>
            <w:r w:rsidR="0017668C">
              <w:rPr>
                <w:rFonts w:ascii="Cambria" w:hAnsi="Cambria"/>
                <w:sz w:val="20"/>
                <w:szCs w:val="20"/>
                <w:vertAlign w:val="superscript"/>
                <w:lang w:val="en-GB"/>
              </w:rPr>
              <w:t>5</w:t>
            </w:r>
          </w:p>
        </w:tc>
      </w:tr>
    </w:tbl>
    <w:p w:rsidR="00DA526C" w:rsidRDefault="00DA526C" w:rsidP="00CF2405">
      <w:pPr>
        <w:shd w:val="clear" w:color="auto" w:fill="FFFFFF"/>
        <w:spacing w:before="100" w:beforeAutospacing="1" w:after="100" w:afterAutospacing="1"/>
        <w:jc w:val="both"/>
        <w:rPr>
          <w:rFonts w:eastAsia="Times New Roman" w:cstheme="minorHAnsi"/>
          <w:b/>
          <w:vertAlign w:val="superscript"/>
          <w:lang w:val="en-GB" w:eastAsia="it-IT"/>
        </w:rPr>
      </w:pPr>
    </w:p>
    <w:p w:rsidR="004B412F" w:rsidRPr="00573C3D" w:rsidRDefault="004B412F" w:rsidP="00CF2405">
      <w:pPr>
        <w:shd w:val="clear" w:color="auto" w:fill="FFFFFF"/>
        <w:spacing w:before="100" w:beforeAutospacing="1" w:after="100" w:afterAutospacing="1"/>
        <w:jc w:val="both"/>
        <w:rPr>
          <w:rFonts w:eastAsia="Times New Roman" w:cstheme="minorHAnsi"/>
          <w:b/>
          <w:lang w:val="en-GB" w:eastAsia="it-IT"/>
        </w:rPr>
      </w:pPr>
      <w:r w:rsidRPr="00573C3D">
        <w:rPr>
          <w:rFonts w:eastAsia="Times New Roman" w:cstheme="minorHAnsi"/>
          <w:b/>
          <w:vertAlign w:val="superscript"/>
          <w:lang w:val="en-GB" w:eastAsia="it-IT"/>
        </w:rPr>
        <w:lastRenderedPageBreak/>
        <w:t xml:space="preserve">1 </w:t>
      </w:r>
      <w:r w:rsidRPr="00604672">
        <w:rPr>
          <w:rFonts w:cstheme="minorHAnsi"/>
          <w:lang w:val="en-GB"/>
        </w:rPr>
        <w:t>Applicable only for women of child-bearing potential</w:t>
      </w:r>
      <w:r w:rsidRPr="00573C3D">
        <w:rPr>
          <w:rFonts w:eastAsia="Times New Roman" w:cstheme="minorHAnsi"/>
          <w:b/>
          <w:lang w:val="en-GB" w:eastAsia="it-IT"/>
        </w:rPr>
        <w:t xml:space="preserve"> </w:t>
      </w:r>
    </w:p>
    <w:p w:rsidR="004B412F" w:rsidRDefault="004B412F" w:rsidP="00CF2405">
      <w:pPr>
        <w:shd w:val="clear" w:color="auto" w:fill="FFFFFF"/>
        <w:spacing w:before="100" w:beforeAutospacing="1" w:after="100" w:afterAutospacing="1"/>
        <w:jc w:val="both"/>
        <w:rPr>
          <w:rFonts w:cstheme="minorHAnsi"/>
          <w:lang w:val="en-GB"/>
        </w:rPr>
      </w:pPr>
      <w:r w:rsidRPr="00573C3D">
        <w:rPr>
          <w:rFonts w:eastAsia="Times New Roman" w:cstheme="minorHAnsi"/>
          <w:b/>
          <w:vertAlign w:val="superscript"/>
          <w:lang w:val="en-GB" w:eastAsia="it-IT"/>
        </w:rPr>
        <w:t xml:space="preserve">2 </w:t>
      </w:r>
      <w:r w:rsidRPr="00604672">
        <w:rPr>
          <w:rFonts w:cstheme="minorHAnsi"/>
          <w:lang w:val="en-GB"/>
        </w:rPr>
        <w:t xml:space="preserve">The result of this pregnancy test must be available and negative before the first IMP can be taken. </w:t>
      </w:r>
    </w:p>
    <w:p w:rsidR="000E1ECF" w:rsidRDefault="004B412F" w:rsidP="00CF2405">
      <w:pPr>
        <w:pStyle w:val="Default"/>
        <w:jc w:val="both"/>
        <w:rPr>
          <w:rFonts w:ascii="Cambria" w:eastAsia="Times New Roman" w:hAnsi="Cambria" w:cstheme="minorHAnsi"/>
          <w:lang w:val="en-GB" w:eastAsia="it-IT"/>
        </w:rPr>
      </w:pPr>
      <w:r w:rsidRPr="00CE6C92">
        <w:rPr>
          <w:rFonts w:ascii="Cambria" w:eastAsia="Times New Roman" w:hAnsi="Cambria" w:cstheme="minorHAnsi"/>
          <w:vertAlign w:val="superscript"/>
          <w:lang w:val="en-GB" w:eastAsia="it-IT"/>
        </w:rPr>
        <w:t xml:space="preserve">3 </w:t>
      </w:r>
      <w:r w:rsidR="000E1ECF">
        <w:rPr>
          <w:rFonts w:ascii="Cambria" w:eastAsia="Times New Roman" w:hAnsi="Cambria" w:cstheme="minorHAnsi"/>
          <w:lang w:val="en-GB" w:eastAsia="it-IT"/>
        </w:rPr>
        <w:t>Medical history: cardiovascular disease, diabetes, cancer, chronic obstructive pulmonary disease</w:t>
      </w:r>
    </w:p>
    <w:p w:rsidR="000E1ECF" w:rsidRDefault="000E1ECF" w:rsidP="00CF2405">
      <w:pPr>
        <w:pStyle w:val="Default"/>
        <w:jc w:val="both"/>
        <w:rPr>
          <w:rFonts w:ascii="Cambria" w:eastAsia="Times New Roman" w:hAnsi="Cambria" w:cstheme="minorHAnsi"/>
          <w:lang w:val="en-GB" w:eastAsia="it-IT"/>
        </w:rPr>
      </w:pPr>
    </w:p>
    <w:p w:rsidR="000E1ECF" w:rsidRPr="000E1ECF" w:rsidRDefault="000E1ECF" w:rsidP="00CF2405">
      <w:pPr>
        <w:pStyle w:val="Default"/>
        <w:jc w:val="both"/>
        <w:rPr>
          <w:rFonts w:ascii="Cambria" w:eastAsia="Times New Roman" w:hAnsi="Cambria" w:cstheme="minorHAnsi"/>
          <w:lang w:val="en-GB" w:eastAsia="it-IT"/>
        </w:rPr>
      </w:pPr>
      <w:r>
        <w:rPr>
          <w:rFonts w:ascii="Cambria" w:eastAsia="Times New Roman" w:hAnsi="Cambria" w:cstheme="minorHAnsi"/>
          <w:vertAlign w:val="superscript"/>
          <w:lang w:val="en-GB" w:eastAsia="it-IT"/>
        </w:rPr>
        <w:t xml:space="preserve">4 </w:t>
      </w:r>
      <w:r>
        <w:rPr>
          <w:rFonts w:ascii="Cambria" w:eastAsia="Times New Roman" w:hAnsi="Cambria" w:cstheme="minorHAnsi"/>
          <w:lang w:val="en-GB" w:eastAsia="it-IT"/>
        </w:rPr>
        <w:t>Demographics: age and sex</w:t>
      </w:r>
    </w:p>
    <w:p w:rsidR="000E1ECF" w:rsidRPr="000E1ECF" w:rsidRDefault="000E1ECF" w:rsidP="00CF2405">
      <w:pPr>
        <w:pStyle w:val="Default"/>
        <w:jc w:val="both"/>
        <w:rPr>
          <w:rFonts w:ascii="Cambria" w:eastAsia="Times New Roman" w:hAnsi="Cambria" w:cstheme="minorHAnsi"/>
          <w:lang w:val="en-GB" w:eastAsia="it-IT"/>
        </w:rPr>
      </w:pPr>
    </w:p>
    <w:p w:rsidR="004B412F" w:rsidRDefault="000E1ECF" w:rsidP="00CF2405">
      <w:pPr>
        <w:pStyle w:val="Default"/>
        <w:jc w:val="both"/>
        <w:rPr>
          <w:sz w:val="25"/>
          <w:szCs w:val="25"/>
          <w:shd w:val="clear" w:color="auto" w:fill="FFFFFF"/>
        </w:rPr>
      </w:pPr>
      <w:r>
        <w:rPr>
          <w:rFonts w:ascii="Cambria" w:eastAsia="Times New Roman" w:hAnsi="Cambria" w:cstheme="minorHAnsi"/>
          <w:vertAlign w:val="superscript"/>
          <w:lang w:val="en-GB" w:eastAsia="it-IT"/>
        </w:rPr>
        <w:t>5</w:t>
      </w:r>
      <w:r>
        <w:rPr>
          <w:rFonts w:ascii="Cambria" w:eastAsia="Times New Roman" w:hAnsi="Cambria" w:cstheme="minorHAnsi"/>
          <w:lang w:val="en-GB" w:eastAsia="it-IT"/>
        </w:rPr>
        <w:t xml:space="preserve"> </w:t>
      </w:r>
      <w:r w:rsidR="004B412F" w:rsidRPr="000E1ECF">
        <w:rPr>
          <w:rFonts w:ascii="Cambria" w:eastAsia="Times New Roman" w:hAnsi="Cambria" w:cstheme="minorHAnsi"/>
          <w:lang w:val="en-GB" w:eastAsia="it-IT"/>
        </w:rPr>
        <w:t>COVID</w:t>
      </w:r>
      <w:r w:rsidR="004B412F" w:rsidRPr="00CE6C92">
        <w:rPr>
          <w:rFonts w:ascii="Cambria" w:eastAsia="Times New Roman" w:hAnsi="Cambria" w:cstheme="minorHAnsi"/>
          <w:lang w:val="en-GB" w:eastAsia="it-IT"/>
        </w:rPr>
        <w:t xml:space="preserve">-19 Symptoms: </w:t>
      </w:r>
      <w:r w:rsidR="004B412F" w:rsidRPr="00CE6C92">
        <w:rPr>
          <w:rFonts w:ascii="Cambria" w:hAnsi="Cambria"/>
          <w:shd w:val="clear" w:color="auto" w:fill="FFFFFF"/>
        </w:rPr>
        <w:t xml:space="preserve">fever, cough, </w:t>
      </w:r>
      <w:proofErr w:type="spellStart"/>
      <w:r w:rsidR="004B412F" w:rsidRPr="00CE6C92">
        <w:rPr>
          <w:rFonts w:ascii="Cambria" w:hAnsi="Cambria"/>
          <w:shd w:val="clear" w:color="auto" w:fill="FFFFFF"/>
        </w:rPr>
        <w:t>dyspnoea</w:t>
      </w:r>
      <w:proofErr w:type="spellEnd"/>
      <w:r w:rsidR="004B412F" w:rsidRPr="00CE6C92">
        <w:rPr>
          <w:rFonts w:ascii="Cambria" w:hAnsi="Cambria"/>
          <w:shd w:val="clear" w:color="auto" w:fill="FFFFFF"/>
        </w:rPr>
        <w:t xml:space="preserve">, </w:t>
      </w:r>
      <w:r>
        <w:rPr>
          <w:rFonts w:ascii="Cambria" w:hAnsi="Cambria"/>
          <w:shd w:val="clear" w:color="auto" w:fill="FFFFFF"/>
        </w:rPr>
        <w:t>muscle or joint pain, diarrhea</w:t>
      </w:r>
      <w:r w:rsidR="004B412F" w:rsidRPr="00CE6C92">
        <w:rPr>
          <w:rFonts w:ascii="Cambria" w:hAnsi="Cambria"/>
          <w:shd w:val="clear" w:color="auto" w:fill="FFFFFF"/>
        </w:rPr>
        <w:t xml:space="preserve">, fatigue, </w:t>
      </w:r>
      <w:r>
        <w:rPr>
          <w:rFonts w:ascii="Cambria" w:hAnsi="Cambria"/>
          <w:shd w:val="clear" w:color="auto" w:fill="FFFFFF"/>
        </w:rPr>
        <w:t>chest pain, headache.</w:t>
      </w:r>
    </w:p>
    <w:p w:rsidR="004B412F" w:rsidRDefault="004B412F" w:rsidP="00CF2405">
      <w:pPr>
        <w:pStyle w:val="Default"/>
        <w:jc w:val="both"/>
        <w:rPr>
          <w:rFonts w:ascii="Cambria" w:eastAsia="Times New Roman" w:hAnsi="Cambria" w:cstheme="minorHAnsi"/>
          <w:vertAlign w:val="superscript"/>
          <w:lang w:val="en-GB" w:eastAsia="it-IT"/>
        </w:rPr>
      </w:pPr>
    </w:p>
    <w:p w:rsidR="005E6A25" w:rsidRDefault="000E1ECF" w:rsidP="00CF2405">
      <w:pPr>
        <w:pStyle w:val="Default"/>
        <w:jc w:val="both"/>
        <w:rPr>
          <w:rFonts w:cstheme="minorHAnsi"/>
          <w:lang w:val="en-GB" w:eastAsia="it-IT"/>
        </w:rPr>
      </w:pPr>
      <w:r>
        <w:rPr>
          <w:rFonts w:ascii="Cambria" w:eastAsia="Times New Roman" w:hAnsi="Cambria" w:cstheme="minorHAnsi"/>
          <w:vertAlign w:val="superscript"/>
          <w:lang w:val="en-GB" w:eastAsia="it-IT"/>
        </w:rPr>
        <w:t>6</w:t>
      </w:r>
      <w:r w:rsidR="00604672" w:rsidRPr="00604672">
        <w:rPr>
          <w:rFonts w:ascii="Cambria" w:eastAsia="Times New Roman" w:hAnsi="Cambria" w:cstheme="minorHAnsi"/>
          <w:vertAlign w:val="superscript"/>
          <w:lang w:val="en-GB" w:eastAsia="it-IT"/>
        </w:rPr>
        <w:t xml:space="preserve"> </w:t>
      </w:r>
      <w:r w:rsidR="00604672" w:rsidRPr="00604672">
        <w:rPr>
          <w:rFonts w:ascii="Cambria" w:hAnsi="Cambria" w:cstheme="minorHAnsi"/>
          <w:lang w:val="en-GB" w:eastAsia="it-IT"/>
        </w:rPr>
        <w:t xml:space="preserve">Physical examinations will cover the following body systems: general appearance, skin, neck (including thyroid), throat, lungs, heart, abdomen, back, lymph nodes, extremities, vascular, neurological systems, and, if applicable, others. </w:t>
      </w:r>
    </w:p>
    <w:p w:rsidR="005E6A25" w:rsidRDefault="005E6A25" w:rsidP="00CF2405">
      <w:pPr>
        <w:pStyle w:val="Default"/>
        <w:jc w:val="both"/>
        <w:rPr>
          <w:rFonts w:cstheme="minorHAnsi"/>
          <w:lang w:val="en-GB" w:eastAsia="it-IT"/>
        </w:rPr>
      </w:pPr>
    </w:p>
    <w:p w:rsidR="005E6A25" w:rsidRDefault="00083AC9" w:rsidP="00CF2405">
      <w:pPr>
        <w:pStyle w:val="Default"/>
        <w:jc w:val="both"/>
        <w:rPr>
          <w:rFonts w:eastAsia="Times New Roman"/>
          <w:lang w:val="en-GB"/>
        </w:rPr>
      </w:pPr>
      <w:r>
        <w:rPr>
          <w:rFonts w:ascii="Cambria" w:hAnsi="Cambria" w:cstheme="minorHAnsi"/>
          <w:vertAlign w:val="superscript"/>
          <w:lang w:val="en-GB" w:eastAsia="it-IT"/>
        </w:rPr>
        <w:t>7</w:t>
      </w:r>
      <w:r w:rsidR="00604672" w:rsidRPr="00604672">
        <w:rPr>
          <w:rFonts w:ascii="Cambria" w:eastAsia="Times New Roman" w:hAnsi="Cambria"/>
          <w:lang w:val="en-GB"/>
        </w:rPr>
        <w:t xml:space="preserve"> WHO classification, that was used in recent COVID-19 trials [8]:</w:t>
      </w:r>
    </w:p>
    <w:p w:rsidR="00C76FEA" w:rsidRPr="0054206C" w:rsidRDefault="00C76FEA" w:rsidP="00CF2405">
      <w:pPr>
        <w:jc w:val="both"/>
        <w:rPr>
          <w:rFonts w:eastAsia="Times New Roman"/>
          <w:lang w:val="en-GB"/>
        </w:rPr>
      </w:pPr>
      <w:r w:rsidRPr="0054206C">
        <w:rPr>
          <w:rFonts w:eastAsia="Times New Roman"/>
          <w:lang w:val="en-GB"/>
        </w:rPr>
        <w:t>The ordinal scale has the following items, ranging from 1 to 7:</w:t>
      </w:r>
    </w:p>
    <w:p w:rsidR="00C76FEA" w:rsidRPr="0054206C" w:rsidRDefault="00C76FEA" w:rsidP="00CF2405">
      <w:pPr>
        <w:numPr>
          <w:ilvl w:val="0"/>
          <w:numId w:val="3"/>
        </w:numPr>
        <w:jc w:val="both"/>
        <w:rPr>
          <w:rFonts w:eastAsia="Times New Roman"/>
          <w:lang w:val="en-GB"/>
        </w:rPr>
      </w:pPr>
      <w:r w:rsidRPr="0054206C">
        <w:rPr>
          <w:rFonts w:eastAsia="Times New Roman"/>
          <w:lang w:val="en-GB"/>
        </w:rPr>
        <w:t>Death.</w:t>
      </w:r>
    </w:p>
    <w:p w:rsidR="00C76FEA" w:rsidRPr="0054206C" w:rsidRDefault="00C76FEA" w:rsidP="00CF2405">
      <w:pPr>
        <w:numPr>
          <w:ilvl w:val="0"/>
          <w:numId w:val="3"/>
        </w:numPr>
        <w:jc w:val="both"/>
        <w:rPr>
          <w:rFonts w:eastAsia="Times New Roman"/>
          <w:lang w:val="en-GB"/>
        </w:rPr>
      </w:pPr>
      <w:r w:rsidRPr="0054206C">
        <w:rPr>
          <w:rFonts w:eastAsia="Times New Roman"/>
          <w:lang w:val="en-GB"/>
        </w:rPr>
        <w:t xml:space="preserve">Hospitalized patients who require mechanical ventilation, ECMO, or both; </w:t>
      </w:r>
    </w:p>
    <w:p w:rsidR="00C76FEA" w:rsidRPr="0054206C" w:rsidRDefault="00C76FEA" w:rsidP="00CF2405">
      <w:pPr>
        <w:numPr>
          <w:ilvl w:val="0"/>
          <w:numId w:val="3"/>
        </w:numPr>
        <w:jc w:val="both"/>
        <w:rPr>
          <w:rFonts w:eastAsia="Times New Roman"/>
          <w:lang w:val="en-GB"/>
        </w:rPr>
      </w:pPr>
      <w:r w:rsidRPr="0054206C">
        <w:rPr>
          <w:rFonts w:eastAsia="Times New Roman"/>
          <w:lang w:val="en-GB"/>
        </w:rPr>
        <w:t xml:space="preserve">Hospitalized patients who require nasal oxygen therapy in high flow, non-invasive mechanical ventilation, or both; </w:t>
      </w:r>
    </w:p>
    <w:p w:rsidR="00C76FEA" w:rsidRPr="0054206C" w:rsidRDefault="00C76FEA" w:rsidP="00CF2405">
      <w:pPr>
        <w:numPr>
          <w:ilvl w:val="0"/>
          <w:numId w:val="3"/>
        </w:numPr>
        <w:jc w:val="both"/>
        <w:rPr>
          <w:rFonts w:eastAsia="Times New Roman"/>
          <w:lang w:val="en-GB"/>
        </w:rPr>
      </w:pPr>
      <w:r w:rsidRPr="0054206C">
        <w:rPr>
          <w:rFonts w:eastAsia="Times New Roman"/>
          <w:lang w:val="en-GB"/>
        </w:rPr>
        <w:t xml:space="preserve">Hospitalized patients who require oxygen therapy; </w:t>
      </w:r>
    </w:p>
    <w:p w:rsidR="00C76FEA" w:rsidRPr="0054206C" w:rsidRDefault="00C76FEA" w:rsidP="00CF2405">
      <w:pPr>
        <w:numPr>
          <w:ilvl w:val="0"/>
          <w:numId w:val="3"/>
        </w:numPr>
        <w:jc w:val="both"/>
        <w:rPr>
          <w:rFonts w:eastAsia="Times New Roman"/>
          <w:lang w:val="en-GB"/>
        </w:rPr>
      </w:pPr>
      <w:r w:rsidRPr="0054206C">
        <w:rPr>
          <w:rFonts w:eastAsia="Times New Roman"/>
          <w:lang w:val="en-GB"/>
        </w:rPr>
        <w:t xml:space="preserve">Hospitalized patients who do not require oxygen therapy; </w:t>
      </w:r>
    </w:p>
    <w:p w:rsidR="00C76FEA" w:rsidRPr="0054206C" w:rsidRDefault="00C76FEA" w:rsidP="00CF2405">
      <w:pPr>
        <w:numPr>
          <w:ilvl w:val="0"/>
          <w:numId w:val="3"/>
        </w:numPr>
        <w:jc w:val="both"/>
        <w:rPr>
          <w:rFonts w:eastAsia="Times New Roman"/>
          <w:lang w:val="en-GB"/>
        </w:rPr>
      </w:pPr>
      <w:r w:rsidRPr="0054206C">
        <w:rPr>
          <w:lang w:val="en-GB"/>
        </w:rPr>
        <w:t>Not hospitalized, but unable to resume normal activities;</w:t>
      </w:r>
    </w:p>
    <w:p w:rsidR="00C76FEA" w:rsidRPr="00083AC9" w:rsidRDefault="00C76FEA" w:rsidP="00CF2405">
      <w:pPr>
        <w:numPr>
          <w:ilvl w:val="0"/>
          <w:numId w:val="3"/>
        </w:numPr>
        <w:jc w:val="both"/>
        <w:rPr>
          <w:rFonts w:eastAsia="Times New Roman"/>
          <w:lang w:val="en-GB"/>
        </w:rPr>
      </w:pPr>
      <w:r w:rsidRPr="0054206C">
        <w:rPr>
          <w:lang w:val="en-GB"/>
        </w:rPr>
        <w:t>Not hospitalized with resumption of normal activities;</w:t>
      </w:r>
    </w:p>
    <w:p w:rsidR="000C794A" w:rsidRDefault="000C794A">
      <w:pPr>
        <w:ind w:left="720"/>
        <w:jc w:val="both"/>
        <w:rPr>
          <w:rFonts w:eastAsia="Times New Roman"/>
          <w:lang w:val="en-GB"/>
        </w:rPr>
      </w:pPr>
    </w:p>
    <w:p w:rsidR="000C794A" w:rsidRDefault="00083AC9">
      <w:pPr>
        <w:jc w:val="both"/>
        <w:rPr>
          <w:rFonts w:eastAsia="Times New Roman"/>
          <w:lang w:val="en-GB"/>
        </w:rPr>
      </w:pPr>
      <w:r>
        <w:rPr>
          <w:vertAlign w:val="superscript"/>
          <w:lang w:val="en-GB"/>
        </w:rPr>
        <w:t xml:space="preserve">8 </w:t>
      </w:r>
      <w:r>
        <w:rPr>
          <w:lang w:val="en-GB"/>
        </w:rPr>
        <w:t>NEWS 2 (National Early Warning Score 2) including: respiratory rate (breaths per minute), oxygen saturations (%), any supplemental oxygen, body temperature, systolic blood pressure (mmHg), heart rate (BPM), level of consciousness.</w:t>
      </w:r>
    </w:p>
    <w:p w:rsidR="005E6A25" w:rsidRDefault="005E6A25" w:rsidP="00CF2405">
      <w:pPr>
        <w:pStyle w:val="Default"/>
        <w:jc w:val="both"/>
        <w:rPr>
          <w:rFonts w:cstheme="minorHAnsi"/>
          <w:vertAlign w:val="superscript"/>
          <w:lang w:val="en-GB" w:eastAsia="it-IT"/>
        </w:rPr>
      </w:pPr>
    </w:p>
    <w:p w:rsidR="005E6A25" w:rsidRDefault="00083AC9" w:rsidP="00CF2405">
      <w:pPr>
        <w:pStyle w:val="Default"/>
        <w:jc w:val="both"/>
      </w:pPr>
      <w:r>
        <w:rPr>
          <w:rFonts w:ascii="Cambria" w:hAnsi="Cambria" w:cstheme="minorHAnsi"/>
          <w:vertAlign w:val="superscript"/>
          <w:lang w:val="en-GB" w:eastAsia="it-IT"/>
        </w:rPr>
        <w:t>9</w:t>
      </w:r>
      <w:r w:rsidR="00604672" w:rsidRPr="00604672">
        <w:rPr>
          <w:rFonts w:ascii="Cambria" w:hAnsi="Cambria"/>
        </w:rPr>
        <w:t xml:space="preserve"> Body temperature can be measured in the armpit or in the oral </w:t>
      </w:r>
      <w:r w:rsidR="0055565A" w:rsidRPr="0055565A">
        <w:rPr>
          <w:rFonts w:ascii="Cambria" w:hAnsi="Cambria"/>
        </w:rPr>
        <w:t>cavity</w:t>
      </w:r>
      <w:r w:rsidR="00604672" w:rsidRPr="00604672">
        <w:rPr>
          <w:rFonts w:ascii="Cambria" w:hAnsi="Cambria"/>
        </w:rPr>
        <w:t xml:space="preserve"> (</w:t>
      </w:r>
      <w:r w:rsidR="00604672" w:rsidRPr="00604672">
        <w:rPr>
          <w:rFonts w:ascii="Cambria" w:hAnsi="Cambria" w:cs="Arial"/>
          <w:color w:val="222222"/>
          <w:shd w:val="clear" w:color="auto" w:fill="FFFFFF"/>
        </w:rPr>
        <w:t>under the tongue</w:t>
      </w:r>
      <w:r w:rsidR="00604672" w:rsidRPr="00604672">
        <w:rPr>
          <w:rFonts w:ascii="Cambria" w:hAnsi="Cambria"/>
        </w:rPr>
        <w:t xml:space="preserve">) or in the rectum. Body temperature should be measure twice a day (at 8.00 a.m. and 8.00 p.m.) </w:t>
      </w:r>
      <w:r w:rsidR="00455C81">
        <w:rPr>
          <w:rFonts w:ascii="Cambria" w:hAnsi="Cambria"/>
        </w:rPr>
        <w:t>and as soon as possible after randomizat</w:t>
      </w:r>
      <w:r w:rsidR="00604672" w:rsidRPr="00604672">
        <w:rPr>
          <w:rFonts w:ascii="Cambria" w:hAnsi="Cambria"/>
        </w:rPr>
        <w:t>i</w:t>
      </w:r>
      <w:r w:rsidR="00455C81">
        <w:rPr>
          <w:rFonts w:ascii="Cambria" w:hAnsi="Cambria"/>
        </w:rPr>
        <w:t>o</w:t>
      </w:r>
      <w:r w:rsidR="00604672" w:rsidRPr="00604672">
        <w:rPr>
          <w:rFonts w:ascii="Cambria" w:hAnsi="Cambria"/>
        </w:rPr>
        <w:t>n</w:t>
      </w:r>
      <w:r w:rsidR="00455C81">
        <w:rPr>
          <w:rFonts w:ascii="Cambria" w:hAnsi="Cambria"/>
        </w:rPr>
        <w:t xml:space="preserve"> in</w:t>
      </w:r>
      <w:r w:rsidR="00604672" w:rsidRPr="00604672">
        <w:rPr>
          <w:rFonts w:ascii="Cambria" w:hAnsi="Cambria"/>
        </w:rPr>
        <w:t xml:space="preserve"> the same body part every day. Temperature should be measured by digital thermometer (the same thermometer every times</w:t>
      </w:r>
      <w:r w:rsidR="005A0E41">
        <w:rPr>
          <w:rFonts w:ascii="Cambria" w:hAnsi="Cambria"/>
        </w:rPr>
        <w:t xml:space="preserve">) and at least 30 minutes after: </w:t>
      </w:r>
      <w:r w:rsidR="00604672" w:rsidRPr="00604672">
        <w:rPr>
          <w:rFonts w:ascii="Cambria" w:hAnsi="Cambria"/>
        </w:rPr>
        <w:t>exercising, bathing, eating or drinking</w:t>
      </w:r>
      <w:r w:rsidR="00DA59E5">
        <w:rPr>
          <w:rFonts w:ascii="Cambria" w:hAnsi="Cambria"/>
        </w:rPr>
        <w:t xml:space="preserve">. </w:t>
      </w:r>
      <w:r w:rsidR="00604672" w:rsidRPr="00604672">
        <w:rPr>
          <w:rFonts w:ascii="Cambria" w:hAnsi="Cambria"/>
        </w:rPr>
        <w:t xml:space="preserve">Fever is </w:t>
      </w:r>
      <w:r w:rsidR="0055565A" w:rsidRPr="0055565A">
        <w:rPr>
          <w:rFonts w:ascii="Cambria" w:hAnsi="Cambria"/>
          <w:lang w:val="en-GB"/>
        </w:rPr>
        <w:t>defined</w:t>
      </w:r>
      <w:r w:rsidR="00CE6C92">
        <w:rPr>
          <w:rFonts w:ascii="Cambria" w:hAnsi="Cambria"/>
          <w:lang w:val="en-GB"/>
        </w:rPr>
        <w:t xml:space="preserve"> as body temperature </w:t>
      </w:r>
      <w:r w:rsidR="00604672" w:rsidRPr="00604672">
        <w:rPr>
          <w:rFonts w:ascii="Cambria" w:hAnsi="Cambria"/>
          <w:lang w:val="en-GB"/>
        </w:rPr>
        <w:t>≥36.6°C [axilla], or ≥37.2 °C [oral], or ≥</w:t>
      </w:r>
      <w:r w:rsidR="00CE6C92">
        <w:rPr>
          <w:rFonts w:ascii="Cambria" w:hAnsi="Cambria"/>
          <w:lang w:val="en-GB"/>
        </w:rPr>
        <w:t>37.8°C [rectal]</w:t>
      </w:r>
      <w:r w:rsidR="00604672" w:rsidRPr="00604672">
        <w:rPr>
          <w:rFonts w:ascii="Cambria" w:hAnsi="Cambria"/>
          <w:lang w:val="en-GB"/>
        </w:rPr>
        <w:t>.</w:t>
      </w:r>
    </w:p>
    <w:p w:rsidR="005E6A25" w:rsidRDefault="005E6A25" w:rsidP="00CF2405">
      <w:pPr>
        <w:pStyle w:val="Default"/>
        <w:jc w:val="both"/>
        <w:rPr>
          <w:rFonts w:ascii="Cambria" w:hAnsi="Cambria" w:cstheme="minorHAnsi"/>
          <w:lang w:val="en-GB" w:eastAsia="it-IT"/>
        </w:rPr>
      </w:pPr>
    </w:p>
    <w:p w:rsidR="005E6A25" w:rsidRDefault="00083AC9" w:rsidP="00CF2405">
      <w:pPr>
        <w:pStyle w:val="Default"/>
        <w:jc w:val="both"/>
        <w:rPr>
          <w:rFonts w:ascii="Cambria" w:hAnsi="Cambria" w:cstheme="minorHAnsi"/>
          <w:lang w:val="en-GB"/>
        </w:rPr>
      </w:pPr>
      <w:r>
        <w:rPr>
          <w:rFonts w:ascii="Cambria" w:hAnsi="Cambria" w:cstheme="minorHAnsi"/>
          <w:vertAlign w:val="superscript"/>
          <w:lang w:val="en-GB" w:eastAsia="it-IT"/>
        </w:rPr>
        <w:t>10</w:t>
      </w:r>
      <w:r w:rsidR="00604672" w:rsidRPr="00604672">
        <w:rPr>
          <w:rFonts w:ascii="Cambria" w:hAnsi="Cambria" w:cstheme="minorHAnsi"/>
          <w:vertAlign w:val="superscript"/>
          <w:lang w:val="en-GB" w:eastAsia="it-IT"/>
        </w:rPr>
        <w:t xml:space="preserve"> </w:t>
      </w:r>
      <w:r w:rsidR="00604672" w:rsidRPr="00604672">
        <w:rPr>
          <w:rFonts w:ascii="Cambria" w:hAnsi="Cambria" w:cstheme="minorHAnsi"/>
          <w:lang w:val="en-GB"/>
        </w:rPr>
        <w:t>Blood pressure (systolic and diastolic), and heart rate to be measured with the patient in a seated position, after at least 5 minutes at rest.</w:t>
      </w:r>
    </w:p>
    <w:p w:rsidR="003C3ABB" w:rsidRDefault="003C3ABB" w:rsidP="00CF2405">
      <w:pPr>
        <w:pStyle w:val="Default"/>
        <w:jc w:val="both"/>
        <w:rPr>
          <w:rFonts w:cstheme="minorHAnsi"/>
          <w:lang w:val="en-GB"/>
        </w:rPr>
      </w:pPr>
    </w:p>
    <w:p w:rsidR="005E6A25" w:rsidRDefault="003C3ABB" w:rsidP="00CF2405">
      <w:pPr>
        <w:pStyle w:val="Default"/>
        <w:jc w:val="both"/>
      </w:pPr>
      <w:r>
        <w:rPr>
          <w:rFonts w:ascii="Cambria" w:hAnsi="Cambria" w:cstheme="minorHAnsi"/>
          <w:vertAlign w:val="superscript"/>
          <w:lang w:val="en-GB"/>
        </w:rPr>
        <w:t>11</w:t>
      </w:r>
      <w:r w:rsidR="005A0E41">
        <w:t xml:space="preserve"> </w:t>
      </w:r>
      <w:r w:rsidR="00604672" w:rsidRPr="00604672">
        <w:rPr>
          <w:rFonts w:ascii="Cambria" w:hAnsi="Cambria"/>
        </w:rPr>
        <w:t>Oxygen saturation measured using non-invasive pulse oximetry device. A sensor should be placed on the forefinger or forehead. Oxygen saturation should be measured at least twice a day (at 8.00 a.m. and 8.00 p.m.) and as soon as possible after randomization. Oxygen saturation should be measured by the same device every times and in the same place.</w:t>
      </w:r>
      <w:r w:rsidR="00DA59E5">
        <w:rPr>
          <w:rFonts w:ascii="Cambria" w:hAnsi="Cambria"/>
        </w:rPr>
        <w:t xml:space="preserve"> </w:t>
      </w:r>
    </w:p>
    <w:p w:rsidR="005E6A25" w:rsidRDefault="005E6A25" w:rsidP="00CF2405">
      <w:pPr>
        <w:pStyle w:val="Default"/>
        <w:jc w:val="both"/>
      </w:pPr>
    </w:p>
    <w:p w:rsidR="005E6A25" w:rsidRDefault="003C3ABB" w:rsidP="00CF2405">
      <w:pPr>
        <w:pStyle w:val="Default"/>
        <w:jc w:val="both"/>
        <w:rPr>
          <w:rFonts w:cstheme="minorHAnsi"/>
          <w:lang w:val="en-GB"/>
        </w:rPr>
      </w:pPr>
      <w:r>
        <w:rPr>
          <w:rFonts w:ascii="Cambria" w:hAnsi="Cambria"/>
          <w:vertAlign w:val="superscript"/>
        </w:rPr>
        <w:t>12</w:t>
      </w:r>
      <w:r w:rsidR="00604672" w:rsidRPr="00604672">
        <w:rPr>
          <w:rFonts w:ascii="Cambria" w:hAnsi="Cambria"/>
          <w:lang w:val="en-GB"/>
        </w:rPr>
        <w:t xml:space="preserve"> PO2/FIO2 oxygenation index defined as quotient of partial pressure of oxygen in arterial blood (PaO2, in mmHg) and fraction of inspired oxygen (FiO2)</w:t>
      </w:r>
    </w:p>
    <w:p w:rsidR="005E6A25" w:rsidRDefault="005E6A25" w:rsidP="00CF2405">
      <w:pPr>
        <w:pStyle w:val="Default"/>
        <w:jc w:val="both"/>
        <w:rPr>
          <w:rFonts w:cstheme="minorHAnsi"/>
          <w:lang w:val="en-GB"/>
        </w:rPr>
      </w:pPr>
    </w:p>
    <w:p w:rsidR="005E6A25" w:rsidRDefault="00DA59E5" w:rsidP="00CF2405">
      <w:pPr>
        <w:pStyle w:val="Default"/>
        <w:jc w:val="both"/>
        <w:rPr>
          <w:rFonts w:ascii="Cambria" w:hAnsi="Cambria" w:cstheme="minorHAnsi"/>
          <w:lang w:val="en-GB"/>
        </w:rPr>
      </w:pPr>
      <w:r>
        <w:rPr>
          <w:rFonts w:ascii="Cambria" w:hAnsi="Cambria" w:cstheme="minorHAnsi"/>
          <w:vertAlign w:val="superscript"/>
          <w:lang w:val="en-GB"/>
        </w:rPr>
        <w:t>1</w:t>
      </w:r>
      <w:r w:rsidR="009D718C">
        <w:rPr>
          <w:rFonts w:ascii="Cambria" w:hAnsi="Cambria" w:cstheme="minorHAnsi"/>
          <w:vertAlign w:val="superscript"/>
          <w:lang w:val="en-GB"/>
        </w:rPr>
        <w:t>3</w:t>
      </w:r>
      <w:r w:rsidR="00604672" w:rsidRPr="00604672">
        <w:rPr>
          <w:rFonts w:ascii="Cambria" w:hAnsi="Cambria" w:cstheme="minorHAnsi"/>
          <w:vertAlign w:val="superscript"/>
          <w:lang w:val="en-GB"/>
        </w:rPr>
        <w:t xml:space="preserve"> </w:t>
      </w:r>
      <w:r w:rsidR="00604672" w:rsidRPr="00604672">
        <w:rPr>
          <w:rFonts w:ascii="Cambria" w:hAnsi="Cambria" w:cstheme="minorHAnsi"/>
          <w:lang w:val="en-GB"/>
        </w:rPr>
        <w:t xml:space="preserve">The 12-lead ECG (I, II, III, </w:t>
      </w:r>
      <w:proofErr w:type="spellStart"/>
      <w:r w:rsidR="00604672" w:rsidRPr="00604672">
        <w:rPr>
          <w:rFonts w:ascii="Cambria" w:hAnsi="Cambria" w:cstheme="minorHAnsi"/>
          <w:lang w:val="en-GB"/>
        </w:rPr>
        <w:t>aVR</w:t>
      </w:r>
      <w:proofErr w:type="spellEnd"/>
      <w:r w:rsidR="00604672" w:rsidRPr="00604672">
        <w:rPr>
          <w:rFonts w:ascii="Cambria" w:hAnsi="Cambria" w:cstheme="minorHAnsi"/>
          <w:lang w:val="en-GB"/>
        </w:rPr>
        <w:t xml:space="preserve">, </w:t>
      </w:r>
      <w:proofErr w:type="spellStart"/>
      <w:r w:rsidR="00604672" w:rsidRPr="00604672">
        <w:rPr>
          <w:rFonts w:ascii="Cambria" w:hAnsi="Cambria" w:cstheme="minorHAnsi"/>
          <w:lang w:val="en-GB"/>
        </w:rPr>
        <w:t>aVL</w:t>
      </w:r>
      <w:proofErr w:type="spellEnd"/>
      <w:r w:rsidR="00604672" w:rsidRPr="00604672">
        <w:rPr>
          <w:rFonts w:ascii="Cambria" w:hAnsi="Cambria" w:cstheme="minorHAnsi"/>
          <w:lang w:val="en-GB"/>
        </w:rPr>
        <w:t xml:space="preserve">, </w:t>
      </w:r>
      <w:proofErr w:type="spellStart"/>
      <w:r w:rsidR="00604672" w:rsidRPr="00604672">
        <w:rPr>
          <w:rFonts w:ascii="Cambria" w:hAnsi="Cambria" w:cstheme="minorHAnsi"/>
          <w:lang w:val="en-GB"/>
        </w:rPr>
        <w:t>aVF</w:t>
      </w:r>
      <w:proofErr w:type="spellEnd"/>
      <w:r w:rsidR="00604672" w:rsidRPr="00604672">
        <w:rPr>
          <w:rFonts w:ascii="Cambria" w:hAnsi="Cambria" w:cstheme="minorHAnsi"/>
          <w:lang w:val="en-GB"/>
        </w:rPr>
        <w:t xml:space="preserve">, V1-V6) will be recorded in supine position after at least 5 minutes at rest using the local standard ECG machine. </w:t>
      </w:r>
      <w:r w:rsidR="00604672" w:rsidRPr="00604672">
        <w:rPr>
          <w:rFonts w:ascii="Cambria" w:hAnsi="Cambria" w:cstheme="minorHAnsi"/>
          <w:i/>
          <w:lang w:val="en-GB"/>
        </w:rPr>
        <w:t>The ECG will be analyzed qualitatively (normal or abnormal, if abnormal clinically significant [yes/no]). The</w:t>
      </w:r>
      <w:r w:rsidR="00576F96">
        <w:rPr>
          <w:rFonts w:ascii="Cambria" w:hAnsi="Cambria" w:cstheme="minorHAnsi"/>
          <w:i/>
          <w:lang w:val="en-GB"/>
        </w:rPr>
        <w:t xml:space="preserve"> hearth rhythm and hearth arrhythmias,</w:t>
      </w:r>
      <w:r w:rsidR="00604672" w:rsidRPr="00604672">
        <w:rPr>
          <w:rFonts w:ascii="Cambria" w:hAnsi="Cambria" w:cstheme="minorHAnsi"/>
          <w:i/>
          <w:lang w:val="en-GB"/>
        </w:rPr>
        <w:t xml:space="preserve"> heart rate, PQ-, QRS-, and QT-intervals, as well as the heart rate-corrected QTc interval (according to </w:t>
      </w:r>
      <w:proofErr w:type="spellStart"/>
      <w:r w:rsidR="00604672" w:rsidRPr="00604672">
        <w:rPr>
          <w:rFonts w:ascii="Cambria" w:hAnsi="Cambria" w:cstheme="minorHAnsi"/>
          <w:i/>
          <w:lang w:val="en-GB"/>
        </w:rPr>
        <w:t>Bazett’s</w:t>
      </w:r>
      <w:proofErr w:type="spellEnd"/>
      <w:r w:rsidR="00604672" w:rsidRPr="00604672">
        <w:rPr>
          <w:rFonts w:ascii="Cambria" w:hAnsi="Cambria" w:cstheme="minorHAnsi"/>
          <w:i/>
          <w:lang w:val="en-GB"/>
        </w:rPr>
        <w:t xml:space="preserve"> formula) will be determined</w:t>
      </w:r>
      <w:r w:rsidR="00604672" w:rsidRPr="00604672">
        <w:rPr>
          <w:rFonts w:ascii="Cambria" w:hAnsi="Cambria" w:cstheme="minorHAnsi"/>
          <w:lang w:val="en-GB"/>
        </w:rPr>
        <w:t>. All procedures will be done according to local practice.</w:t>
      </w:r>
    </w:p>
    <w:p w:rsidR="009D718C" w:rsidRDefault="009D718C" w:rsidP="00CF2405">
      <w:pPr>
        <w:pStyle w:val="Default"/>
        <w:jc w:val="both"/>
        <w:rPr>
          <w:rFonts w:ascii="Cambria" w:hAnsi="Cambria" w:cstheme="minorHAnsi"/>
          <w:lang w:val="en-GB"/>
        </w:rPr>
      </w:pPr>
    </w:p>
    <w:p w:rsidR="0017668C" w:rsidRDefault="0017668C" w:rsidP="00CF2405">
      <w:pPr>
        <w:pStyle w:val="Default"/>
        <w:jc w:val="both"/>
        <w:rPr>
          <w:rFonts w:ascii="Cambria" w:hAnsi="Cambria" w:cstheme="minorHAnsi"/>
          <w:lang w:val="en-GB"/>
        </w:rPr>
      </w:pPr>
      <w:r w:rsidRPr="0017668C">
        <w:rPr>
          <w:rFonts w:ascii="Cambria" w:hAnsi="Cambria" w:cstheme="minorHAnsi"/>
          <w:vertAlign w:val="superscript"/>
          <w:lang w:val="en-GB"/>
        </w:rPr>
        <w:t>14</w:t>
      </w:r>
      <w:r>
        <w:rPr>
          <w:rFonts w:ascii="Cambria" w:hAnsi="Cambria" w:cstheme="minorHAnsi"/>
          <w:lang w:val="en-GB"/>
        </w:rPr>
        <w:t xml:space="preserve"> </w:t>
      </w:r>
      <w:r w:rsidRPr="0017668C">
        <w:rPr>
          <w:rFonts w:ascii="Cambria" w:hAnsi="Cambria" w:cstheme="minorHAnsi"/>
          <w:lang w:val="en-GB"/>
        </w:rPr>
        <w:t xml:space="preserve">It is necessary to measure </w:t>
      </w:r>
      <w:r>
        <w:rPr>
          <w:rFonts w:ascii="Cambria" w:hAnsi="Cambria" w:cstheme="minorHAnsi"/>
          <w:lang w:val="en-GB"/>
        </w:rPr>
        <w:t>serum</w:t>
      </w:r>
      <w:r w:rsidRPr="0017668C">
        <w:rPr>
          <w:rFonts w:ascii="Cambria" w:hAnsi="Cambria" w:cstheme="minorHAnsi"/>
          <w:lang w:val="en-GB"/>
        </w:rPr>
        <w:t xml:space="preserve"> potassium level on the first day of the </w:t>
      </w:r>
      <w:r w:rsidR="00652769">
        <w:rPr>
          <w:rFonts w:ascii="Cambria" w:hAnsi="Cambria" w:cstheme="minorHAnsi"/>
          <w:lang w:val="en-GB"/>
        </w:rPr>
        <w:t xml:space="preserve">study. </w:t>
      </w:r>
      <w:r w:rsidRPr="0017668C">
        <w:rPr>
          <w:rFonts w:ascii="Cambria" w:hAnsi="Cambria" w:cstheme="minorHAnsi"/>
          <w:lang w:val="en-GB"/>
        </w:rPr>
        <w:t>The</w:t>
      </w:r>
      <w:r w:rsidR="00652769">
        <w:rPr>
          <w:rFonts w:ascii="Cambria" w:hAnsi="Cambria" w:cstheme="minorHAnsi"/>
          <w:lang w:val="en-GB"/>
        </w:rPr>
        <w:t xml:space="preserve"> frequency of serum potassium level measurement in the following days is up to the co-</w:t>
      </w:r>
      <w:proofErr w:type="spellStart"/>
      <w:r w:rsidR="00652769">
        <w:rPr>
          <w:rFonts w:ascii="Cambria" w:hAnsi="Cambria" w:cstheme="minorHAnsi"/>
          <w:lang w:val="en-GB"/>
        </w:rPr>
        <w:t>invastigator</w:t>
      </w:r>
      <w:proofErr w:type="spellEnd"/>
      <w:r w:rsidR="00652769">
        <w:rPr>
          <w:rFonts w:ascii="Cambria" w:hAnsi="Cambria" w:cstheme="minorHAnsi"/>
          <w:lang w:val="en-GB"/>
        </w:rPr>
        <w:t xml:space="preserve"> to decide. </w:t>
      </w:r>
      <w:proofErr w:type="spellStart"/>
      <w:r w:rsidR="00652769">
        <w:rPr>
          <w:rFonts w:ascii="Cambria" w:hAnsi="Cambria" w:cstheme="minorHAnsi"/>
          <w:lang w:val="en-GB"/>
        </w:rPr>
        <w:t>Normokalemia</w:t>
      </w:r>
      <w:proofErr w:type="spellEnd"/>
      <w:r w:rsidR="00652769">
        <w:rPr>
          <w:rFonts w:ascii="Cambria" w:hAnsi="Cambria" w:cstheme="minorHAnsi"/>
          <w:lang w:val="en-GB"/>
        </w:rPr>
        <w:t xml:space="preserve"> should be maintained.</w:t>
      </w:r>
    </w:p>
    <w:p w:rsidR="00652769" w:rsidRPr="0017668C" w:rsidRDefault="00652769" w:rsidP="00CF2405">
      <w:pPr>
        <w:pStyle w:val="Default"/>
        <w:jc w:val="both"/>
        <w:rPr>
          <w:rFonts w:ascii="Cambria" w:hAnsi="Cambria" w:cstheme="minorHAnsi"/>
          <w:lang w:val="en-GB"/>
        </w:rPr>
      </w:pPr>
    </w:p>
    <w:p w:rsidR="009D718C" w:rsidRPr="009D718C" w:rsidRDefault="009D718C" w:rsidP="00CF2405">
      <w:pPr>
        <w:pStyle w:val="Default"/>
        <w:jc w:val="both"/>
        <w:rPr>
          <w:rFonts w:cstheme="minorHAnsi"/>
          <w:lang w:val="en-GB"/>
        </w:rPr>
      </w:pPr>
      <w:r>
        <w:rPr>
          <w:rFonts w:ascii="Cambria" w:hAnsi="Cambria" w:cstheme="minorHAnsi"/>
          <w:vertAlign w:val="superscript"/>
          <w:lang w:val="en-GB"/>
        </w:rPr>
        <w:t>1</w:t>
      </w:r>
      <w:r w:rsidR="0017668C">
        <w:rPr>
          <w:rFonts w:ascii="Cambria" w:hAnsi="Cambria" w:cstheme="minorHAnsi"/>
          <w:vertAlign w:val="superscript"/>
          <w:lang w:val="en-GB"/>
        </w:rPr>
        <w:t>5</w:t>
      </w:r>
      <w:r>
        <w:rPr>
          <w:rFonts w:ascii="Cambria" w:hAnsi="Cambria" w:cstheme="minorHAnsi"/>
          <w:vertAlign w:val="superscript"/>
          <w:lang w:val="en-GB"/>
        </w:rPr>
        <w:t xml:space="preserve"> </w:t>
      </w:r>
      <w:r>
        <w:rPr>
          <w:rFonts w:ascii="Cambria" w:hAnsi="Cambria" w:cstheme="minorHAnsi"/>
          <w:lang w:val="en-GB"/>
        </w:rPr>
        <w:t>If possible. Test recommended but optional</w:t>
      </w:r>
      <w:r w:rsidR="00DA526C">
        <w:rPr>
          <w:rFonts w:ascii="Cambria" w:hAnsi="Cambria" w:cstheme="minorHAnsi"/>
          <w:lang w:val="en-GB"/>
        </w:rPr>
        <w:t>.</w:t>
      </w:r>
    </w:p>
    <w:p w:rsidR="005E6A25" w:rsidRDefault="005E6A25" w:rsidP="00CF2405">
      <w:pPr>
        <w:pStyle w:val="Default"/>
        <w:jc w:val="both"/>
        <w:rPr>
          <w:rFonts w:cstheme="minorHAnsi"/>
          <w:lang w:val="en-GB"/>
        </w:rPr>
      </w:pPr>
    </w:p>
    <w:p w:rsidR="005E6A25" w:rsidRDefault="00604672" w:rsidP="00CF2405">
      <w:pPr>
        <w:pStyle w:val="Default"/>
        <w:jc w:val="both"/>
        <w:rPr>
          <w:rFonts w:ascii="Cambria" w:eastAsia="Times New Roman" w:hAnsi="Cambria"/>
          <w:lang w:val="en-GB" w:eastAsia="it-IT"/>
        </w:rPr>
      </w:pPr>
      <w:r w:rsidRPr="00604672">
        <w:rPr>
          <w:rFonts w:ascii="Cambria" w:hAnsi="Cambria" w:cstheme="minorHAnsi"/>
          <w:vertAlign w:val="superscript"/>
          <w:lang w:val="en-GB"/>
        </w:rPr>
        <w:t>1</w:t>
      </w:r>
      <w:r w:rsidR="0017668C">
        <w:rPr>
          <w:rFonts w:ascii="Cambria" w:hAnsi="Cambria" w:cstheme="minorHAnsi"/>
          <w:vertAlign w:val="superscript"/>
          <w:lang w:val="en-GB"/>
        </w:rPr>
        <w:t>6</w:t>
      </w:r>
      <w:r w:rsidR="00E4669C">
        <w:rPr>
          <w:rFonts w:ascii="Cambria" w:hAnsi="Cambria" w:cstheme="minorHAnsi"/>
          <w:vertAlign w:val="superscript"/>
          <w:lang w:val="en-GB"/>
        </w:rPr>
        <w:t xml:space="preserve"> </w:t>
      </w:r>
      <w:r w:rsidRPr="00604672">
        <w:rPr>
          <w:rFonts w:ascii="Cambria" w:hAnsi="Cambria" w:cstheme="minorHAnsi"/>
          <w:lang w:val="en-GB"/>
        </w:rPr>
        <w:t>Only if they are</w:t>
      </w:r>
      <w:r w:rsidRPr="00604672">
        <w:rPr>
          <w:rFonts w:ascii="Cambria" w:eastAsia="Times New Roman" w:hAnsi="Cambria"/>
          <w:lang w:val="en-GB" w:eastAsia="it-IT"/>
        </w:rPr>
        <w:t xml:space="preserve"> clinical signs and symptoms of thyroid disease.</w:t>
      </w:r>
    </w:p>
    <w:p w:rsidR="007D0E5B" w:rsidRDefault="007D0E5B" w:rsidP="00CF2405">
      <w:pPr>
        <w:pStyle w:val="Default"/>
        <w:jc w:val="both"/>
        <w:rPr>
          <w:rFonts w:ascii="Cambria" w:eastAsia="Times New Roman" w:hAnsi="Cambria"/>
          <w:lang w:val="en-GB" w:eastAsia="it-IT"/>
        </w:rPr>
      </w:pPr>
    </w:p>
    <w:p w:rsidR="007D0E5B" w:rsidRPr="007D0E5B" w:rsidRDefault="007D0E5B" w:rsidP="00CF2405">
      <w:pPr>
        <w:pStyle w:val="Default"/>
        <w:jc w:val="both"/>
        <w:rPr>
          <w:rFonts w:eastAsia="Times New Roman"/>
          <w:lang w:val="en-GB" w:eastAsia="it-IT"/>
        </w:rPr>
      </w:pPr>
      <w:r>
        <w:rPr>
          <w:rFonts w:ascii="Cambria" w:eastAsia="Times New Roman" w:hAnsi="Cambria"/>
          <w:vertAlign w:val="superscript"/>
          <w:lang w:val="en-GB" w:eastAsia="it-IT"/>
        </w:rPr>
        <w:t>1</w:t>
      </w:r>
      <w:r w:rsidR="0017668C">
        <w:rPr>
          <w:rFonts w:ascii="Cambria" w:eastAsia="Times New Roman" w:hAnsi="Cambria"/>
          <w:vertAlign w:val="superscript"/>
          <w:lang w:val="en-GB" w:eastAsia="it-IT"/>
        </w:rPr>
        <w:t>7</w:t>
      </w:r>
      <w:r>
        <w:rPr>
          <w:rFonts w:ascii="Cambria" w:eastAsia="Times New Roman" w:hAnsi="Cambria"/>
          <w:lang w:val="en-GB" w:eastAsia="it-IT"/>
        </w:rPr>
        <w:t xml:space="preserve"> </w:t>
      </w:r>
      <w:r w:rsidR="00DA526C">
        <w:rPr>
          <w:rFonts w:ascii="Cambria" w:eastAsia="Times New Roman" w:hAnsi="Cambria"/>
          <w:lang w:val="en-GB" w:eastAsia="it-IT"/>
        </w:rPr>
        <w:t>Ejection fraction (%) and pulmonary artery pressure (mmHg).</w:t>
      </w:r>
    </w:p>
    <w:p w:rsidR="005E6A25" w:rsidRDefault="005E6A25" w:rsidP="00CF2405">
      <w:pPr>
        <w:pStyle w:val="Default"/>
        <w:jc w:val="both"/>
        <w:rPr>
          <w:rFonts w:eastAsia="Times New Roman"/>
          <w:lang w:val="en-GB" w:eastAsia="it-IT"/>
        </w:rPr>
      </w:pPr>
    </w:p>
    <w:p w:rsidR="0055565A" w:rsidRPr="003732DE" w:rsidRDefault="00604672" w:rsidP="00CF2405">
      <w:pPr>
        <w:pStyle w:val="Default"/>
        <w:jc w:val="both"/>
        <w:outlineLvl w:val="0"/>
        <w:rPr>
          <w:rFonts w:ascii="Cambria" w:hAnsi="Cambria" w:cs="Times New Roman"/>
          <w:b/>
          <w:color w:val="auto"/>
          <w:lang w:val="en-GB" w:eastAsia="ja-JP"/>
        </w:rPr>
      </w:pPr>
      <w:bookmarkStart w:id="62" w:name="_Toc38208560"/>
      <w:bookmarkStart w:id="63" w:name="_Toc38214880"/>
      <w:bookmarkStart w:id="64" w:name="_Toc40961986"/>
      <w:bookmarkStart w:id="65" w:name="_Toc54897301"/>
      <w:bookmarkStart w:id="66" w:name="_Toc86608121"/>
      <w:r w:rsidRPr="00604672">
        <w:rPr>
          <w:rFonts w:eastAsia="Times New Roman"/>
          <w:vertAlign w:val="superscript"/>
          <w:lang w:val="en-GB" w:eastAsia="it-IT"/>
        </w:rPr>
        <w:t>1</w:t>
      </w:r>
      <w:r w:rsidR="0017668C">
        <w:rPr>
          <w:rFonts w:eastAsia="Times New Roman"/>
          <w:vertAlign w:val="superscript"/>
          <w:lang w:val="en-GB" w:eastAsia="it-IT"/>
        </w:rPr>
        <w:t>8</w:t>
      </w:r>
      <w:bookmarkEnd w:id="62"/>
      <w:r w:rsidR="00573C3D" w:rsidRPr="0055565A">
        <w:rPr>
          <w:rFonts w:ascii="Cambria" w:hAnsi="Cambria" w:cstheme="minorHAnsi"/>
          <w:vertAlign w:val="superscript"/>
          <w:lang w:val="en-GB"/>
        </w:rPr>
        <w:t xml:space="preserve"> </w:t>
      </w:r>
      <w:bookmarkStart w:id="67" w:name="_Toc38208561"/>
      <w:r w:rsidR="0055565A" w:rsidRPr="0055565A">
        <w:rPr>
          <w:rFonts w:ascii="Cambria" w:hAnsi="Cambria" w:cstheme="minorHAnsi"/>
          <w:lang w:val="en-GB"/>
        </w:rPr>
        <w:t>For d</w:t>
      </w:r>
      <w:r w:rsidR="00DA59E5" w:rsidRPr="0055565A">
        <w:rPr>
          <w:rFonts w:ascii="Cambria" w:hAnsi="Cambria" w:cstheme="minorHAnsi"/>
          <w:lang w:val="en-GB"/>
        </w:rPr>
        <w:t>etailed IMT administration</w:t>
      </w:r>
      <w:r w:rsidR="0055565A" w:rsidRPr="0055565A">
        <w:rPr>
          <w:rFonts w:ascii="Cambria" w:hAnsi="Cambria" w:cstheme="minorHAnsi"/>
          <w:lang w:val="en-GB"/>
        </w:rPr>
        <w:t xml:space="preserve">  see  section </w:t>
      </w:r>
      <w:r w:rsidRPr="00604672">
        <w:rPr>
          <w:rFonts w:ascii="Cambria" w:eastAsia="Times New Roman" w:hAnsi="Cambria"/>
          <w:lang w:val="en-GB" w:eastAsia="it-IT"/>
        </w:rPr>
        <w:t>5. Administration of IMP: amiodarone or verapamil</w:t>
      </w:r>
      <w:bookmarkEnd w:id="63"/>
      <w:bookmarkEnd w:id="67"/>
      <w:r w:rsidR="00DA526C">
        <w:rPr>
          <w:rFonts w:ascii="Cambria" w:eastAsia="Times New Roman" w:hAnsi="Cambria"/>
          <w:lang w:val="en-GB" w:eastAsia="it-IT"/>
        </w:rPr>
        <w:t>.</w:t>
      </w:r>
      <w:bookmarkEnd w:id="64"/>
      <w:bookmarkEnd w:id="65"/>
      <w:bookmarkEnd w:id="66"/>
    </w:p>
    <w:p w:rsidR="005E6A25" w:rsidRDefault="005E6A25" w:rsidP="00CF2405">
      <w:pPr>
        <w:pStyle w:val="Default"/>
        <w:jc w:val="both"/>
        <w:rPr>
          <w:lang w:val="en-GB"/>
        </w:rPr>
      </w:pPr>
    </w:p>
    <w:p w:rsidR="005E6A25" w:rsidRDefault="00D8328A" w:rsidP="00CF2405">
      <w:pPr>
        <w:pStyle w:val="Default"/>
        <w:jc w:val="both"/>
        <w:rPr>
          <w:rFonts w:ascii="Cambria" w:eastAsia="Times New Roman" w:hAnsi="Cambria" w:cstheme="minorHAnsi"/>
          <w:lang w:val="en-GB" w:eastAsia="it-IT"/>
        </w:rPr>
      </w:pPr>
      <w:r w:rsidRPr="00D8328A">
        <w:rPr>
          <w:rFonts w:ascii="Cambria" w:hAnsi="Cambria" w:cstheme="minorHAnsi"/>
          <w:vertAlign w:val="superscript"/>
          <w:lang w:val="en-GB"/>
        </w:rPr>
        <w:t>1</w:t>
      </w:r>
      <w:r w:rsidR="0017668C">
        <w:rPr>
          <w:rFonts w:ascii="Cambria" w:hAnsi="Cambria" w:cstheme="minorHAnsi"/>
          <w:vertAlign w:val="superscript"/>
          <w:lang w:val="en-GB"/>
        </w:rPr>
        <w:t>9</w:t>
      </w:r>
      <w:r w:rsidRPr="00D8328A">
        <w:rPr>
          <w:rFonts w:ascii="Cambria" w:hAnsi="Cambria" w:cstheme="minorHAnsi"/>
          <w:vertAlign w:val="superscript"/>
          <w:lang w:val="en-GB"/>
        </w:rPr>
        <w:t xml:space="preserve"> </w:t>
      </w:r>
      <w:r w:rsidR="00604672" w:rsidRPr="00DA526C">
        <w:rPr>
          <w:rFonts w:ascii="Cambria" w:eastAsia="Times New Roman" w:hAnsi="Cambria" w:cstheme="minorHAnsi"/>
          <w:lang w:val="en-GB" w:eastAsia="it-IT"/>
        </w:rPr>
        <w:t>Only</w:t>
      </w:r>
      <w:r w:rsidR="00604672" w:rsidRPr="00604672">
        <w:rPr>
          <w:rFonts w:ascii="Cambria" w:eastAsia="Times New Roman" w:hAnsi="Cambria" w:cstheme="minorHAnsi"/>
          <w:lang w:val="en-GB" w:eastAsia="it-IT"/>
        </w:rPr>
        <w:t xml:space="preserve"> if there is cardiovascular indication to prolong IMP treatment</w:t>
      </w:r>
      <w:r w:rsidR="00DA526C">
        <w:rPr>
          <w:rFonts w:ascii="Cambria" w:eastAsia="Times New Roman" w:hAnsi="Cambria" w:cstheme="minorHAnsi"/>
          <w:lang w:val="en-GB" w:eastAsia="it-IT"/>
        </w:rPr>
        <w:t>.</w:t>
      </w:r>
    </w:p>
    <w:p w:rsidR="00DA526C" w:rsidRDefault="00DA526C" w:rsidP="00CF2405">
      <w:pPr>
        <w:pStyle w:val="Default"/>
        <w:jc w:val="both"/>
        <w:rPr>
          <w:rFonts w:ascii="Cambria" w:eastAsia="Times New Roman" w:hAnsi="Cambria" w:cstheme="minorHAnsi"/>
          <w:lang w:val="en-GB" w:eastAsia="it-IT"/>
        </w:rPr>
      </w:pPr>
    </w:p>
    <w:p w:rsidR="00DA526C" w:rsidRDefault="0017668C" w:rsidP="00CF2405">
      <w:pPr>
        <w:pStyle w:val="Default"/>
        <w:jc w:val="both"/>
        <w:rPr>
          <w:rFonts w:ascii="Cambria" w:eastAsia="Times New Roman" w:hAnsi="Cambria" w:cstheme="minorHAnsi"/>
          <w:lang w:val="en-GB" w:eastAsia="it-IT"/>
        </w:rPr>
      </w:pPr>
      <w:r>
        <w:rPr>
          <w:rFonts w:ascii="Cambria" w:eastAsia="Times New Roman" w:hAnsi="Cambria" w:cstheme="minorHAnsi"/>
          <w:vertAlign w:val="superscript"/>
          <w:lang w:val="en-GB" w:eastAsia="it-IT"/>
        </w:rPr>
        <w:t>20</w:t>
      </w:r>
      <w:r w:rsidR="00DA526C">
        <w:rPr>
          <w:rFonts w:ascii="Cambria" w:eastAsia="Times New Roman" w:hAnsi="Cambria" w:cstheme="minorHAnsi"/>
          <w:lang w:val="en-GB" w:eastAsia="it-IT"/>
        </w:rPr>
        <w:t xml:space="preserve"> Positive or negative test result. If available: mean viral load (log10 copies per ml) </w:t>
      </w:r>
    </w:p>
    <w:p w:rsidR="00DA526C" w:rsidRPr="00DA526C" w:rsidRDefault="00DA526C" w:rsidP="00CF2405">
      <w:pPr>
        <w:pStyle w:val="Default"/>
        <w:jc w:val="both"/>
        <w:rPr>
          <w:rFonts w:cstheme="minorHAnsi"/>
          <w:i/>
          <w:lang w:val="en-GB"/>
        </w:rPr>
      </w:pPr>
    </w:p>
    <w:p w:rsidR="005E6A25" w:rsidRDefault="005E6A25">
      <w:pPr>
        <w:pStyle w:val="Default"/>
        <w:rPr>
          <w:rFonts w:eastAsia="Times New Roman" w:cstheme="minorHAnsi"/>
          <w:lang w:val="en-GB" w:eastAsia="it-IT"/>
        </w:rPr>
      </w:pPr>
    </w:p>
    <w:p w:rsidR="005E6A25" w:rsidRDefault="005E6A25">
      <w:pPr>
        <w:pStyle w:val="Default"/>
        <w:rPr>
          <w:rFonts w:eastAsia="Times New Roman" w:cstheme="minorHAnsi"/>
          <w:lang w:val="en-GB" w:eastAsia="it-IT"/>
        </w:rPr>
      </w:pPr>
    </w:p>
    <w:p w:rsidR="00956C27" w:rsidRDefault="00956C27" w:rsidP="000D30D8">
      <w:pPr>
        <w:pStyle w:val="Default"/>
        <w:rPr>
          <w:rFonts w:ascii="Cambria" w:eastAsia="Times New Roman" w:hAnsi="Cambria"/>
          <w:b/>
          <w:lang w:val="en-GB" w:eastAsia="it-IT"/>
        </w:rPr>
        <w:sectPr w:rsidR="00956C27" w:rsidSect="00141BED">
          <w:pgSz w:w="16840" w:h="11900" w:orient="landscape"/>
          <w:pgMar w:top="709" w:right="1418" w:bottom="1418" w:left="1418" w:header="709" w:footer="709" w:gutter="0"/>
          <w:cols w:space="708"/>
          <w:noEndnote/>
        </w:sectPr>
      </w:pPr>
    </w:p>
    <w:p w:rsidR="00436D22" w:rsidRPr="00573C3D" w:rsidRDefault="0041459E" w:rsidP="00381930">
      <w:pPr>
        <w:pStyle w:val="Nagwek1"/>
        <w:spacing w:before="0"/>
        <w:rPr>
          <w:rFonts w:ascii="Cambria" w:eastAsia="Times New Roman" w:hAnsi="Cambria"/>
          <w:b/>
          <w:color w:val="auto"/>
          <w:sz w:val="24"/>
          <w:szCs w:val="24"/>
          <w:lang w:val="en-GB"/>
        </w:rPr>
      </w:pPr>
      <w:bookmarkStart w:id="68" w:name="_Toc38208562"/>
      <w:bookmarkStart w:id="69" w:name="_Toc86608122"/>
      <w:r>
        <w:rPr>
          <w:rFonts w:ascii="Cambria" w:eastAsia="Times New Roman" w:hAnsi="Cambria"/>
          <w:b/>
          <w:color w:val="auto"/>
          <w:sz w:val="24"/>
          <w:szCs w:val="24"/>
          <w:lang w:val="en-GB"/>
        </w:rPr>
        <w:lastRenderedPageBreak/>
        <w:t>7</w:t>
      </w:r>
      <w:r w:rsidR="004B412F">
        <w:rPr>
          <w:rFonts w:ascii="Cambria" w:eastAsia="Times New Roman" w:hAnsi="Cambria"/>
          <w:b/>
          <w:color w:val="auto"/>
          <w:sz w:val="24"/>
          <w:szCs w:val="24"/>
          <w:lang w:val="en-GB"/>
        </w:rPr>
        <w:t>.</w:t>
      </w:r>
      <w:r w:rsidR="00604672" w:rsidRPr="00604672">
        <w:rPr>
          <w:rFonts w:ascii="Cambria" w:eastAsia="Times New Roman" w:hAnsi="Cambria"/>
          <w:b/>
          <w:color w:val="auto"/>
          <w:sz w:val="24"/>
          <w:szCs w:val="24"/>
          <w:lang w:val="en-GB"/>
        </w:rPr>
        <w:t xml:space="preserve"> Endpoints</w:t>
      </w:r>
      <w:bookmarkEnd w:id="68"/>
      <w:bookmarkEnd w:id="69"/>
    </w:p>
    <w:p w:rsidR="00E8386A" w:rsidRPr="00573C3D" w:rsidRDefault="00E8386A" w:rsidP="00E8386A">
      <w:pPr>
        <w:rPr>
          <w:lang w:val="en-GB"/>
        </w:rPr>
      </w:pPr>
    </w:p>
    <w:p w:rsidR="00123D79" w:rsidRPr="00395598" w:rsidRDefault="0041459E" w:rsidP="00395598">
      <w:pPr>
        <w:pStyle w:val="Nagwek2"/>
        <w:rPr>
          <w:rFonts w:ascii="Cambria" w:eastAsia="Times New Roman" w:hAnsi="Cambria"/>
          <w:b/>
          <w:color w:val="auto"/>
          <w:sz w:val="24"/>
          <w:lang w:val="en-GB"/>
        </w:rPr>
      </w:pPr>
      <w:bookmarkStart w:id="70" w:name="_Toc38208563"/>
      <w:bookmarkStart w:id="71" w:name="_Toc86608123"/>
      <w:r w:rsidRPr="00395598">
        <w:rPr>
          <w:rFonts w:ascii="Cambria" w:eastAsia="Times New Roman" w:hAnsi="Cambria"/>
          <w:b/>
          <w:color w:val="auto"/>
          <w:sz w:val="24"/>
          <w:lang w:val="en-GB"/>
        </w:rPr>
        <w:t>7</w:t>
      </w:r>
      <w:r w:rsidR="00676923" w:rsidRPr="00395598">
        <w:rPr>
          <w:rFonts w:ascii="Cambria" w:eastAsia="Times New Roman" w:hAnsi="Cambria"/>
          <w:b/>
          <w:color w:val="auto"/>
          <w:sz w:val="24"/>
          <w:lang w:val="en-GB"/>
        </w:rPr>
        <w:t>.1</w:t>
      </w:r>
      <w:r w:rsidR="004B412F" w:rsidRPr="00395598">
        <w:rPr>
          <w:rFonts w:ascii="Cambria" w:eastAsia="Times New Roman" w:hAnsi="Cambria"/>
          <w:b/>
          <w:color w:val="auto"/>
          <w:sz w:val="24"/>
          <w:lang w:val="en-GB"/>
        </w:rPr>
        <w:t>.</w:t>
      </w:r>
      <w:r w:rsidR="00676923" w:rsidRPr="00395598">
        <w:rPr>
          <w:rFonts w:ascii="Cambria" w:eastAsia="Times New Roman" w:hAnsi="Cambria"/>
          <w:b/>
          <w:color w:val="auto"/>
          <w:sz w:val="24"/>
          <w:lang w:val="en-GB"/>
        </w:rPr>
        <w:t xml:space="preserve"> </w:t>
      </w:r>
      <w:r w:rsidR="000F2073" w:rsidRPr="00395598">
        <w:rPr>
          <w:rFonts w:ascii="Cambria" w:eastAsia="Times New Roman" w:hAnsi="Cambria"/>
          <w:b/>
          <w:color w:val="auto"/>
          <w:sz w:val="24"/>
          <w:lang w:val="en-GB"/>
        </w:rPr>
        <w:t>Primary end</w:t>
      </w:r>
      <w:r w:rsidR="00123D79" w:rsidRPr="00395598">
        <w:rPr>
          <w:rFonts w:ascii="Cambria" w:eastAsia="Times New Roman" w:hAnsi="Cambria"/>
          <w:b/>
          <w:color w:val="auto"/>
          <w:sz w:val="24"/>
          <w:lang w:val="en-GB"/>
        </w:rPr>
        <w:t>point</w:t>
      </w:r>
      <w:bookmarkEnd w:id="70"/>
      <w:bookmarkEnd w:id="71"/>
    </w:p>
    <w:p w:rsidR="00123D79" w:rsidRPr="00573C3D" w:rsidRDefault="00123D79" w:rsidP="00123D79">
      <w:pPr>
        <w:jc w:val="both"/>
        <w:outlineLvl w:val="0"/>
        <w:rPr>
          <w:rFonts w:eastAsia="Times New Roman"/>
          <w:u w:val="single"/>
          <w:lang w:val="en-GB"/>
        </w:rPr>
      </w:pPr>
    </w:p>
    <w:p w:rsidR="00123D79" w:rsidRPr="00573C3D" w:rsidRDefault="00123D79" w:rsidP="00123D79">
      <w:pPr>
        <w:jc w:val="both"/>
        <w:rPr>
          <w:rFonts w:eastAsia="Times New Roman"/>
          <w:lang w:val="en-GB"/>
        </w:rPr>
      </w:pPr>
      <w:r w:rsidRPr="00573C3D">
        <w:rPr>
          <w:rFonts w:eastAsia="Times New Roman"/>
          <w:lang w:val="en-GB"/>
        </w:rPr>
        <w:t>The primary end point of the study is the</w:t>
      </w:r>
      <w:r w:rsidRPr="00573C3D">
        <w:rPr>
          <w:rFonts w:eastAsia="Times New Roman"/>
          <w:b/>
          <w:lang w:val="en-GB"/>
        </w:rPr>
        <w:t xml:space="preserve"> clinical improvement </w:t>
      </w:r>
      <w:r w:rsidRPr="00573C3D">
        <w:rPr>
          <w:rFonts w:eastAsia="Times New Roman"/>
          <w:lang w:val="en-GB"/>
        </w:rPr>
        <w:t xml:space="preserve"> defined according to WHO classification, that was u</w:t>
      </w:r>
      <w:r w:rsidR="00CF358C" w:rsidRPr="00573C3D">
        <w:rPr>
          <w:rFonts w:eastAsia="Times New Roman"/>
          <w:lang w:val="en-GB"/>
        </w:rPr>
        <w:t>sed in recent COVID-19 trials [8</w:t>
      </w:r>
      <w:r w:rsidRPr="00573C3D">
        <w:rPr>
          <w:rFonts w:eastAsia="Times New Roman"/>
          <w:lang w:val="en-GB"/>
        </w:rPr>
        <w:t>]. The end point is defined as</w:t>
      </w:r>
      <w:r w:rsidR="00604672" w:rsidRPr="00604672">
        <w:rPr>
          <w:lang w:val="en-GB"/>
        </w:rPr>
        <w:t xml:space="preserve"> </w:t>
      </w:r>
      <w:r w:rsidR="00FC7DC7" w:rsidRPr="00573C3D">
        <w:rPr>
          <w:rFonts w:eastAsia="Times New Roman"/>
          <w:lang w:val="en-GB"/>
        </w:rPr>
        <w:t xml:space="preserve">time to first occurrence </w:t>
      </w:r>
      <w:r w:rsidRPr="00573C3D">
        <w:rPr>
          <w:rFonts w:eastAsia="Times New Roman"/>
          <w:lang w:val="en-GB"/>
        </w:rPr>
        <w:t xml:space="preserve">of clinical improvement  assessed on a seven category scale ranging from 1 to 7. Improvement is considered as the increase of one category </w:t>
      </w:r>
      <w:r w:rsidR="00E15B25" w:rsidRPr="00573C3D">
        <w:rPr>
          <w:rFonts w:eastAsia="Times New Roman"/>
          <w:lang w:val="en-GB"/>
        </w:rPr>
        <w:t>of the scale or discharge. Lower scores indicate</w:t>
      </w:r>
      <w:r w:rsidRPr="00573C3D">
        <w:rPr>
          <w:rFonts w:eastAsia="Times New Roman"/>
          <w:lang w:val="en-GB"/>
        </w:rPr>
        <w:t xml:space="preserve"> worse outcomes and higher scores outcome improved</w:t>
      </w:r>
      <w:r w:rsidR="00FC7DC7" w:rsidRPr="00573C3D">
        <w:rPr>
          <w:rFonts w:eastAsia="Times New Roman"/>
          <w:lang w:val="en-GB"/>
        </w:rPr>
        <w:t>.</w:t>
      </w:r>
    </w:p>
    <w:p w:rsidR="00C321F3" w:rsidRPr="00573C3D" w:rsidRDefault="00C321F3" w:rsidP="00123D79">
      <w:pPr>
        <w:rPr>
          <w:rFonts w:eastAsia="Times New Roman"/>
          <w:lang w:val="en-GB"/>
        </w:rPr>
      </w:pPr>
    </w:p>
    <w:p w:rsidR="00123D79" w:rsidRPr="00573C3D" w:rsidRDefault="00123D79" w:rsidP="00123D79">
      <w:pPr>
        <w:rPr>
          <w:rFonts w:eastAsia="Times New Roman"/>
          <w:lang w:val="en-GB"/>
        </w:rPr>
      </w:pPr>
      <w:r w:rsidRPr="00573C3D">
        <w:rPr>
          <w:rFonts w:eastAsia="Times New Roman"/>
          <w:lang w:val="en-GB"/>
        </w:rPr>
        <w:t>The ordinal scale has the following items, ranging from 1 to 7:</w:t>
      </w:r>
    </w:p>
    <w:p w:rsidR="00123D79" w:rsidRPr="00573C3D" w:rsidRDefault="00123D79" w:rsidP="005F01FD">
      <w:pPr>
        <w:numPr>
          <w:ilvl w:val="0"/>
          <w:numId w:val="33"/>
        </w:numPr>
        <w:rPr>
          <w:rFonts w:eastAsia="Times New Roman"/>
          <w:lang w:val="en-GB"/>
        </w:rPr>
      </w:pPr>
      <w:r w:rsidRPr="00573C3D">
        <w:rPr>
          <w:rFonts w:eastAsia="Times New Roman"/>
          <w:lang w:val="en-GB"/>
        </w:rPr>
        <w:t>Death.</w:t>
      </w:r>
    </w:p>
    <w:p w:rsidR="00123D79" w:rsidRPr="00573C3D" w:rsidRDefault="00123D79" w:rsidP="005F01FD">
      <w:pPr>
        <w:numPr>
          <w:ilvl w:val="0"/>
          <w:numId w:val="33"/>
        </w:numPr>
        <w:rPr>
          <w:rFonts w:eastAsia="Times New Roman"/>
          <w:lang w:val="en-GB"/>
        </w:rPr>
      </w:pPr>
      <w:r w:rsidRPr="00573C3D">
        <w:rPr>
          <w:rFonts w:eastAsia="Times New Roman"/>
          <w:lang w:val="en-GB"/>
        </w:rPr>
        <w:t xml:space="preserve">Hospitalized patients who require mechanical ventilation, ECMO, or both; </w:t>
      </w:r>
    </w:p>
    <w:p w:rsidR="00123D79" w:rsidRPr="00573C3D" w:rsidRDefault="00123D79" w:rsidP="005F01FD">
      <w:pPr>
        <w:numPr>
          <w:ilvl w:val="0"/>
          <w:numId w:val="33"/>
        </w:numPr>
        <w:rPr>
          <w:rFonts w:eastAsia="Times New Roman"/>
          <w:lang w:val="en-GB"/>
        </w:rPr>
      </w:pPr>
      <w:r w:rsidRPr="00573C3D">
        <w:rPr>
          <w:rFonts w:eastAsia="Times New Roman"/>
          <w:lang w:val="en-GB"/>
        </w:rPr>
        <w:t xml:space="preserve">Hospitalized patients who require nasal oxygen therapy in high flow, non-invasive mechanical ventilation, or both; </w:t>
      </w:r>
    </w:p>
    <w:p w:rsidR="00123D79" w:rsidRPr="00573C3D" w:rsidRDefault="00123D79" w:rsidP="005F01FD">
      <w:pPr>
        <w:numPr>
          <w:ilvl w:val="0"/>
          <w:numId w:val="33"/>
        </w:numPr>
        <w:rPr>
          <w:rFonts w:eastAsia="Times New Roman"/>
          <w:lang w:val="en-GB"/>
        </w:rPr>
      </w:pPr>
      <w:r w:rsidRPr="00573C3D">
        <w:rPr>
          <w:rFonts w:eastAsia="Times New Roman"/>
          <w:lang w:val="en-GB"/>
        </w:rPr>
        <w:t xml:space="preserve">Hospitalized patients who require oxygen therapy; </w:t>
      </w:r>
    </w:p>
    <w:p w:rsidR="00123D79" w:rsidRPr="00573C3D" w:rsidRDefault="00123D79" w:rsidP="005F01FD">
      <w:pPr>
        <w:numPr>
          <w:ilvl w:val="0"/>
          <w:numId w:val="33"/>
        </w:numPr>
        <w:rPr>
          <w:rFonts w:eastAsia="Times New Roman"/>
          <w:lang w:val="en-GB"/>
        </w:rPr>
      </w:pPr>
      <w:r w:rsidRPr="00573C3D">
        <w:rPr>
          <w:rFonts w:eastAsia="Times New Roman"/>
          <w:lang w:val="en-GB"/>
        </w:rPr>
        <w:t xml:space="preserve">Hospitalized patients who do not require oxygen therapy; </w:t>
      </w:r>
    </w:p>
    <w:p w:rsidR="00123D79" w:rsidRPr="00573C3D" w:rsidRDefault="00604672" w:rsidP="005F01FD">
      <w:pPr>
        <w:numPr>
          <w:ilvl w:val="0"/>
          <w:numId w:val="33"/>
        </w:numPr>
        <w:rPr>
          <w:rFonts w:eastAsia="Times New Roman"/>
          <w:lang w:val="en-GB"/>
        </w:rPr>
      </w:pPr>
      <w:r w:rsidRPr="00604672">
        <w:rPr>
          <w:lang w:val="en-GB"/>
        </w:rPr>
        <w:t>Not hospitalized, but unable to resume normal activities;</w:t>
      </w:r>
    </w:p>
    <w:p w:rsidR="00123D79" w:rsidRPr="00573C3D" w:rsidRDefault="00604672" w:rsidP="005F01FD">
      <w:pPr>
        <w:numPr>
          <w:ilvl w:val="0"/>
          <w:numId w:val="33"/>
        </w:numPr>
        <w:rPr>
          <w:rFonts w:eastAsia="Times New Roman"/>
          <w:lang w:val="en-GB"/>
        </w:rPr>
      </w:pPr>
      <w:r w:rsidRPr="00604672">
        <w:rPr>
          <w:lang w:val="en-GB"/>
        </w:rPr>
        <w:t>Not hospitalized with resumption of normal activities;</w:t>
      </w:r>
    </w:p>
    <w:p w:rsidR="001D71A6" w:rsidRPr="00573C3D" w:rsidRDefault="001D71A6" w:rsidP="00724048">
      <w:pPr>
        <w:jc w:val="both"/>
        <w:rPr>
          <w:b/>
          <w:lang w:val="en-GB"/>
        </w:rPr>
      </w:pPr>
    </w:p>
    <w:p w:rsidR="001D71A6" w:rsidRPr="00573C3D" w:rsidRDefault="001D71A6" w:rsidP="00724048">
      <w:pPr>
        <w:jc w:val="both"/>
        <w:rPr>
          <w:b/>
          <w:lang w:val="en-GB"/>
        </w:rPr>
      </w:pPr>
    </w:p>
    <w:p w:rsidR="00724048" w:rsidRPr="00395598" w:rsidRDefault="0041459E" w:rsidP="00395598">
      <w:pPr>
        <w:pStyle w:val="Nagwek2"/>
        <w:rPr>
          <w:rFonts w:ascii="Cambria" w:hAnsi="Cambria"/>
          <w:b/>
          <w:color w:val="auto"/>
          <w:sz w:val="24"/>
          <w:lang w:val="en-GB"/>
        </w:rPr>
      </w:pPr>
      <w:bookmarkStart w:id="72" w:name="_Toc86608124"/>
      <w:r w:rsidRPr="00395598">
        <w:rPr>
          <w:rFonts w:ascii="Cambria" w:hAnsi="Cambria"/>
          <w:b/>
          <w:color w:val="auto"/>
          <w:sz w:val="24"/>
          <w:lang w:val="en-GB"/>
        </w:rPr>
        <w:t>7</w:t>
      </w:r>
      <w:r w:rsidR="00604672" w:rsidRPr="00395598">
        <w:rPr>
          <w:rFonts w:ascii="Cambria" w:hAnsi="Cambria"/>
          <w:b/>
          <w:color w:val="auto"/>
          <w:sz w:val="24"/>
          <w:lang w:val="en-GB"/>
        </w:rPr>
        <w:t>.2</w:t>
      </w:r>
      <w:r w:rsidR="004B412F" w:rsidRPr="00395598">
        <w:rPr>
          <w:rFonts w:ascii="Cambria" w:hAnsi="Cambria"/>
          <w:b/>
          <w:color w:val="auto"/>
          <w:sz w:val="24"/>
          <w:lang w:val="en-GB"/>
        </w:rPr>
        <w:t>.</w:t>
      </w:r>
      <w:r w:rsidR="00604672" w:rsidRPr="00395598">
        <w:rPr>
          <w:rFonts w:ascii="Cambria" w:hAnsi="Cambria"/>
          <w:b/>
          <w:color w:val="auto"/>
          <w:sz w:val="24"/>
          <w:lang w:val="en-GB"/>
        </w:rPr>
        <w:t xml:space="preserve"> Secondary endpoints:</w:t>
      </w:r>
      <w:bookmarkEnd w:id="72"/>
      <w:r w:rsidR="00604672" w:rsidRPr="00395598">
        <w:rPr>
          <w:rFonts w:ascii="Cambria" w:hAnsi="Cambria"/>
          <w:b/>
          <w:color w:val="auto"/>
          <w:sz w:val="24"/>
          <w:lang w:val="en-GB"/>
        </w:rPr>
        <w:t xml:space="preserve">  </w:t>
      </w:r>
    </w:p>
    <w:p w:rsidR="000C794A" w:rsidRDefault="000C794A">
      <w:pPr>
        <w:jc w:val="both"/>
        <w:rPr>
          <w:lang w:val="en-GB"/>
        </w:rPr>
      </w:pPr>
    </w:p>
    <w:p w:rsidR="00740859" w:rsidRPr="00573C3D" w:rsidRDefault="00740859" w:rsidP="00740859">
      <w:pPr>
        <w:pStyle w:val="Akapitzlist"/>
        <w:jc w:val="both"/>
        <w:rPr>
          <w:lang w:val="en-GB"/>
        </w:rPr>
      </w:pPr>
    </w:p>
    <w:p w:rsidR="00325ED3" w:rsidRPr="00573C3D" w:rsidRDefault="00604672" w:rsidP="007724BC">
      <w:pPr>
        <w:pStyle w:val="Akapitzlist"/>
        <w:numPr>
          <w:ilvl w:val="0"/>
          <w:numId w:val="9"/>
        </w:numPr>
        <w:jc w:val="both"/>
        <w:rPr>
          <w:lang w:val="en-GB"/>
        </w:rPr>
      </w:pPr>
      <w:r w:rsidRPr="00604672">
        <w:rPr>
          <w:lang w:val="en-GB"/>
        </w:rPr>
        <w:t>Mortality. [Time Frame: Randomization to day 28</w:t>
      </w:r>
      <w:r w:rsidR="001366CC">
        <w:rPr>
          <w:lang w:val="en-GB"/>
        </w:rPr>
        <w:t xml:space="preserve"> or discharge</w:t>
      </w:r>
      <w:r w:rsidRPr="00604672">
        <w:rPr>
          <w:lang w:val="en-GB"/>
        </w:rPr>
        <w:t>].</w:t>
      </w:r>
    </w:p>
    <w:p w:rsidR="00325ED3" w:rsidRPr="00573C3D" w:rsidRDefault="00325ED3" w:rsidP="00325ED3">
      <w:pPr>
        <w:pStyle w:val="Akapitzlist"/>
        <w:jc w:val="both"/>
        <w:rPr>
          <w:lang w:val="en-GB"/>
        </w:rPr>
      </w:pPr>
    </w:p>
    <w:p w:rsidR="003A4CC4" w:rsidRDefault="003A4CC4" w:rsidP="00E96807">
      <w:pPr>
        <w:pStyle w:val="Akapitzlist"/>
        <w:numPr>
          <w:ilvl w:val="0"/>
          <w:numId w:val="9"/>
        </w:numPr>
        <w:jc w:val="both"/>
        <w:rPr>
          <w:lang w:val="en-GB"/>
        </w:rPr>
      </w:pPr>
      <w:r>
        <w:rPr>
          <w:lang w:val="en-GB"/>
        </w:rPr>
        <w:t>Clinical improvement at 28 days.</w:t>
      </w:r>
    </w:p>
    <w:p w:rsidR="003A4CC4" w:rsidRPr="003A4CC4" w:rsidRDefault="003A4CC4" w:rsidP="003A4CC4">
      <w:pPr>
        <w:pStyle w:val="Akapitzlist"/>
        <w:rPr>
          <w:lang w:val="en-GB"/>
        </w:rPr>
      </w:pPr>
    </w:p>
    <w:p w:rsidR="00F3194F" w:rsidRDefault="00604672" w:rsidP="00E96807">
      <w:pPr>
        <w:pStyle w:val="Akapitzlist"/>
        <w:numPr>
          <w:ilvl w:val="0"/>
          <w:numId w:val="9"/>
        </w:numPr>
        <w:jc w:val="both"/>
        <w:rPr>
          <w:lang w:val="en-GB"/>
        </w:rPr>
      </w:pPr>
      <w:r w:rsidRPr="00604672">
        <w:rPr>
          <w:lang w:val="en-GB"/>
        </w:rPr>
        <w:t xml:space="preserve">Time to </w:t>
      </w:r>
      <w:r w:rsidR="00F3194F">
        <w:rPr>
          <w:lang w:val="en-GB"/>
        </w:rPr>
        <w:t>clinical improvement.</w:t>
      </w:r>
    </w:p>
    <w:p w:rsidR="000F6AA5" w:rsidRPr="000F6AA5" w:rsidRDefault="000F6AA5" w:rsidP="000F6AA5">
      <w:pPr>
        <w:pStyle w:val="Akapitzlist"/>
        <w:rPr>
          <w:lang w:val="en-GB"/>
        </w:rPr>
      </w:pPr>
    </w:p>
    <w:p w:rsidR="000F6AA5" w:rsidRDefault="000F6AA5" w:rsidP="000F6AA5">
      <w:pPr>
        <w:pStyle w:val="Akapitzlist"/>
        <w:numPr>
          <w:ilvl w:val="0"/>
          <w:numId w:val="9"/>
        </w:numPr>
        <w:jc w:val="both"/>
        <w:rPr>
          <w:lang w:val="en-GB"/>
        </w:rPr>
      </w:pPr>
      <w:r w:rsidRPr="00604672">
        <w:rPr>
          <w:lang w:val="en-GB"/>
        </w:rPr>
        <w:t>Duration of hospitalization. [Time Frame: Randomization to day 28</w:t>
      </w:r>
      <w:r>
        <w:rPr>
          <w:lang w:val="en-GB"/>
        </w:rPr>
        <w:t xml:space="preserve"> or discharge</w:t>
      </w:r>
      <w:r w:rsidRPr="00604672">
        <w:rPr>
          <w:lang w:val="en-GB"/>
        </w:rPr>
        <w:t>].</w:t>
      </w:r>
    </w:p>
    <w:p w:rsidR="000F6AA5" w:rsidRPr="000F6AA5" w:rsidRDefault="000F6AA5" w:rsidP="000F6AA5">
      <w:pPr>
        <w:pStyle w:val="Akapitzlist"/>
        <w:rPr>
          <w:lang w:val="en-GB"/>
        </w:rPr>
      </w:pPr>
    </w:p>
    <w:p w:rsidR="000F6AA5" w:rsidRDefault="000F6AA5" w:rsidP="000F6AA5">
      <w:pPr>
        <w:pStyle w:val="Akapitzlist"/>
        <w:numPr>
          <w:ilvl w:val="0"/>
          <w:numId w:val="9"/>
        </w:numPr>
        <w:jc w:val="both"/>
        <w:rPr>
          <w:lang w:val="en-GB"/>
        </w:rPr>
      </w:pPr>
      <w:r>
        <w:rPr>
          <w:lang w:val="en-GB"/>
        </w:rPr>
        <w:t>Days of oxygen therapy.</w:t>
      </w:r>
    </w:p>
    <w:p w:rsidR="00860B0D" w:rsidRPr="00860B0D" w:rsidRDefault="00860B0D" w:rsidP="00860B0D">
      <w:pPr>
        <w:pStyle w:val="Akapitzlist"/>
        <w:rPr>
          <w:lang w:val="en-GB"/>
        </w:rPr>
      </w:pPr>
    </w:p>
    <w:p w:rsidR="00860B0D" w:rsidRDefault="00860B0D" w:rsidP="000F6AA5">
      <w:pPr>
        <w:pStyle w:val="Akapitzlist"/>
        <w:numPr>
          <w:ilvl w:val="0"/>
          <w:numId w:val="9"/>
        </w:numPr>
        <w:jc w:val="both"/>
        <w:rPr>
          <w:lang w:val="en-GB"/>
        </w:rPr>
      </w:pPr>
      <w:r>
        <w:rPr>
          <w:lang w:val="en-GB"/>
        </w:rPr>
        <w:t>Mechanical ventilation.</w:t>
      </w:r>
    </w:p>
    <w:p w:rsidR="00E96807" w:rsidRPr="00AB1BC3" w:rsidRDefault="00E96807" w:rsidP="00AB1BC3">
      <w:pPr>
        <w:jc w:val="both"/>
        <w:rPr>
          <w:lang w:val="en-GB"/>
        </w:rPr>
      </w:pPr>
    </w:p>
    <w:p w:rsidR="00BE35D9" w:rsidRPr="00573C3D" w:rsidRDefault="00BE35D9" w:rsidP="00BE35D9">
      <w:pPr>
        <w:pStyle w:val="Akapitzlist"/>
        <w:numPr>
          <w:ilvl w:val="0"/>
          <w:numId w:val="9"/>
        </w:numPr>
        <w:jc w:val="both"/>
        <w:rPr>
          <w:lang w:val="en-GB"/>
        </w:rPr>
      </w:pPr>
      <w:bookmarkStart w:id="73" w:name="_GoBack"/>
      <w:r w:rsidRPr="00604672">
        <w:rPr>
          <w:lang w:val="en-GB"/>
        </w:rPr>
        <w:t>Change in NEWS2 score. The National Early Warning Score (NEWS2) score. A higher score is worse. [Time Frame: Randomization to day 7 and 15]. Score ranges from 0-20.</w:t>
      </w:r>
    </w:p>
    <w:bookmarkEnd w:id="73"/>
    <w:p w:rsidR="00E96807" w:rsidRPr="00573C3D" w:rsidRDefault="00604672" w:rsidP="00E96807">
      <w:pPr>
        <w:pStyle w:val="Akapitzlist"/>
        <w:numPr>
          <w:ilvl w:val="0"/>
          <w:numId w:val="9"/>
        </w:numPr>
        <w:jc w:val="both"/>
        <w:rPr>
          <w:rFonts w:eastAsia="Times New Roman"/>
          <w:color w:val="000000"/>
          <w:lang w:val="en-GB" w:eastAsia="it-IT"/>
        </w:rPr>
      </w:pPr>
      <w:r w:rsidRPr="00604672">
        <w:rPr>
          <w:rFonts w:eastAsia="Times New Roman"/>
          <w:color w:val="000000"/>
          <w:lang w:val="en-GB" w:eastAsia="it-IT"/>
        </w:rPr>
        <w:t>Clinical improvement or fever resolution. Composite endpoint. [Time Frame: Randomization to day 7, 15 and 28</w:t>
      </w:r>
      <w:r w:rsidR="001366CC">
        <w:rPr>
          <w:rFonts w:eastAsia="Times New Roman"/>
          <w:color w:val="000000"/>
          <w:lang w:val="en-GB" w:eastAsia="it-IT"/>
        </w:rPr>
        <w:t xml:space="preserve"> </w:t>
      </w:r>
      <w:r w:rsidR="001366CC">
        <w:rPr>
          <w:lang w:val="en-GB"/>
        </w:rPr>
        <w:t>or discharge</w:t>
      </w:r>
      <w:r w:rsidRPr="00604672">
        <w:rPr>
          <w:rFonts w:eastAsia="Times New Roman"/>
          <w:color w:val="000000"/>
          <w:lang w:val="en-GB" w:eastAsia="it-IT"/>
        </w:rPr>
        <w:t>].</w:t>
      </w:r>
    </w:p>
    <w:p w:rsidR="00E96807" w:rsidRPr="00573C3D" w:rsidRDefault="00E96807" w:rsidP="00E96807">
      <w:pPr>
        <w:pStyle w:val="Akapitzlist"/>
        <w:rPr>
          <w:rFonts w:eastAsia="Times New Roman"/>
          <w:color w:val="000000"/>
          <w:lang w:val="en-GB" w:eastAsia="it-IT"/>
        </w:rPr>
      </w:pPr>
    </w:p>
    <w:p w:rsidR="00E96807" w:rsidRPr="00573C3D" w:rsidRDefault="00604672" w:rsidP="00E96807">
      <w:pPr>
        <w:pStyle w:val="Akapitzlist"/>
        <w:numPr>
          <w:ilvl w:val="0"/>
          <w:numId w:val="9"/>
        </w:numPr>
        <w:jc w:val="both"/>
        <w:rPr>
          <w:rFonts w:eastAsia="Times New Roman"/>
          <w:color w:val="000000"/>
          <w:lang w:val="en-GB" w:eastAsia="it-IT"/>
        </w:rPr>
      </w:pPr>
      <w:r w:rsidRPr="00604672">
        <w:rPr>
          <w:rFonts w:eastAsia="Times New Roman"/>
          <w:color w:val="000000"/>
          <w:lang w:val="en-GB" w:eastAsia="it-IT"/>
        </w:rPr>
        <w:t>Tachyarrhythmias defined as atrial fibrillation, supraventricular or ventricular tachycardia requiring treatment. [Time Frame: Randomization to day 28</w:t>
      </w:r>
      <w:r w:rsidR="001366CC">
        <w:rPr>
          <w:rFonts w:eastAsia="Times New Roman"/>
          <w:color w:val="000000"/>
          <w:lang w:val="en-GB" w:eastAsia="it-IT"/>
        </w:rPr>
        <w:t xml:space="preserve"> </w:t>
      </w:r>
      <w:r w:rsidR="001366CC">
        <w:rPr>
          <w:lang w:val="en-GB"/>
        </w:rPr>
        <w:t>or discharge</w:t>
      </w:r>
      <w:r w:rsidRPr="00604672">
        <w:rPr>
          <w:rFonts w:eastAsia="Times New Roman"/>
          <w:color w:val="000000"/>
          <w:lang w:val="en-GB" w:eastAsia="it-IT"/>
        </w:rPr>
        <w:t>].</w:t>
      </w:r>
    </w:p>
    <w:p w:rsidR="00E96807" w:rsidRPr="00573C3D" w:rsidRDefault="00E96807" w:rsidP="00E96807">
      <w:pPr>
        <w:pStyle w:val="Akapitzlist"/>
        <w:rPr>
          <w:rFonts w:eastAsia="Times New Roman"/>
          <w:color w:val="000000"/>
          <w:lang w:val="en-GB" w:eastAsia="it-IT"/>
        </w:rPr>
      </w:pPr>
    </w:p>
    <w:p w:rsidR="009079BA" w:rsidRPr="00573C3D" w:rsidRDefault="00604672" w:rsidP="009079BA">
      <w:pPr>
        <w:pStyle w:val="Akapitzlist"/>
        <w:numPr>
          <w:ilvl w:val="0"/>
          <w:numId w:val="9"/>
        </w:numPr>
        <w:jc w:val="both"/>
        <w:rPr>
          <w:rFonts w:eastAsia="Times New Roman"/>
          <w:color w:val="000000"/>
          <w:lang w:val="en-GB" w:eastAsia="it-IT"/>
        </w:rPr>
      </w:pPr>
      <w:r w:rsidRPr="00604672">
        <w:rPr>
          <w:rFonts w:eastAsia="Times New Roman"/>
          <w:color w:val="000000"/>
          <w:lang w:val="en-GB" w:eastAsia="it-IT"/>
        </w:rPr>
        <w:t>Mortality or tachyarrhythmias. Composite endpoint. [Time Frame: Randomization to day 28</w:t>
      </w:r>
      <w:r w:rsidR="001366CC">
        <w:rPr>
          <w:rFonts w:eastAsia="Times New Roman"/>
          <w:color w:val="000000"/>
          <w:lang w:val="en-GB" w:eastAsia="it-IT"/>
        </w:rPr>
        <w:t xml:space="preserve"> </w:t>
      </w:r>
      <w:r w:rsidR="001366CC">
        <w:rPr>
          <w:lang w:val="en-GB"/>
        </w:rPr>
        <w:t>or discharge</w:t>
      </w:r>
      <w:r w:rsidRPr="00604672">
        <w:rPr>
          <w:rFonts w:eastAsia="Times New Roman"/>
          <w:color w:val="000000"/>
          <w:lang w:val="en-GB" w:eastAsia="it-IT"/>
        </w:rPr>
        <w:t>].</w:t>
      </w:r>
    </w:p>
    <w:p w:rsidR="009079BA" w:rsidRPr="00573C3D" w:rsidRDefault="009079BA" w:rsidP="009079BA">
      <w:pPr>
        <w:pStyle w:val="Akapitzlist"/>
        <w:rPr>
          <w:rFonts w:eastAsia="Times New Roman"/>
          <w:color w:val="000000"/>
          <w:lang w:val="en-GB" w:eastAsia="it-IT"/>
        </w:rPr>
      </w:pPr>
    </w:p>
    <w:p w:rsidR="00325ED3" w:rsidRPr="00573C3D" w:rsidRDefault="00604672" w:rsidP="009079BA">
      <w:pPr>
        <w:pStyle w:val="Akapitzlist"/>
        <w:numPr>
          <w:ilvl w:val="0"/>
          <w:numId w:val="9"/>
        </w:numPr>
        <w:jc w:val="both"/>
        <w:rPr>
          <w:rFonts w:eastAsia="Times New Roman"/>
          <w:color w:val="000000"/>
          <w:lang w:val="en-GB" w:eastAsia="it-IT"/>
        </w:rPr>
      </w:pPr>
      <w:r w:rsidRPr="00604672">
        <w:rPr>
          <w:rFonts w:eastAsia="Times New Roman"/>
          <w:color w:val="000000"/>
          <w:lang w:val="en-GB" w:eastAsia="it-IT"/>
        </w:rPr>
        <w:t>Time to clinical improvement from admission using the 7-point ordinal scale. [Time Frame: Randomization to day 28</w:t>
      </w:r>
      <w:r w:rsidR="001366CC">
        <w:rPr>
          <w:rFonts w:eastAsia="Times New Roman"/>
          <w:color w:val="000000"/>
          <w:lang w:val="en-GB" w:eastAsia="it-IT"/>
        </w:rPr>
        <w:t xml:space="preserve"> </w:t>
      </w:r>
      <w:r w:rsidR="001366CC">
        <w:rPr>
          <w:lang w:val="en-GB"/>
        </w:rPr>
        <w:t>or discharge</w:t>
      </w:r>
      <w:r w:rsidRPr="00604672">
        <w:rPr>
          <w:rFonts w:eastAsia="Times New Roman"/>
          <w:color w:val="000000"/>
          <w:lang w:val="en-GB" w:eastAsia="it-IT"/>
        </w:rPr>
        <w:t>].</w:t>
      </w:r>
    </w:p>
    <w:p w:rsidR="00724048" w:rsidRPr="00573C3D" w:rsidRDefault="00724048" w:rsidP="00DE6731">
      <w:pPr>
        <w:jc w:val="both"/>
        <w:rPr>
          <w:lang w:val="en-GB"/>
        </w:rPr>
      </w:pPr>
    </w:p>
    <w:p w:rsidR="00724048" w:rsidRPr="00573C3D" w:rsidRDefault="00724048" w:rsidP="0089067C">
      <w:pPr>
        <w:jc w:val="both"/>
        <w:rPr>
          <w:rFonts w:eastAsia="Times New Roman"/>
          <w:lang w:val="en-GB"/>
        </w:rPr>
      </w:pPr>
    </w:p>
    <w:p w:rsidR="00DE6731" w:rsidRPr="00573C3D" w:rsidRDefault="00604672" w:rsidP="0089067C">
      <w:pPr>
        <w:pStyle w:val="Akapitzlist"/>
        <w:numPr>
          <w:ilvl w:val="0"/>
          <w:numId w:val="9"/>
        </w:numPr>
        <w:jc w:val="both"/>
        <w:rPr>
          <w:lang w:val="en-GB"/>
        </w:rPr>
      </w:pPr>
      <w:r w:rsidRPr="00604672">
        <w:rPr>
          <w:lang w:val="en-GB"/>
        </w:rPr>
        <w:t xml:space="preserve">PO2/FIO2 oxygenation index defined as quotient of partial pressure of oxygen in arterial blood (PaO2, in mmHg) and fraction of inspired oxygen (FiO2) [Time Frame: Randomization to day 7 and 15 and discharge]. </w:t>
      </w:r>
    </w:p>
    <w:p w:rsidR="009079BA" w:rsidRPr="00573C3D" w:rsidRDefault="009079BA" w:rsidP="009079BA">
      <w:pPr>
        <w:pStyle w:val="Akapitzlist"/>
        <w:jc w:val="both"/>
        <w:rPr>
          <w:rFonts w:eastAsia="Times New Roman"/>
          <w:lang w:val="en-GB"/>
        </w:rPr>
      </w:pPr>
    </w:p>
    <w:p w:rsidR="00F3194F" w:rsidRPr="00F3194F" w:rsidRDefault="00F3194F" w:rsidP="00F3194F">
      <w:pPr>
        <w:pStyle w:val="Akapitzlist"/>
        <w:rPr>
          <w:rFonts w:eastAsia="Times New Roman"/>
          <w:lang w:val="en-GB"/>
        </w:rPr>
      </w:pPr>
    </w:p>
    <w:p w:rsidR="00F3194F" w:rsidRPr="00573C3D" w:rsidRDefault="00F3194F" w:rsidP="00F3194F">
      <w:pPr>
        <w:pStyle w:val="Akapitzlist"/>
        <w:numPr>
          <w:ilvl w:val="0"/>
          <w:numId w:val="9"/>
        </w:numPr>
        <w:jc w:val="both"/>
        <w:rPr>
          <w:lang w:val="en-GB"/>
        </w:rPr>
      </w:pPr>
      <w:r>
        <w:rPr>
          <w:lang w:val="en-GB"/>
        </w:rPr>
        <w:t>Time to r</w:t>
      </w:r>
      <w:r w:rsidRPr="00604672">
        <w:rPr>
          <w:lang w:val="en-GB"/>
        </w:rPr>
        <w:t>esolution of fever [Time Frame: Baseline to Day 28 ] Defined as body temperature (≤36.6°C [axilla], or ≤37.2 °C [oral], or ≤37.8°C [rectal]) for at least 48 hours without antipyretics or until discharge, whichever is sooner. [Time Frame: Randomization to day 28</w:t>
      </w:r>
      <w:r w:rsidRPr="001366CC">
        <w:rPr>
          <w:lang w:val="en-GB"/>
        </w:rPr>
        <w:t xml:space="preserve"> </w:t>
      </w:r>
      <w:r>
        <w:rPr>
          <w:lang w:val="en-GB"/>
        </w:rPr>
        <w:t>or discharge</w:t>
      </w:r>
      <w:r w:rsidRPr="00604672">
        <w:rPr>
          <w:lang w:val="en-GB"/>
        </w:rPr>
        <w:t xml:space="preserve">]. </w:t>
      </w:r>
    </w:p>
    <w:p w:rsidR="00F3194F" w:rsidRPr="00573C3D" w:rsidRDefault="00F3194F" w:rsidP="00F3194F">
      <w:pPr>
        <w:pStyle w:val="Akapitzlist"/>
        <w:jc w:val="both"/>
        <w:rPr>
          <w:rFonts w:eastAsia="Times New Roman"/>
          <w:lang w:val="en-GB"/>
        </w:rPr>
      </w:pPr>
    </w:p>
    <w:p w:rsidR="009079BA" w:rsidRDefault="009079BA" w:rsidP="009079BA">
      <w:pPr>
        <w:jc w:val="both"/>
        <w:rPr>
          <w:rFonts w:eastAsia="Times New Roman"/>
          <w:lang w:val="en-GB"/>
        </w:rPr>
      </w:pPr>
    </w:p>
    <w:p w:rsidR="003C3FAB" w:rsidRDefault="003C3FAB" w:rsidP="009079BA">
      <w:pPr>
        <w:jc w:val="both"/>
        <w:rPr>
          <w:rFonts w:eastAsia="Times New Roman"/>
          <w:lang w:val="en-GB"/>
        </w:rPr>
      </w:pPr>
    </w:p>
    <w:p w:rsidR="003C3FAB" w:rsidRPr="00672B3D" w:rsidRDefault="00672B3D" w:rsidP="00672B3D">
      <w:pPr>
        <w:pStyle w:val="Nagwek2"/>
        <w:rPr>
          <w:rFonts w:ascii="Cambria" w:hAnsi="Cambria"/>
          <w:b/>
          <w:color w:val="auto"/>
          <w:sz w:val="24"/>
          <w:lang w:val="en-GB"/>
        </w:rPr>
      </w:pPr>
      <w:bookmarkStart w:id="74" w:name="_Toc86608125"/>
      <w:r w:rsidRPr="00672B3D">
        <w:rPr>
          <w:rFonts w:ascii="Cambria" w:hAnsi="Cambria"/>
          <w:b/>
          <w:color w:val="auto"/>
          <w:sz w:val="24"/>
          <w:lang w:val="en-GB"/>
        </w:rPr>
        <w:t xml:space="preserve">7.3 </w:t>
      </w:r>
      <w:r w:rsidR="003C3FAB" w:rsidRPr="00672B3D">
        <w:rPr>
          <w:rFonts w:ascii="Cambria" w:hAnsi="Cambria"/>
          <w:b/>
          <w:color w:val="auto"/>
          <w:sz w:val="24"/>
          <w:lang w:val="en-GB"/>
        </w:rPr>
        <w:t xml:space="preserve">Biomarker </w:t>
      </w:r>
      <w:r w:rsidR="00B86BFB" w:rsidRPr="00672B3D">
        <w:rPr>
          <w:rFonts w:ascii="Cambria" w:hAnsi="Cambria"/>
          <w:b/>
          <w:color w:val="auto"/>
          <w:sz w:val="24"/>
          <w:lang w:val="en-GB"/>
        </w:rPr>
        <w:t>and laboratory values</w:t>
      </w:r>
      <w:r w:rsidRPr="00672B3D">
        <w:rPr>
          <w:rFonts w:ascii="Cambria" w:hAnsi="Cambria"/>
          <w:b/>
          <w:color w:val="auto"/>
          <w:sz w:val="24"/>
          <w:lang w:val="en-GB"/>
        </w:rPr>
        <w:t xml:space="preserve"> assessment</w:t>
      </w:r>
      <w:bookmarkEnd w:id="74"/>
    </w:p>
    <w:p w:rsidR="00B86BFB" w:rsidRDefault="00B86BFB" w:rsidP="009079BA">
      <w:pPr>
        <w:jc w:val="both"/>
        <w:rPr>
          <w:rFonts w:eastAsia="Times New Roman"/>
          <w:lang w:val="en-GB"/>
        </w:rPr>
      </w:pPr>
    </w:p>
    <w:p w:rsidR="00B86BFB" w:rsidRDefault="003C3FAB" w:rsidP="009079BA">
      <w:pPr>
        <w:jc w:val="both"/>
        <w:rPr>
          <w:rFonts w:eastAsia="Times New Roman"/>
          <w:lang w:val="en-GB"/>
        </w:rPr>
      </w:pPr>
      <w:r>
        <w:rPr>
          <w:rFonts w:eastAsia="Times New Roman"/>
          <w:lang w:val="en-GB"/>
        </w:rPr>
        <w:t xml:space="preserve">The following </w:t>
      </w:r>
      <w:r w:rsidR="00B86BFB">
        <w:rPr>
          <w:rFonts w:eastAsia="Times New Roman"/>
          <w:lang w:val="en-GB"/>
        </w:rPr>
        <w:t>param</w:t>
      </w:r>
      <w:r w:rsidR="00AF38C0">
        <w:rPr>
          <w:rFonts w:eastAsia="Times New Roman"/>
          <w:lang w:val="en-GB"/>
        </w:rPr>
        <w:t>e</w:t>
      </w:r>
      <w:r w:rsidR="00B86BFB">
        <w:rPr>
          <w:rFonts w:eastAsia="Times New Roman"/>
          <w:lang w:val="en-GB"/>
        </w:rPr>
        <w:t>ters</w:t>
      </w:r>
      <w:r>
        <w:rPr>
          <w:rFonts w:eastAsia="Times New Roman"/>
          <w:lang w:val="en-GB"/>
        </w:rPr>
        <w:t xml:space="preserve"> will be assessed</w:t>
      </w:r>
      <w:r w:rsidR="00B86BFB">
        <w:rPr>
          <w:rFonts w:eastAsia="Times New Roman"/>
          <w:lang w:val="en-GB"/>
        </w:rPr>
        <w:t xml:space="preserve"> at baseline, 7, 10 and 15 days</w:t>
      </w:r>
      <w:r>
        <w:rPr>
          <w:rFonts w:eastAsia="Times New Roman"/>
          <w:lang w:val="en-GB"/>
        </w:rPr>
        <w:t>:</w:t>
      </w:r>
      <w:r w:rsidR="00B86BFB" w:rsidRPr="006C528C">
        <w:rPr>
          <w:lang w:val="en-GB"/>
        </w:rPr>
        <w:t xml:space="preserve"> </w:t>
      </w:r>
      <w:r w:rsidR="00B86BFB" w:rsidRPr="00B86BFB">
        <w:rPr>
          <w:rFonts w:eastAsia="Times New Roman"/>
          <w:lang w:val="en-GB"/>
        </w:rPr>
        <w:t xml:space="preserve">C-Reactive </w:t>
      </w:r>
    </w:p>
    <w:p w:rsidR="003C3FAB" w:rsidRDefault="00B86BFB" w:rsidP="009079BA">
      <w:pPr>
        <w:jc w:val="both"/>
        <w:rPr>
          <w:rFonts w:eastAsia="Times New Roman"/>
          <w:lang w:val="en-GB"/>
        </w:rPr>
      </w:pPr>
      <w:r w:rsidRPr="00B86BFB">
        <w:rPr>
          <w:rFonts w:eastAsia="Times New Roman"/>
          <w:lang w:val="en-GB"/>
        </w:rPr>
        <w:t>protein</w:t>
      </w:r>
      <w:r>
        <w:rPr>
          <w:rFonts w:eastAsia="Times New Roman"/>
          <w:lang w:val="en-GB"/>
        </w:rPr>
        <w:t xml:space="preserve">, </w:t>
      </w:r>
      <w:r w:rsidRPr="00B86BFB">
        <w:rPr>
          <w:rFonts w:eastAsia="Times New Roman"/>
          <w:lang w:val="en-GB"/>
        </w:rPr>
        <w:t>high-sensitivity (</w:t>
      </w:r>
      <w:proofErr w:type="spellStart"/>
      <w:r w:rsidRPr="00B86BFB">
        <w:rPr>
          <w:rFonts w:eastAsia="Times New Roman"/>
          <w:lang w:val="en-GB"/>
        </w:rPr>
        <w:t>hs</w:t>
      </w:r>
      <w:proofErr w:type="spellEnd"/>
      <w:r w:rsidRPr="00B86BFB">
        <w:rPr>
          <w:rFonts w:eastAsia="Times New Roman"/>
          <w:lang w:val="en-GB"/>
        </w:rPr>
        <w:t xml:space="preserve">) cardiac </w:t>
      </w:r>
      <w:proofErr w:type="spellStart"/>
      <w:r w:rsidRPr="00B86BFB">
        <w:rPr>
          <w:rFonts w:eastAsia="Times New Roman"/>
          <w:lang w:val="en-GB"/>
        </w:rPr>
        <w:t>troponin</w:t>
      </w:r>
      <w:r>
        <w:rPr>
          <w:rFonts w:eastAsia="Times New Roman"/>
          <w:lang w:val="en-GB"/>
        </w:rPr>
        <w:t>s</w:t>
      </w:r>
      <w:proofErr w:type="spellEnd"/>
      <w:r>
        <w:rPr>
          <w:rFonts w:eastAsia="Times New Roman"/>
          <w:lang w:val="en-GB"/>
        </w:rPr>
        <w:t xml:space="preserve">, </w:t>
      </w:r>
      <w:r w:rsidRPr="00B86BFB">
        <w:rPr>
          <w:rFonts w:eastAsia="Times New Roman"/>
          <w:lang w:val="en-GB"/>
        </w:rPr>
        <w:t xml:space="preserve"> platelet count</w:t>
      </w:r>
      <w:r>
        <w:rPr>
          <w:rFonts w:eastAsia="Times New Roman"/>
          <w:lang w:val="en-GB"/>
        </w:rPr>
        <w:t xml:space="preserve">, </w:t>
      </w:r>
      <w:r w:rsidRPr="00B86BFB">
        <w:rPr>
          <w:rFonts w:eastAsia="Times New Roman"/>
          <w:lang w:val="en-GB"/>
        </w:rPr>
        <w:t>D-dimer</w:t>
      </w:r>
      <w:r>
        <w:rPr>
          <w:rFonts w:eastAsia="Times New Roman"/>
          <w:lang w:val="en-GB"/>
        </w:rPr>
        <w:t xml:space="preserve">s, </w:t>
      </w:r>
      <w:r w:rsidR="00D46D9B">
        <w:rPr>
          <w:rFonts w:eastAsia="Times New Roman"/>
          <w:lang w:val="en-GB"/>
        </w:rPr>
        <w:t>white blood cells (</w:t>
      </w:r>
      <w:r w:rsidR="0065450E" w:rsidRPr="0065450E">
        <w:rPr>
          <w:rFonts w:eastAsia="Times New Roman"/>
          <w:lang w:val="en-GB"/>
        </w:rPr>
        <w:t>WBC</w:t>
      </w:r>
      <w:r w:rsidR="00D46D9B">
        <w:rPr>
          <w:rFonts w:eastAsia="Times New Roman"/>
          <w:lang w:val="en-GB"/>
        </w:rPr>
        <w:t xml:space="preserve">), </w:t>
      </w:r>
      <w:r w:rsidR="00D94306">
        <w:rPr>
          <w:rFonts w:eastAsia="Times New Roman"/>
          <w:lang w:val="en-GB"/>
        </w:rPr>
        <w:t>l</w:t>
      </w:r>
      <w:r w:rsidR="00D46D9B" w:rsidRPr="00D46D9B">
        <w:rPr>
          <w:rFonts w:eastAsia="Times New Roman"/>
          <w:lang w:val="en-GB"/>
        </w:rPr>
        <w:t>ymphocytes</w:t>
      </w:r>
      <w:r w:rsidR="00D46D9B">
        <w:rPr>
          <w:rFonts w:eastAsia="Times New Roman"/>
          <w:lang w:val="en-GB"/>
        </w:rPr>
        <w:t>,</w:t>
      </w:r>
      <w:r w:rsidR="00672B3D" w:rsidRPr="006C528C">
        <w:rPr>
          <w:lang w:val="en-GB"/>
        </w:rPr>
        <w:t xml:space="preserve"> </w:t>
      </w:r>
      <w:proofErr w:type="spellStart"/>
      <w:r w:rsidR="00D94306">
        <w:rPr>
          <w:rFonts w:eastAsia="Times New Roman"/>
          <w:lang w:val="en-GB"/>
        </w:rPr>
        <w:t>c</w:t>
      </w:r>
      <w:r w:rsidR="00672B3D" w:rsidRPr="00672B3D">
        <w:rPr>
          <w:rFonts w:eastAsia="Times New Roman"/>
          <w:lang w:val="en-GB"/>
        </w:rPr>
        <w:t>reatine</w:t>
      </w:r>
      <w:proofErr w:type="spellEnd"/>
      <w:r w:rsidR="00672B3D" w:rsidRPr="00672B3D">
        <w:rPr>
          <w:rFonts w:eastAsia="Times New Roman"/>
          <w:lang w:val="en-GB"/>
        </w:rPr>
        <w:t xml:space="preserve"> </w:t>
      </w:r>
      <w:proofErr w:type="spellStart"/>
      <w:r w:rsidR="00672B3D" w:rsidRPr="00672B3D">
        <w:rPr>
          <w:rFonts w:eastAsia="Times New Roman"/>
          <w:lang w:val="en-GB"/>
        </w:rPr>
        <w:t>kinase</w:t>
      </w:r>
      <w:proofErr w:type="spellEnd"/>
      <w:r w:rsidR="00672B3D">
        <w:rPr>
          <w:rFonts w:eastAsia="Times New Roman"/>
          <w:lang w:val="en-GB"/>
        </w:rPr>
        <w:t>(CK)-</w:t>
      </w:r>
      <w:r w:rsidR="00672B3D" w:rsidRPr="00672B3D">
        <w:rPr>
          <w:rFonts w:eastAsia="Times New Roman"/>
          <w:lang w:val="en-GB"/>
        </w:rPr>
        <w:t xml:space="preserve"> myocardium brain</w:t>
      </w:r>
      <w:r w:rsidR="00672B3D">
        <w:rPr>
          <w:rFonts w:eastAsia="Times New Roman"/>
          <w:lang w:val="en-GB"/>
        </w:rPr>
        <w:t>(</w:t>
      </w:r>
      <w:r w:rsidR="00672B3D" w:rsidRPr="00672B3D">
        <w:rPr>
          <w:rFonts w:eastAsia="Times New Roman"/>
          <w:lang w:val="en-GB"/>
        </w:rPr>
        <w:t>MB</w:t>
      </w:r>
      <w:r w:rsidR="00672B3D">
        <w:rPr>
          <w:rFonts w:eastAsia="Times New Roman"/>
          <w:lang w:val="en-GB"/>
        </w:rPr>
        <w:t>).</w:t>
      </w:r>
    </w:p>
    <w:p w:rsidR="003C3FAB" w:rsidRPr="00573C3D" w:rsidRDefault="003C3FAB" w:rsidP="009079BA">
      <w:pPr>
        <w:jc w:val="both"/>
        <w:rPr>
          <w:rFonts w:eastAsia="Times New Roman"/>
          <w:lang w:val="en-GB"/>
        </w:rPr>
      </w:pPr>
    </w:p>
    <w:p w:rsidR="0050776F" w:rsidRDefault="0041459E" w:rsidP="00524700">
      <w:pPr>
        <w:pStyle w:val="Nagwek1"/>
        <w:rPr>
          <w:rFonts w:ascii="Cambria" w:hAnsi="Cambria"/>
          <w:b/>
          <w:color w:val="auto"/>
          <w:sz w:val="24"/>
          <w:szCs w:val="24"/>
          <w:lang w:val="en-GB"/>
        </w:rPr>
      </w:pPr>
      <w:bookmarkStart w:id="75" w:name="_Toc38208564"/>
      <w:bookmarkStart w:id="76" w:name="_Toc86608126"/>
      <w:r>
        <w:rPr>
          <w:rFonts w:ascii="Cambria" w:hAnsi="Cambria"/>
          <w:b/>
          <w:color w:val="auto"/>
          <w:sz w:val="24"/>
          <w:szCs w:val="24"/>
          <w:lang w:val="en-GB"/>
        </w:rPr>
        <w:t>8</w:t>
      </w:r>
      <w:r w:rsidR="00604672" w:rsidRPr="00604672">
        <w:rPr>
          <w:rFonts w:ascii="Cambria" w:hAnsi="Cambria"/>
          <w:b/>
          <w:color w:val="auto"/>
          <w:sz w:val="24"/>
          <w:szCs w:val="24"/>
          <w:lang w:val="en-GB"/>
        </w:rPr>
        <w:t>. Randomization design</w:t>
      </w:r>
      <w:bookmarkEnd w:id="75"/>
      <w:bookmarkEnd w:id="76"/>
    </w:p>
    <w:p w:rsidR="00395598" w:rsidRPr="00395598" w:rsidRDefault="00395598" w:rsidP="00395598">
      <w:pPr>
        <w:rPr>
          <w:lang w:val="en-GB"/>
        </w:rPr>
      </w:pPr>
    </w:p>
    <w:p w:rsidR="0084769C" w:rsidRPr="00573C3D" w:rsidRDefault="009800B5">
      <w:pPr>
        <w:rPr>
          <w:rFonts w:eastAsia="Times New Roman"/>
          <w:lang w:val="en-GB"/>
        </w:rPr>
      </w:pPr>
      <w:r w:rsidRPr="00573C3D">
        <w:rPr>
          <w:rFonts w:eastAsia="Times New Roman"/>
          <w:lang w:val="en-GB"/>
        </w:rPr>
        <w:t>The</w:t>
      </w:r>
      <w:r w:rsidR="00711B6B" w:rsidRPr="00573C3D">
        <w:rPr>
          <w:rFonts w:eastAsia="Times New Roman"/>
          <w:lang w:val="en-GB"/>
        </w:rPr>
        <w:t xml:space="preserve"> planned</w:t>
      </w:r>
      <w:r w:rsidRPr="00573C3D">
        <w:rPr>
          <w:rFonts w:eastAsia="Times New Roman"/>
          <w:lang w:val="en-GB"/>
        </w:rPr>
        <w:t xml:space="preserve"> </w:t>
      </w:r>
      <w:r w:rsidR="00711B6B" w:rsidRPr="00573C3D">
        <w:rPr>
          <w:rFonts w:eastAsia="Times New Roman"/>
          <w:lang w:val="en-GB"/>
        </w:rPr>
        <w:t>schem</w:t>
      </w:r>
      <w:r w:rsidRPr="00573C3D">
        <w:rPr>
          <w:rFonts w:eastAsia="Times New Roman"/>
          <w:lang w:val="en-GB"/>
        </w:rPr>
        <w:t xml:space="preserve">e is 1:1:1  </w:t>
      </w:r>
      <w:r w:rsidR="00711B6B" w:rsidRPr="00573C3D">
        <w:rPr>
          <w:rFonts w:eastAsia="Times New Roman"/>
          <w:lang w:val="en-GB"/>
        </w:rPr>
        <w:t xml:space="preserve">randomization </w:t>
      </w:r>
      <w:r w:rsidRPr="00573C3D">
        <w:rPr>
          <w:rFonts w:eastAsia="Times New Roman"/>
          <w:lang w:val="en-GB"/>
        </w:rPr>
        <w:t xml:space="preserve">with permuted blocks (3 6 9), stratified by </w:t>
      </w:r>
      <w:r w:rsidR="00FD0B23" w:rsidRPr="00573C3D">
        <w:rPr>
          <w:rFonts w:eastAsia="Times New Roman"/>
          <w:lang w:val="en-GB"/>
        </w:rPr>
        <w:t>oxygen</w:t>
      </w:r>
      <w:r w:rsidR="006C7DE0" w:rsidRPr="00573C3D">
        <w:rPr>
          <w:rFonts w:eastAsia="Times New Roman"/>
          <w:lang w:val="en-GB"/>
        </w:rPr>
        <w:t xml:space="preserve"> therapy </w:t>
      </w:r>
      <w:r w:rsidRPr="00573C3D">
        <w:rPr>
          <w:rFonts w:eastAsia="Times New Roman"/>
          <w:lang w:val="en-GB"/>
        </w:rPr>
        <w:t xml:space="preserve">(yes/no), to ensure  balanced </w:t>
      </w:r>
      <w:r w:rsidR="008C4EEE" w:rsidRPr="00573C3D">
        <w:rPr>
          <w:rFonts w:eastAsia="Times New Roman"/>
          <w:lang w:val="en-GB"/>
        </w:rPr>
        <w:t>allocation between the randomized group</w:t>
      </w:r>
      <w:r w:rsidRPr="00573C3D">
        <w:rPr>
          <w:rFonts w:eastAsia="Times New Roman"/>
          <w:lang w:val="en-GB"/>
        </w:rPr>
        <w:t>s</w:t>
      </w:r>
      <w:r w:rsidR="00D82014" w:rsidRPr="00573C3D">
        <w:rPr>
          <w:rFonts w:eastAsia="Times New Roman"/>
          <w:lang w:val="en-GB"/>
        </w:rPr>
        <w:t>.</w:t>
      </w:r>
    </w:p>
    <w:p w:rsidR="00676923" w:rsidRPr="00573C3D" w:rsidRDefault="00676923" w:rsidP="00D17128">
      <w:pPr>
        <w:jc w:val="both"/>
        <w:outlineLvl w:val="0"/>
        <w:rPr>
          <w:rFonts w:eastAsia="Times New Roman"/>
          <w:b/>
          <w:lang w:val="en-GB"/>
        </w:rPr>
      </w:pPr>
    </w:p>
    <w:p w:rsidR="00D17128" w:rsidRDefault="0041459E" w:rsidP="00395598">
      <w:pPr>
        <w:pStyle w:val="Nagwek1"/>
        <w:rPr>
          <w:rFonts w:ascii="Cambria" w:eastAsia="Times New Roman" w:hAnsi="Cambria"/>
          <w:b/>
          <w:color w:val="auto"/>
          <w:sz w:val="24"/>
          <w:szCs w:val="24"/>
          <w:lang w:val="en-GB"/>
        </w:rPr>
      </w:pPr>
      <w:bookmarkStart w:id="77" w:name="_Toc38208565"/>
      <w:bookmarkStart w:id="78" w:name="_Toc86608127"/>
      <w:r w:rsidRPr="00395598">
        <w:rPr>
          <w:rFonts w:ascii="Cambria" w:eastAsia="Times New Roman" w:hAnsi="Cambria"/>
          <w:b/>
          <w:color w:val="auto"/>
          <w:sz w:val="24"/>
          <w:szCs w:val="24"/>
          <w:lang w:val="en-GB"/>
        </w:rPr>
        <w:t>9</w:t>
      </w:r>
      <w:r w:rsidR="00604672" w:rsidRPr="00395598">
        <w:rPr>
          <w:rFonts w:ascii="Cambria" w:eastAsia="Times New Roman" w:hAnsi="Cambria"/>
          <w:b/>
          <w:color w:val="auto"/>
          <w:sz w:val="24"/>
          <w:szCs w:val="24"/>
          <w:lang w:val="en-GB"/>
        </w:rPr>
        <w:t>. Statistical analysis plan</w:t>
      </w:r>
      <w:bookmarkEnd w:id="77"/>
      <w:bookmarkEnd w:id="78"/>
    </w:p>
    <w:p w:rsidR="00395598" w:rsidRPr="00395598" w:rsidRDefault="00395598" w:rsidP="00395598">
      <w:pPr>
        <w:rPr>
          <w:lang w:val="en-GB"/>
        </w:rPr>
      </w:pPr>
    </w:p>
    <w:p w:rsidR="00D17128" w:rsidRPr="00573C3D" w:rsidRDefault="00604672" w:rsidP="00D17128">
      <w:pPr>
        <w:jc w:val="both"/>
        <w:rPr>
          <w:lang w:val="en-GB"/>
        </w:rPr>
      </w:pPr>
      <w:r w:rsidRPr="00604672">
        <w:rPr>
          <w:lang w:val="en-GB"/>
        </w:rPr>
        <w:t xml:space="preserve">The primary analysis will be based on the principle of intention-to-treat. The null hypothesis for this analysis is that the hazard ratio (HR) for the experimental groups of amiodarone or verapamil compared to </w:t>
      </w:r>
      <w:r w:rsidR="00D17128" w:rsidRPr="00573C3D">
        <w:rPr>
          <w:lang w:val="en-GB"/>
        </w:rPr>
        <w:t>current treatment</w:t>
      </w:r>
      <w:r w:rsidRPr="00604672">
        <w:rPr>
          <w:lang w:val="en-GB"/>
        </w:rPr>
        <w:t xml:space="preserve"> (H</w:t>
      </w:r>
      <w:r w:rsidRPr="00604672">
        <w:rPr>
          <w:vertAlign w:val="subscript"/>
          <w:lang w:val="en-GB"/>
        </w:rPr>
        <w:t>0</w:t>
      </w:r>
      <w:r w:rsidRPr="00604672">
        <w:rPr>
          <w:lang w:val="en-GB"/>
        </w:rPr>
        <w:t xml:space="preserve">) = 1. The alternative hypothesis is that the HR for the experimental groups of amiodarone or verapamil (HA) </w:t>
      </w:r>
      <w:r w:rsidRPr="00604672">
        <w:rPr>
          <w:rFonts w:hint="eastAsia"/>
          <w:lang w:val="en-GB"/>
        </w:rPr>
        <w:t>≠</w:t>
      </w:r>
      <w:r w:rsidRPr="00604672">
        <w:rPr>
          <w:lang w:val="en-GB"/>
        </w:rPr>
        <w:t xml:space="preserve"> 1. A test of superiority at the two-sided 0.05 level will be performed using a Cox proportional hazard model that includes treatment group as a covariate. A point estimate and two-sided 95% CI for the relative risk as measured by the HR  will be calculated based on the Cox proportional hazards model.</w:t>
      </w:r>
    </w:p>
    <w:p w:rsidR="00D17128" w:rsidRPr="00573C3D" w:rsidRDefault="00604672" w:rsidP="00D17128">
      <w:pPr>
        <w:jc w:val="both"/>
        <w:rPr>
          <w:lang w:val="en-GB"/>
        </w:rPr>
      </w:pPr>
      <w:r w:rsidRPr="00604672">
        <w:rPr>
          <w:lang w:val="en-GB"/>
        </w:rPr>
        <w:t xml:space="preserve">Power calculations are based on a superiority comparison for the primary efficacy endpoint of clinical improvement in </w:t>
      </w:r>
      <w:proofErr w:type="spellStart"/>
      <w:r w:rsidRPr="00604672">
        <w:rPr>
          <w:lang w:val="en-GB"/>
        </w:rPr>
        <w:t>favor</w:t>
      </w:r>
      <w:proofErr w:type="spellEnd"/>
      <w:r w:rsidRPr="00604672">
        <w:rPr>
          <w:lang w:val="en-GB"/>
        </w:rPr>
        <w:t xml:space="preserve"> of </w:t>
      </w:r>
      <w:proofErr w:type="spellStart"/>
      <w:r w:rsidRPr="00604672">
        <w:rPr>
          <w:lang w:val="en-GB"/>
        </w:rPr>
        <w:t>amiodarone</w:t>
      </w:r>
      <w:proofErr w:type="spellEnd"/>
      <w:r w:rsidRPr="00604672">
        <w:rPr>
          <w:lang w:val="en-GB"/>
        </w:rPr>
        <w:t xml:space="preserve"> or verapamil vs current strategies alone. A two-sided </w:t>
      </w:r>
      <w:proofErr w:type="spellStart"/>
      <w:r w:rsidRPr="00604672">
        <w:rPr>
          <w:lang w:val="en-GB"/>
        </w:rPr>
        <w:t>logrank</w:t>
      </w:r>
      <w:proofErr w:type="spellEnd"/>
      <w:r w:rsidRPr="00604672">
        <w:rPr>
          <w:lang w:val="en-GB"/>
        </w:rPr>
        <w:t xml:space="preserve"> test with an overall sample size of 804 subjects (268 per arm) achieves 80% power at a 0,05 significance level when the proportion assuming clinical improvement in the control group to be 30% </w:t>
      </w:r>
      <w:r w:rsidR="0047500D" w:rsidRPr="00604672">
        <w:rPr>
          <w:lang w:val="en-GB"/>
        </w:rPr>
        <w:fldChar w:fldCharType="begin">
          <w:fldData xml:space="preserve">PEVuZE5vdGU+PENpdGU+PEF1dGhvcj5DYW88L0F1dGhvcj48WWVhcj4yMDIwPC9ZZWFyPjxSZWNO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bmFsIG9mIG1lZGljaW5lPC9hYmJyLTE+PC9hbHQtcGVyaW9kaWNhbD48ZWRpdGlvbj4yMDIwLzAz
LzE5PC9lZGl0aW9uPjxkYXRlcz48eWVhcj4yMDIwPC95ZWFyPjxwdWItZGF0ZXM+PGRhdGU+TWFy
IDE4PC9kYXRlPjwvcHViLWRhdGVzPjwvZGF0ZXM+PGlzYm4+MTUzMy00NDA2IChFbGVjdHJvbmlj
KSYjeEQ7MDAyOC00NzkzIChMaW5raW5nKTwvaXNibj48YWNjZXNzaW9uLW51bT4zMjE4NzQ2NDwv
YWNjZXNzaW9uLW51bT48dXJscz48L3VybHM+PGVsZWN0cm9uaWMtcmVzb3VyY2UtbnVtPjEwLjEw
NTYvTkVKTW9hMjAwMTI4MjwvZWxlY3Ryb25pYy1yZXNvdXJjZS1udW0+PHJlbW90ZS1kYXRhYmFz
ZS1wcm92aWRlcj5OTE08L3JlbW90ZS1kYXRhYmFzZS1wcm92aWRlcj48bGFuZ3VhZ2U+ZW5nPC9s
YW5ndWFnZT48L3JlY29yZD48L0NpdGU+PC9FbmROb3RlPn==
</w:fldData>
        </w:fldChar>
      </w:r>
      <w:r w:rsidRPr="00604672">
        <w:rPr>
          <w:lang w:val="en-GB"/>
        </w:rPr>
        <w:instrText xml:space="preserve"> ADDIN EN.CITE </w:instrText>
      </w:r>
      <w:r w:rsidR="0047500D" w:rsidRPr="00604672">
        <w:rPr>
          <w:lang w:val="en-GB"/>
        </w:rPr>
        <w:fldChar w:fldCharType="begin">
          <w:fldData xml:space="preserve">PEVuZE5vdGU+PENpdGU+PEF1dGhvcj5DYW88L0F1dGhvcj48WWVhcj4yMDIwPC9ZZWFyPjxSZWNO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bmFsIG9mIG1lZGljaW5lPC9hYmJyLTE+PC9hbHQtcGVyaW9kaWNhbD48ZWRpdGlvbj4yMDIwLzAz
LzE5PC9lZGl0aW9uPjxkYXRlcz48eWVhcj4yMDIwPC95ZWFyPjxwdWItZGF0ZXM+PGRhdGU+TWFy
IDE4PC9kYXRlPjwvcHViLWRhdGVzPjwvZGF0ZXM+PGlzYm4+MTUzMy00NDA2IChFbGVjdHJvbmlj
KSYjeEQ7MDAyOC00NzkzIChMaW5raW5nKTwvaXNibj48YWNjZXNzaW9uLW51bT4zMjE4NzQ2NDwv
YWNjZXNzaW9uLW51bT48dXJscz48L3VybHM+PGVsZWN0cm9uaWMtcmVzb3VyY2UtbnVtPjEwLjEw
NTYvTkVKTW9hMjAwMTI4MjwvZWxlY3Ryb25pYy1yZXNvdXJjZS1udW0+PHJlbW90ZS1kYXRhYmFz
ZS1wcm92aWRlcj5OTE08L3JlbW90ZS1kYXRhYmFzZS1wcm92aWRlcj48bGFuZ3VhZ2U+ZW5nPC9s
YW5ndWFnZT48L3JlY29yZD48L0NpdGU+PC9FbmROb3RlPn==
</w:fldData>
        </w:fldChar>
      </w:r>
      <w:r w:rsidRPr="00604672">
        <w:rPr>
          <w:lang w:val="en-GB"/>
        </w:rPr>
        <w:instrText xml:space="preserve"> ADDIN EN.CITE.DATA </w:instrText>
      </w:r>
      <w:r w:rsidR="0047500D" w:rsidRPr="00604672">
        <w:rPr>
          <w:lang w:val="en-GB"/>
        </w:rPr>
      </w:r>
      <w:r w:rsidR="0047500D" w:rsidRPr="00604672">
        <w:rPr>
          <w:lang w:val="en-GB"/>
        </w:rPr>
        <w:fldChar w:fldCharType="end"/>
      </w:r>
      <w:r w:rsidR="0047500D" w:rsidRPr="00604672">
        <w:rPr>
          <w:lang w:val="en-GB"/>
        </w:rPr>
      </w:r>
      <w:r w:rsidR="0047500D" w:rsidRPr="00604672">
        <w:rPr>
          <w:lang w:val="en-GB"/>
        </w:rPr>
        <w:fldChar w:fldCharType="separate"/>
      </w:r>
      <w:r w:rsidRPr="00604672">
        <w:rPr>
          <w:noProof/>
          <w:lang w:val="en-GB"/>
        </w:rPr>
        <w:t>(8)</w:t>
      </w:r>
      <w:r w:rsidR="0047500D" w:rsidRPr="00604672">
        <w:rPr>
          <w:lang w:val="en-GB"/>
        </w:rPr>
        <w:fldChar w:fldCharType="end"/>
      </w:r>
      <w:r w:rsidRPr="00604672">
        <w:rPr>
          <w:lang w:val="en-GB"/>
        </w:rPr>
        <w:t xml:space="preserve"> and  in the experimental group (amiodarone or verapamil)  39%, with a 2% dropout rate. </w:t>
      </w:r>
    </w:p>
    <w:p w:rsidR="00395598" w:rsidRDefault="00395598" w:rsidP="00D17128">
      <w:pPr>
        <w:jc w:val="both"/>
        <w:rPr>
          <w:lang w:val="en-GB"/>
        </w:rPr>
      </w:pPr>
    </w:p>
    <w:p w:rsidR="00395598" w:rsidRPr="00573C3D" w:rsidRDefault="00395598" w:rsidP="00D17128">
      <w:pPr>
        <w:jc w:val="both"/>
        <w:rPr>
          <w:lang w:val="en-GB"/>
        </w:rPr>
      </w:pPr>
    </w:p>
    <w:p w:rsidR="0087728F" w:rsidRPr="00573C3D" w:rsidRDefault="0087728F" w:rsidP="005C4E4B">
      <w:pPr>
        <w:jc w:val="both"/>
        <w:rPr>
          <w:lang w:val="en-GB"/>
        </w:rPr>
      </w:pPr>
    </w:p>
    <w:p w:rsidR="0087728F" w:rsidRDefault="00604672" w:rsidP="005C4E4B">
      <w:pPr>
        <w:jc w:val="both"/>
        <w:rPr>
          <w:b/>
          <w:lang w:val="en-GB"/>
        </w:rPr>
      </w:pPr>
      <w:r w:rsidRPr="00604672">
        <w:rPr>
          <w:b/>
          <w:lang w:val="en-GB"/>
        </w:rPr>
        <w:t>Prespecified analyses</w:t>
      </w:r>
    </w:p>
    <w:p w:rsidR="00117E06" w:rsidRPr="00117E06" w:rsidRDefault="00117E06" w:rsidP="005C4E4B">
      <w:pPr>
        <w:jc w:val="both"/>
        <w:rPr>
          <w:lang w:val="en-GB"/>
        </w:rPr>
      </w:pPr>
      <w:r>
        <w:rPr>
          <w:lang w:val="en-GB"/>
        </w:rPr>
        <w:t>A</w:t>
      </w:r>
      <w:r w:rsidRPr="00117E06">
        <w:rPr>
          <w:lang w:val="en-GB"/>
        </w:rPr>
        <w:t xml:space="preserve">nalyses </w:t>
      </w:r>
      <w:r w:rsidR="00F114E5" w:rsidRPr="00117E06">
        <w:rPr>
          <w:lang w:val="en-GB"/>
        </w:rPr>
        <w:t>be conducted</w:t>
      </w:r>
      <w:r w:rsidR="00F114E5">
        <w:rPr>
          <w:lang w:val="en-GB"/>
        </w:rPr>
        <w:t xml:space="preserve"> to test the association between laboratory parameters </w:t>
      </w:r>
      <w:r>
        <w:rPr>
          <w:lang w:val="en-GB"/>
        </w:rPr>
        <w:t>(</w:t>
      </w:r>
      <w:proofErr w:type="spellStart"/>
      <w:r w:rsidR="001B6A90" w:rsidRPr="00D72D5E">
        <w:rPr>
          <w:lang w:val="en-GB"/>
        </w:rPr>
        <w:t>cfr</w:t>
      </w:r>
      <w:proofErr w:type="spellEnd"/>
      <w:r w:rsidR="001B6A90" w:rsidRPr="00D72D5E">
        <w:rPr>
          <w:lang w:val="en-GB"/>
        </w:rPr>
        <w:t xml:space="preserve"> </w:t>
      </w:r>
      <w:r w:rsidR="00D72D5E">
        <w:rPr>
          <w:b/>
          <w:lang w:val="en-GB"/>
        </w:rPr>
        <w:t>S</w:t>
      </w:r>
      <w:r w:rsidRPr="00B73023">
        <w:rPr>
          <w:b/>
          <w:lang w:val="en-GB"/>
        </w:rPr>
        <w:t>ection 7.3</w:t>
      </w:r>
      <w:r>
        <w:rPr>
          <w:lang w:val="en-GB"/>
        </w:rPr>
        <w:t xml:space="preserve">) </w:t>
      </w:r>
      <w:r w:rsidR="00F114E5">
        <w:rPr>
          <w:lang w:val="en-GB"/>
        </w:rPr>
        <w:t>and</w:t>
      </w:r>
      <w:r>
        <w:rPr>
          <w:lang w:val="en-GB"/>
        </w:rPr>
        <w:t xml:space="preserve"> mortality</w:t>
      </w:r>
      <w:r w:rsidR="00F114E5">
        <w:rPr>
          <w:lang w:val="en-GB"/>
        </w:rPr>
        <w:t xml:space="preserve">. </w:t>
      </w:r>
      <w:r w:rsidRPr="00117E06">
        <w:rPr>
          <w:lang w:val="en-GB"/>
        </w:rPr>
        <w:t xml:space="preserve"> </w:t>
      </w:r>
      <w:r w:rsidR="00F114E5">
        <w:rPr>
          <w:lang w:val="en-GB"/>
        </w:rPr>
        <w:t>Peak</w:t>
      </w:r>
      <w:r w:rsidR="001B6A90">
        <w:rPr>
          <w:lang w:val="en-GB"/>
        </w:rPr>
        <w:t xml:space="preserve"> and nadir values</w:t>
      </w:r>
      <w:r w:rsidR="00F114E5">
        <w:rPr>
          <w:lang w:val="en-GB"/>
        </w:rPr>
        <w:t xml:space="preserve"> will be tested</w:t>
      </w:r>
      <w:r w:rsidR="001B6A90">
        <w:rPr>
          <w:lang w:val="en-GB"/>
        </w:rPr>
        <w:t xml:space="preserve"> and</w:t>
      </w:r>
      <w:r w:rsidR="00D72D5E">
        <w:rPr>
          <w:lang w:val="en-GB"/>
        </w:rPr>
        <w:t xml:space="preserve"> the </w:t>
      </w:r>
      <w:r w:rsidR="00F114E5">
        <w:rPr>
          <w:lang w:val="en-GB"/>
        </w:rPr>
        <w:t>levels</w:t>
      </w:r>
      <w:r w:rsidR="001B6A90">
        <w:rPr>
          <w:lang w:val="en-GB"/>
        </w:rPr>
        <w:t xml:space="preserve"> </w:t>
      </w:r>
      <w:r w:rsidR="00F114E5">
        <w:rPr>
          <w:lang w:val="en-GB"/>
        </w:rPr>
        <w:t>serially assessed</w:t>
      </w:r>
      <w:r w:rsidR="00F114E5" w:rsidRPr="00F114E5">
        <w:rPr>
          <w:lang w:val="en-GB"/>
        </w:rPr>
        <w:t xml:space="preserve"> </w:t>
      </w:r>
      <w:r w:rsidR="00F114E5">
        <w:rPr>
          <w:lang w:val="en-GB"/>
        </w:rPr>
        <w:t>at 7, 10 and 15 days</w:t>
      </w:r>
      <w:r w:rsidRPr="00117E06">
        <w:rPr>
          <w:lang w:val="en-GB"/>
        </w:rPr>
        <w:t xml:space="preserve">. Cluster analysis to identify distinct </w:t>
      </w:r>
      <w:proofErr w:type="spellStart"/>
      <w:r w:rsidRPr="00117E06">
        <w:rPr>
          <w:lang w:val="en-GB"/>
        </w:rPr>
        <w:t>phenogroups</w:t>
      </w:r>
      <w:proofErr w:type="spellEnd"/>
      <w:r w:rsidRPr="00117E06">
        <w:rPr>
          <w:lang w:val="en-GB"/>
        </w:rPr>
        <w:t xml:space="preserve"> will be performed. </w:t>
      </w:r>
    </w:p>
    <w:p w:rsidR="0087728F" w:rsidRPr="00573C3D" w:rsidRDefault="0087728F" w:rsidP="005C4E4B">
      <w:pPr>
        <w:jc w:val="both"/>
        <w:rPr>
          <w:lang w:val="en-GB"/>
        </w:rPr>
      </w:pPr>
    </w:p>
    <w:p w:rsidR="00FB17FC" w:rsidRPr="00573C3D" w:rsidRDefault="00604672">
      <w:pPr>
        <w:jc w:val="both"/>
        <w:rPr>
          <w:rFonts w:eastAsia="Times New Roman"/>
          <w:lang w:val="en-GB"/>
        </w:rPr>
      </w:pPr>
      <w:r w:rsidRPr="00604672">
        <w:rPr>
          <w:lang w:val="en-GB"/>
        </w:rPr>
        <w:t>Prespecified subgroup analyses include patients with cardiovascular disease, patients with early (≤7 days) vs later onset of symptoms, diabetes</w:t>
      </w:r>
      <w:r w:rsidR="001F5EF8">
        <w:rPr>
          <w:lang w:val="en-GB"/>
        </w:rPr>
        <w:t>, gender</w:t>
      </w:r>
      <w:r w:rsidRPr="00604672">
        <w:rPr>
          <w:lang w:val="en-GB"/>
        </w:rPr>
        <w:t>.</w:t>
      </w:r>
    </w:p>
    <w:p w:rsidR="003E2478" w:rsidRPr="00573C3D" w:rsidRDefault="003E2478">
      <w:pPr>
        <w:jc w:val="both"/>
        <w:rPr>
          <w:rFonts w:eastAsia="Times New Roman"/>
          <w:b/>
          <w:lang w:val="en-GB"/>
        </w:rPr>
      </w:pPr>
    </w:p>
    <w:p w:rsidR="00FB17FC" w:rsidRPr="00573C3D" w:rsidRDefault="00FB17FC">
      <w:pPr>
        <w:jc w:val="both"/>
        <w:rPr>
          <w:rFonts w:eastAsia="Times New Roman"/>
          <w:b/>
          <w:lang w:val="en-GB"/>
        </w:rPr>
      </w:pPr>
      <w:r w:rsidRPr="00573C3D">
        <w:rPr>
          <w:rFonts w:eastAsia="Times New Roman"/>
          <w:b/>
          <w:lang w:val="en-GB"/>
        </w:rPr>
        <w:t>Event Adjudication</w:t>
      </w:r>
    </w:p>
    <w:p w:rsidR="00FB17FC" w:rsidRPr="00573C3D" w:rsidRDefault="00FB17FC">
      <w:pPr>
        <w:jc w:val="both"/>
        <w:rPr>
          <w:rFonts w:eastAsia="Times New Roman"/>
          <w:lang w:val="en-GB"/>
        </w:rPr>
      </w:pPr>
      <w:r w:rsidRPr="00573C3D">
        <w:rPr>
          <w:rFonts w:eastAsia="Times New Roman"/>
          <w:lang w:val="en-GB"/>
        </w:rPr>
        <w:t>Clinical events will be validated blindly by an independent</w:t>
      </w:r>
      <w:r w:rsidR="00C7201E" w:rsidRPr="00573C3D">
        <w:rPr>
          <w:rFonts w:eastAsia="Times New Roman"/>
          <w:lang w:val="en-GB"/>
        </w:rPr>
        <w:t xml:space="preserve"> clinical</w:t>
      </w:r>
      <w:r w:rsidRPr="00573C3D">
        <w:rPr>
          <w:rFonts w:eastAsia="Times New Roman"/>
          <w:lang w:val="en-GB"/>
        </w:rPr>
        <w:t xml:space="preserve"> event committee</w:t>
      </w:r>
      <w:r w:rsidR="00C7201E" w:rsidRPr="00573C3D">
        <w:rPr>
          <w:rFonts w:eastAsia="Times New Roman"/>
          <w:lang w:val="en-GB"/>
        </w:rPr>
        <w:t xml:space="preserve"> (CEC)</w:t>
      </w:r>
      <w:r w:rsidR="00214C7E" w:rsidRPr="00573C3D">
        <w:rPr>
          <w:rFonts w:eastAsia="Times New Roman"/>
          <w:lang w:val="en-GB"/>
        </w:rPr>
        <w:t xml:space="preserve"> unaware of the treatment allocation</w:t>
      </w:r>
      <w:r w:rsidRPr="00573C3D">
        <w:rPr>
          <w:rFonts w:eastAsia="Times New Roman"/>
          <w:lang w:val="en-GB"/>
        </w:rPr>
        <w:t xml:space="preserve">. </w:t>
      </w:r>
    </w:p>
    <w:p w:rsidR="00A31C64" w:rsidRPr="00573C3D" w:rsidRDefault="00A31C64">
      <w:pPr>
        <w:jc w:val="both"/>
        <w:rPr>
          <w:rFonts w:eastAsia="Times New Roman"/>
          <w:b/>
          <w:lang w:val="en-GB"/>
        </w:rPr>
      </w:pPr>
    </w:p>
    <w:p w:rsidR="005E6A25" w:rsidRPr="00395598" w:rsidRDefault="0041459E" w:rsidP="00395598">
      <w:pPr>
        <w:pStyle w:val="Nagwek1"/>
        <w:rPr>
          <w:rFonts w:ascii="Cambria" w:hAnsi="Cambria"/>
          <w:b/>
          <w:color w:val="auto"/>
          <w:sz w:val="24"/>
          <w:szCs w:val="24"/>
          <w:lang w:val="en-GB"/>
        </w:rPr>
      </w:pPr>
      <w:bookmarkStart w:id="79" w:name="_Toc38208566"/>
      <w:bookmarkStart w:id="80" w:name="_Toc86608128"/>
      <w:r w:rsidRPr="00395598">
        <w:rPr>
          <w:rFonts w:ascii="Cambria" w:hAnsi="Cambria"/>
          <w:b/>
          <w:color w:val="auto"/>
          <w:sz w:val="24"/>
          <w:szCs w:val="24"/>
          <w:lang w:val="en-GB"/>
        </w:rPr>
        <w:t>10</w:t>
      </w:r>
      <w:r w:rsidR="00604672" w:rsidRPr="00395598">
        <w:rPr>
          <w:rFonts w:ascii="Cambria" w:hAnsi="Cambria"/>
          <w:b/>
          <w:color w:val="auto"/>
          <w:sz w:val="24"/>
          <w:szCs w:val="24"/>
          <w:lang w:val="en-GB"/>
        </w:rPr>
        <w:t>. Adverse Events and Serious adverse events reporting</w:t>
      </w:r>
      <w:bookmarkEnd w:id="79"/>
      <w:bookmarkEnd w:id="80"/>
    </w:p>
    <w:p w:rsidR="005E6A25" w:rsidRDefault="0041459E">
      <w:pPr>
        <w:pStyle w:val="Nagwek2"/>
        <w:keepLines w:val="0"/>
        <w:numPr>
          <w:ilvl w:val="1"/>
          <w:numId w:val="0"/>
        </w:numPr>
        <w:tabs>
          <w:tab w:val="left" w:pos="1080"/>
        </w:tabs>
        <w:adjustRightInd w:val="0"/>
        <w:snapToGrid w:val="0"/>
        <w:spacing w:before="240"/>
        <w:ind w:left="1080" w:hanging="1080"/>
        <w:textAlignment w:val="baseline"/>
        <w:rPr>
          <w:rFonts w:ascii="Cambria" w:hAnsi="Cambria"/>
          <w:b/>
          <w:lang w:val="en-US"/>
        </w:rPr>
      </w:pPr>
      <w:bookmarkStart w:id="81" w:name="_Toc38208567"/>
      <w:bookmarkStart w:id="82" w:name="_Toc86608129"/>
      <w:r>
        <w:rPr>
          <w:rFonts w:ascii="Cambria" w:hAnsi="Cambria"/>
          <w:b/>
          <w:color w:val="auto"/>
          <w:sz w:val="24"/>
          <w:szCs w:val="24"/>
          <w:lang w:val="en-GB"/>
        </w:rPr>
        <w:t>10</w:t>
      </w:r>
      <w:r w:rsidR="00604672" w:rsidRPr="00604672">
        <w:rPr>
          <w:rFonts w:ascii="Cambria" w:hAnsi="Cambria"/>
          <w:b/>
          <w:color w:val="auto"/>
          <w:sz w:val="24"/>
          <w:szCs w:val="24"/>
          <w:lang w:val="en-GB"/>
        </w:rPr>
        <w:t>.1</w:t>
      </w:r>
      <w:r w:rsidR="004B412F">
        <w:rPr>
          <w:rFonts w:ascii="Cambria" w:hAnsi="Cambria"/>
          <w:b/>
          <w:color w:val="auto"/>
          <w:sz w:val="24"/>
          <w:szCs w:val="24"/>
          <w:lang w:val="en-GB"/>
        </w:rPr>
        <w:t>.</w:t>
      </w:r>
      <w:r w:rsidR="00604672" w:rsidRPr="00604672">
        <w:rPr>
          <w:rFonts w:ascii="Cambria" w:hAnsi="Cambria"/>
          <w:b/>
          <w:color w:val="auto"/>
          <w:sz w:val="24"/>
          <w:szCs w:val="24"/>
          <w:lang w:val="en-GB"/>
        </w:rPr>
        <w:t xml:space="preserve"> Definitions</w:t>
      </w:r>
      <w:bookmarkEnd w:id="81"/>
      <w:bookmarkEnd w:id="82"/>
    </w:p>
    <w:p w:rsidR="006A031E" w:rsidRPr="008145E7" w:rsidRDefault="006A031E" w:rsidP="006A031E">
      <w:pPr>
        <w:pStyle w:val="listbull"/>
        <w:numPr>
          <w:ilvl w:val="0"/>
          <w:numId w:val="0"/>
        </w:numPr>
        <w:jc w:val="both"/>
        <w:rPr>
          <w:rFonts w:ascii="Cambria" w:hAnsi="Cambria"/>
        </w:rPr>
      </w:pPr>
      <w:r w:rsidRPr="008145E7">
        <w:rPr>
          <w:rFonts w:ascii="Cambria" w:hAnsi="Cambria"/>
        </w:rPr>
        <w:t>Adverse Events (AE) is any untoward medical occurrence in a patient or clinical study participant, temporally associated with the use of study treatment, whether or not considered related to the study treatment.</w:t>
      </w:r>
    </w:p>
    <w:p w:rsidR="006A031E" w:rsidRPr="008145E7" w:rsidRDefault="006A031E" w:rsidP="006A031E">
      <w:pPr>
        <w:pStyle w:val="Nagwek2"/>
        <w:keepLines w:val="0"/>
        <w:numPr>
          <w:ilvl w:val="1"/>
          <w:numId w:val="0"/>
        </w:numPr>
        <w:tabs>
          <w:tab w:val="left" w:pos="1080"/>
        </w:tabs>
        <w:adjustRightInd w:val="0"/>
        <w:snapToGrid w:val="0"/>
        <w:spacing w:before="240"/>
        <w:ind w:left="1080" w:hanging="1080"/>
        <w:jc w:val="both"/>
        <w:textAlignment w:val="baseline"/>
        <w:rPr>
          <w:rFonts w:ascii="Cambria" w:hAnsi="Cambria"/>
          <w:color w:val="auto"/>
          <w:sz w:val="24"/>
          <w:szCs w:val="24"/>
          <w:lang w:val="en-GB"/>
        </w:rPr>
      </w:pPr>
      <w:bookmarkStart w:id="83" w:name="_Toc38208568"/>
      <w:bookmarkStart w:id="84" w:name="_Toc38210616"/>
      <w:bookmarkStart w:id="85" w:name="_Toc38214888"/>
      <w:bookmarkStart w:id="86" w:name="_Toc40961994"/>
      <w:bookmarkStart w:id="87" w:name="_Toc54897309"/>
      <w:bookmarkStart w:id="88" w:name="_Toc86608130"/>
      <w:r w:rsidRPr="008145E7">
        <w:rPr>
          <w:rFonts w:ascii="Cambria" w:hAnsi="Cambria"/>
          <w:color w:val="auto"/>
          <w:sz w:val="24"/>
          <w:szCs w:val="24"/>
          <w:lang w:val="en-GB"/>
        </w:rPr>
        <w:t xml:space="preserve">NOTE: An AE can therefore be any </w:t>
      </w:r>
      <w:r w:rsidRPr="00573C3D">
        <w:rPr>
          <w:rFonts w:ascii="Cambria" w:hAnsi="Cambria"/>
          <w:color w:val="auto"/>
          <w:sz w:val="24"/>
          <w:szCs w:val="24"/>
          <w:lang w:val="en-GB"/>
        </w:rPr>
        <w:t>unfavourable</w:t>
      </w:r>
      <w:r w:rsidRPr="008145E7">
        <w:rPr>
          <w:rFonts w:ascii="Cambria" w:hAnsi="Cambria"/>
          <w:color w:val="auto"/>
          <w:sz w:val="24"/>
          <w:szCs w:val="24"/>
          <w:lang w:val="en-GB"/>
        </w:rPr>
        <w:t xml:space="preserve"> and unintended sign (including an abnormal laboratory finding), symptom, or disease (new or exacerbated) temporally associated with the use of study treatment..</w:t>
      </w:r>
      <w:bookmarkEnd w:id="83"/>
      <w:bookmarkEnd w:id="84"/>
      <w:bookmarkEnd w:id="85"/>
      <w:bookmarkEnd w:id="86"/>
      <w:bookmarkEnd w:id="87"/>
      <w:bookmarkEnd w:id="88"/>
    </w:p>
    <w:p w:rsidR="006A031E" w:rsidRPr="008145E7" w:rsidRDefault="006A031E" w:rsidP="006A031E">
      <w:pPr>
        <w:pStyle w:val="Tekstpodstawowy"/>
        <w:ind w:left="120" w:right="71"/>
        <w:rPr>
          <w:rFonts w:ascii="Cambria" w:hAnsi="Cambria"/>
          <w:lang w:val="en-GB"/>
        </w:rPr>
      </w:pPr>
    </w:p>
    <w:p w:rsidR="006A031E" w:rsidRPr="008145E7" w:rsidRDefault="006A031E" w:rsidP="006A031E">
      <w:pPr>
        <w:pStyle w:val="Tekstpodstawowy"/>
        <w:ind w:left="120" w:right="71"/>
        <w:rPr>
          <w:rFonts w:ascii="Cambria" w:hAnsi="Cambria"/>
          <w:lang w:val="en-GB"/>
        </w:rPr>
      </w:pPr>
      <w:r w:rsidRPr="008145E7">
        <w:rPr>
          <w:rFonts w:ascii="Cambria" w:hAnsi="Cambria"/>
          <w:lang w:val="en-GB"/>
        </w:rPr>
        <w:t>A Serious Adverse Event (SAE) is defined as any untoward medical occurrence that, at any dose:</w:t>
      </w:r>
    </w:p>
    <w:p w:rsidR="006A031E" w:rsidRPr="008145E7" w:rsidRDefault="006A031E" w:rsidP="006A031E">
      <w:pPr>
        <w:pStyle w:val="Tekstpodstawowy"/>
        <w:ind w:left="120" w:right="71"/>
        <w:rPr>
          <w:rFonts w:ascii="Cambria" w:hAnsi="Cambria"/>
          <w:lang w:val="en-GB"/>
        </w:rPr>
      </w:pPr>
      <w:r w:rsidRPr="008145E7">
        <w:rPr>
          <w:rFonts w:ascii="Cambria" w:hAnsi="Cambria"/>
          <w:lang w:val="en-GB"/>
        </w:rPr>
        <w:t>- Results in death</w:t>
      </w:r>
    </w:p>
    <w:p w:rsidR="006A031E" w:rsidRPr="008145E7" w:rsidRDefault="006A031E" w:rsidP="006A031E">
      <w:pPr>
        <w:pStyle w:val="Tekstpodstawowy"/>
        <w:ind w:left="120" w:right="71"/>
        <w:rPr>
          <w:rFonts w:ascii="Cambria" w:hAnsi="Cambria"/>
          <w:lang w:val="en-GB"/>
        </w:rPr>
      </w:pPr>
      <w:r w:rsidRPr="008145E7">
        <w:rPr>
          <w:rFonts w:ascii="Cambria" w:hAnsi="Cambria"/>
          <w:lang w:val="en-GB"/>
        </w:rPr>
        <w:t>- Is life-threatening</w:t>
      </w:r>
    </w:p>
    <w:p w:rsidR="006A031E" w:rsidRPr="008145E7" w:rsidRDefault="006A031E" w:rsidP="006A031E">
      <w:pPr>
        <w:pStyle w:val="Tekstpodstawowy"/>
        <w:ind w:left="120" w:right="71"/>
        <w:rPr>
          <w:rFonts w:ascii="Cambria" w:hAnsi="Cambria"/>
          <w:lang w:val="en-GB"/>
        </w:rPr>
      </w:pPr>
      <w:r w:rsidRPr="008145E7">
        <w:rPr>
          <w:rFonts w:ascii="Cambria" w:hAnsi="Cambria"/>
          <w:lang w:val="en-GB"/>
        </w:rPr>
        <w:t>- Requires inpatient hospitalization or prolongation of existing hospitalization</w:t>
      </w:r>
    </w:p>
    <w:p w:rsidR="006A031E" w:rsidRPr="008145E7" w:rsidRDefault="006A031E" w:rsidP="006A031E">
      <w:pPr>
        <w:pStyle w:val="Tekstpodstawowy"/>
        <w:ind w:left="120" w:right="71"/>
        <w:rPr>
          <w:rFonts w:ascii="Cambria" w:hAnsi="Cambria"/>
          <w:lang w:val="en-GB"/>
        </w:rPr>
      </w:pPr>
      <w:r w:rsidRPr="008145E7">
        <w:rPr>
          <w:rFonts w:ascii="Cambria" w:hAnsi="Cambria"/>
          <w:lang w:val="en-GB"/>
        </w:rPr>
        <w:t>- Results in persistent disability/incapacity</w:t>
      </w:r>
    </w:p>
    <w:p w:rsidR="006A031E" w:rsidRPr="008145E7" w:rsidRDefault="006A031E" w:rsidP="006A031E">
      <w:pPr>
        <w:pStyle w:val="Tekstpodstawowy"/>
        <w:ind w:left="120" w:right="71"/>
        <w:rPr>
          <w:rFonts w:ascii="Cambria" w:hAnsi="Cambria"/>
          <w:lang w:val="en-GB"/>
        </w:rPr>
      </w:pPr>
      <w:r w:rsidRPr="008145E7">
        <w:rPr>
          <w:rFonts w:ascii="Cambria" w:hAnsi="Cambria"/>
          <w:lang w:val="en-GB"/>
        </w:rPr>
        <w:t>- Is a congenital anomaly/birth defect</w:t>
      </w:r>
    </w:p>
    <w:p w:rsidR="006A031E" w:rsidRDefault="006A031E" w:rsidP="006A031E">
      <w:pPr>
        <w:pStyle w:val="listalpha"/>
        <w:numPr>
          <w:ilvl w:val="0"/>
          <w:numId w:val="0"/>
        </w:numPr>
        <w:ind w:left="120"/>
        <w:jc w:val="both"/>
        <w:rPr>
          <w:rFonts w:ascii="Cambria" w:hAnsi="Cambria"/>
        </w:rPr>
      </w:pPr>
      <w:r w:rsidRPr="008145E7">
        <w:rPr>
          <w:rFonts w:ascii="Cambria" w:hAnsi="Cambria"/>
        </w:rPr>
        <w:t xml:space="preserve"> - Other situations: Medical or scientific judgment should be exercised in deciding whether SAE reporting is appropriate in other situations such as important medical events that may not be immediately life-threatening or result in death or hospitalization but may jeopardize the participant or may require medical or surgical intervention to prevent one of the other outcomes listed in the above definition. These events should usually be considered serious. Examples of such events include invasive or malignant cancers, intensive treatment in an emergency room or at home for allergic bronchospasm, blood dyscrasias or convulsions that do not result in hospitalization, or development of drug dependency or drug abuse.</w:t>
      </w:r>
    </w:p>
    <w:p w:rsidR="00395598" w:rsidRDefault="00395598" w:rsidP="006A031E">
      <w:pPr>
        <w:pStyle w:val="listalpha"/>
        <w:numPr>
          <w:ilvl w:val="0"/>
          <w:numId w:val="0"/>
        </w:numPr>
        <w:ind w:left="120"/>
        <w:jc w:val="both"/>
        <w:rPr>
          <w:rFonts w:ascii="Cambria" w:hAnsi="Cambria"/>
        </w:rPr>
      </w:pPr>
    </w:p>
    <w:p w:rsidR="00395598" w:rsidRPr="008145E7" w:rsidRDefault="00395598" w:rsidP="006A031E">
      <w:pPr>
        <w:pStyle w:val="listalpha"/>
        <w:numPr>
          <w:ilvl w:val="0"/>
          <w:numId w:val="0"/>
        </w:numPr>
        <w:ind w:left="120"/>
        <w:jc w:val="both"/>
        <w:rPr>
          <w:rFonts w:ascii="Cambria" w:hAnsi="Cambria"/>
        </w:rPr>
      </w:pPr>
    </w:p>
    <w:p w:rsidR="006A031E" w:rsidRPr="008145E7" w:rsidRDefault="006A031E" w:rsidP="006A031E">
      <w:pPr>
        <w:pStyle w:val="listalpha"/>
        <w:numPr>
          <w:ilvl w:val="0"/>
          <w:numId w:val="0"/>
        </w:numPr>
        <w:jc w:val="both"/>
        <w:rPr>
          <w:rFonts w:ascii="Cambria" w:hAnsi="Cambria"/>
        </w:rPr>
      </w:pPr>
      <w:r w:rsidRPr="006A031E">
        <w:rPr>
          <w:rFonts w:ascii="Cambria" w:hAnsi="Cambria"/>
        </w:rPr>
        <w:t xml:space="preserve">A </w:t>
      </w:r>
      <w:r w:rsidR="00604672" w:rsidRPr="00604672">
        <w:rPr>
          <w:rFonts w:ascii="Cambria" w:hAnsi="Cambria"/>
          <w:bCs/>
        </w:rPr>
        <w:t xml:space="preserve">suspected unexpected serious adverse reaction (SUSAR) </w:t>
      </w:r>
      <w:r w:rsidRPr="008145E7">
        <w:rPr>
          <w:rFonts w:ascii="Cambria" w:hAnsi="Cambria"/>
        </w:rPr>
        <w:t>is a serious adverse reaction (SAR) that is unexpected or for which the development is uncommonly (unexpected issue) observed during a clinical trial and for which there is at least a reasonable possibility of a causal relationship with the IMP.</w:t>
      </w:r>
    </w:p>
    <w:p w:rsidR="006A031E" w:rsidRPr="008145E7" w:rsidRDefault="006A031E" w:rsidP="006A031E">
      <w:pPr>
        <w:pStyle w:val="Tekstpodstawowy"/>
        <w:ind w:left="120" w:right="71"/>
        <w:rPr>
          <w:rFonts w:ascii="Cambria" w:hAnsi="Cambria"/>
          <w:lang w:val="en-GB"/>
        </w:rPr>
      </w:pPr>
    </w:p>
    <w:p w:rsidR="006A031E" w:rsidRPr="008145E7" w:rsidRDefault="006A031E" w:rsidP="006A031E">
      <w:pPr>
        <w:jc w:val="both"/>
        <w:rPr>
          <w:lang w:val="en-GB" w:eastAsia="ja-JP"/>
        </w:rPr>
      </w:pPr>
      <w:r w:rsidRPr="008145E7">
        <w:rPr>
          <w:lang w:val="en-GB" w:eastAsia="ja-JP"/>
        </w:rPr>
        <w:t xml:space="preserve">AE will be reported by the participant (or, when appropriate, by a caregiver, surrogate, or the participant's legally authorized representative). </w:t>
      </w:r>
    </w:p>
    <w:p w:rsidR="006A031E" w:rsidRPr="008145E7" w:rsidRDefault="006A031E" w:rsidP="006A031E">
      <w:pPr>
        <w:jc w:val="both"/>
        <w:rPr>
          <w:lang w:val="en-GB" w:eastAsia="ja-JP"/>
        </w:rPr>
      </w:pPr>
      <w:r w:rsidRPr="008145E7">
        <w:rPr>
          <w:lang w:val="en-GB" w:eastAsia="ja-JP"/>
        </w:rPr>
        <w:t xml:space="preserve">The investigator and any designees are responsible for detecting, documenting, and recording events that meet the definition of an AE or SAE and remain responsible for following up AEs that are serious, considered related to the study treatment or study procedures, or that caused the participant to discontinue the study. </w:t>
      </w:r>
    </w:p>
    <w:p w:rsidR="00573C3D" w:rsidRDefault="009345A3" w:rsidP="00573C3D">
      <w:pPr>
        <w:jc w:val="both"/>
        <w:rPr>
          <w:rFonts w:eastAsia="Times New Roman"/>
          <w:lang w:val="en-GB"/>
        </w:rPr>
      </w:pPr>
      <w:r w:rsidRPr="00573C3D">
        <w:rPr>
          <w:rFonts w:eastAsia="Times New Roman"/>
          <w:lang w:val="en-GB"/>
        </w:rPr>
        <w:t>Serious adverse events (SAEs) will be</w:t>
      </w:r>
      <w:r w:rsidR="00364BDE" w:rsidRPr="00573C3D">
        <w:rPr>
          <w:rFonts w:eastAsia="Times New Roman"/>
          <w:lang w:val="en-GB"/>
        </w:rPr>
        <w:t xml:space="preserve"> reported and</w:t>
      </w:r>
      <w:r w:rsidRPr="00573C3D">
        <w:rPr>
          <w:rFonts w:eastAsia="Times New Roman"/>
          <w:lang w:val="en-GB"/>
        </w:rPr>
        <w:t xml:space="preserve"> </w:t>
      </w:r>
      <w:r w:rsidR="00364BDE" w:rsidRPr="00573C3D">
        <w:rPr>
          <w:rFonts w:eastAsia="Times New Roman"/>
          <w:lang w:val="en-GB"/>
        </w:rPr>
        <w:t>evaluated by a safety committee</w:t>
      </w:r>
      <w:r w:rsidR="00311713" w:rsidRPr="00573C3D">
        <w:rPr>
          <w:rFonts w:eastAsia="Times New Roman"/>
          <w:lang w:val="en-GB"/>
        </w:rPr>
        <w:t xml:space="preserve"> who will oversee the study conduction</w:t>
      </w:r>
      <w:r w:rsidR="00364BDE" w:rsidRPr="00573C3D">
        <w:rPr>
          <w:rFonts w:eastAsia="Times New Roman"/>
          <w:lang w:val="en-GB"/>
        </w:rPr>
        <w:t xml:space="preserve">.  </w:t>
      </w:r>
    </w:p>
    <w:p w:rsidR="00395598" w:rsidRPr="00573C3D" w:rsidRDefault="00395598" w:rsidP="00573C3D">
      <w:pPr>
        <w:jc w:val="both"/>
        <w:rPr>
          <w:rFonts w:eastAsia="Times New Roman"/>
          <w:lang w:val="en-GB"/>
        </w:rPr>
      </w:pPr>
    </w:p>
    <w:p w:rsidR="005E6A25" w:rsidRDefault="00604672">
      <w:pPr>
        <w:pStyle w:val="CPTInstructional"/>
        <w:numPr>
          <w:ilvl w:val="0"/>
          <w:numId w:val="20"/>
        </w:numPr>
        <w:ind w:left="720"/>
        <w:jc w:val="both"/>
        <w:rPr>
          <w:rFonts w:ascii="Cambria" w:hAnsi="Cambria"/>
          <w:color w:val="auto"/>
          <w:sz w:val="24"/>
          <w:szCs w:val="24"/>
          <w:lang w:val="en-GB"/>
        </w:rPr>
      </w:pPr>
      <w:r w:rsidRPr="00604672">
        <w:rPr>
          <w:rFonts w:ascii="Cambria" w:hAnsi="Cambria"/>
          <w:color w:val="auto"/>
          <w:sz w:val="24"/>
          <w:szCs w:val="24"/>
          <w:lang w:val="en-GB"/>
        </w:rPr>
        <w:t>The means of obtaining AE data should be described (volunteered, checklist, or questioning) as should any specific rating scales used and any specifically planned follow-up procedures for specific AE or any planned rechallenge procedures in case study treatment is discontinued because of an AE.</w:t>
      </w:r>
    </w:p>
    <w:p w:rsidR="005E6A25" w:rsidRDefault="00604672">
      <w:pPr>
        <w:pStyle w:val="CPTInstructional"/>
        <w:numPr>
          <w:ilvl w:val="0"/>
          <w:numId w:val="20"/>
        </w:numPr>
        <w:ind w:left="720"/>
        <w:jc w:val="both"/>
        <w:rPr>
          <w:rFonts w:ascii="Cambria" w:hAnsi="Cambria"/>
          <w:color w:val="auto"/>
          <w:sz w:val="24"/>
          <w:szCs w:val="24"/>
          <w:lang w:val="en-GB"/>
        </w:rPr>
      </w:pPr>
      <w:r w:rsidRPr="00604672">
        <w:rPr>
          <w:rFonts w:ascii="Cambria" w:hAnsi="Cambria"/>
          <w:color w:val="auto"/>
          <w:sz w:val="24"/>
          <w:szCs w:val="24"/>
          <w:lang w:val="en-GB"/>
        </w:rPr>
        <w:t>Consider whether there any protocol-specific events that may need expedited reporting, or alternatively, are not required to be reported. Provide guidance for investigators.</w:t>
      </w:r>
    </w:p>
    <w:p w:rsidR="005E6A25" w:rsidRDefault="00604672">
      <w:pPr>
        <w:pStyle w:val="CPTInstructional"/>
        <w:numPr>
          <w:ilvl w:val="0"/>
          <w:numId w:val="20"/>
        </w:numPr>
        <w:ind w:left="720"/>
        <w:jc w:val="both"/>
        <w:rPr>
          <w:rFonts w:ascii="Cambria" w:hAnsi="Cambria"/>
          <w:color w:val="auto"/>
          <w:sz w:val="24"/>
          <w:szCs w:val="24"/>
          <w:lang w:val="en-GB"/>
        </w:rPr>
      </w:pPr>
      <w:r w:rsidRPr="00604672">
        <w:rPr>
          <w:rFonts w:ascii="Cambria" w:hAnsi="Cambria"/>
          <w:color w:val="auto"/>
          <w:sz w:val="24"/>
          <w:szCs w:val="24"/>
          <w:lang w:val="en-GB"/>
        </w:rPr>
        <w:t>If there is a specific AE that will be of particular interest it should be described in a sub- section (AE of Special Interest). The description should include the following:</w:t>
      </w:r>
    </w:p>
    <w:p w:rsidR="005E6A25" w:rsidRDefault="00604672">
      <w:pPr>
        <w:pStyle w:val="CPTInstructional"/>
        <w:numPr>
          <w:ilvl w:val="1"/>
          <w:numId w:val="20"/>
        </w:numPr>
        <w:jc w:val="both"/>
        <w:rPr>
          <w:rFonts w:ascii="Cambria" w:hAnsi="Cambria"/>
          <w:color w:val="auto"/>
          <w:sz w:val="24"/>
          <w:szCs w:val="24"/>
          <w:lang w:val="en-GB"/>
        </w:rPr>
      </w:pPr>
      <w:r w:rsidRPr="00604672">
        <w:rPr>
          <w:rFonts w:ascii="Cambria" w:hAnsi="Cambria"/>
          <w:color w:val="auto"/>
          <w:sz w:val="24"/>
          <w:szCs w:val="24"/>
          <w:lang w:val="en-GB"/>
        </w:rPr>
        <w:t>The definition of the event.</w:t>
      </w:r>
    </w:p>
    <w:p w:rsidR="005E6A25" w:rsidRDefault="00604672">
      <w:pPr>
        <w:pStyle w:val="CPTInstructional"/>
        <w:numPr>
          <w:ilvl w:val="1"/>
          <w:numId w:val="20"/>
        </w:numPr>
        <w:jc w:val="both"/>
        <w:rPr>
          <w:rFonts w:ascii="Cambria" w:hAnsi="Cambria"/>
          <w:color w:val="auto"/>
          <w:sz w:val="24"/>
          <w:szCs w:val="24"/>
          <w:lang w:val="en-GB"/>
        </w:rPr>
      </w:pPr>
      <w:r w:rsidRPr="00604672">
        <w:rPr>
          <w:rFonts w:ascii="Cambria" w:hAnsi="Cambria"/>
          <w:color w:val="auto"/>
          <w:sz w:val="24"/>
          <w:szCs w:val="24"/>
          <w:lang w:val="en-GB"/>
        </w:rPr>
        <w:t>Is it a measurable quantity? If yes, how will the measurement be done?</w:t>
      </w:r>
    </w:p>
    <w:p w:rsidR="005E6A25" w:rsidRDefault="00604672">
      <w:pPr>
        <w:pStyle w:val="CPTInstructional"/>
        <w:numPr>
          <w:ilvl w:val="1"/>
          <w:numId w:val="20"/>
        </w:numPr>
        <w:jc w:val="both"/>
        <w:rPr>
          <w:rFonts w:ascii="Cambria" w:hAnsi="Cambria"/>
          <w:color w:val="auto"/>
          <w:sz w:val="24"/>
          <w:szCs w:val="24"/>
          <w:lang w:val="en-GB"/>
        </w:rPr>
      </w:pPr>
      <w:r w:rsidRPr="00604672">
        <w:rPr>
          <w:rFonts w:ascii="Cambria" w:hAnsi="Cambria"/>
          <w:color w:val="auto"/>
          <w:sz w:val="24"/>
          <w:szCs w:val="24"/>
          <w:lang w:val="en-GB"/>
        </w:rPr>
        <w:t>If it is a clinical event, how will it be confirmed?</w:t>
      </w:r>
    </w:p>
    <w:p w:rsidR="005E6A25" w:rsidRDefault="00604672">
      <w:pPr>
        <w:pStyle w:val="CPTInstructional"/>
        <w:jc w:val="both"/>
        <w:rPr>
          <w:rFonts w:ascii="Cambria" w:hAnsi="Cambria" w:cs="Times New Roman"/>
          <w:color w:val="auto"/>
          <w:sz w:val="24"/>
          <w:szCs w:val="24"/>
          <w:lang w:val="en-GB" w:eastAsia="ja-JP"/>
        </w:rPr>
      </w:pPr>
      <w:r w:rsidRPr="00604672">
        <w:rPr>
          <w:rFonts w:ascii="Cambria" w:hAnsi="Cambria"/>
          <w:b/>
          <w:color w:val="auto"/>
          <w:sz w:val="24"/>
          <w:szCs w:val="24"/>
          <w:lang w:val="en-GB"/>
        </w:rPr>
        <w:t>NOTE: Level 3 headings</w:t>
      </w:r>
      <w:r w:rsidRPr="00604672">
        <w:rPr>
          <w:rFonts w:ascii="Cambria" w:hAnsi="Cambria"/>
          <w:color w:val="auto"/>
          <w:sz w:val="24"/>
          <w:szCs w:val="24"/>
          <w:lang w:val="en-GB"/>
        </w:rPr>
        <w:t xml:space="preserve"> </w:t>
      </w:r>
      <w:r w:rsidRPr="00604672">
        <w:rPr>
          <w:rFonts w:ascii="Cambria" w:hAnsi="Cambria"/>
          <w:b/>
          <w:color w:val="auto"/>
          <w:sz w:val="24"/>
          <w:szCs w:val="24"/>
          <w:lang w:val="en-GB"/>
        </w:rPr>
        <w:t>in this section are common text and must be maintained in order to ensure the elements required by ICH and regulators are included in the protocol.</w:t>
      </w:r>
    </w:p>
    <w:p w:rsidR="005E6A25" w:rsidRPr="00395598" w:rsidRDefault="0041459E" w:rsidP="00395598">
      <w:pPr>
        <w:pStyle w:val="Nagwek2"/>
        <w:rPr>
          <w:rFonts w:ascii="Cambria" w:hAnsi="Cambria"/>
          <w:b/>
          <w:color w:val="auto"/>
          <w:sz w:val="24"/>
          <w:szCs w:val="24"/>
          <w:lang w:val="en-GB"/>
        </w:rPr>
      </w:pPr>
      <w:bookmarkStart w:id="89" w:name="_Toc378325829"/>
      <w:bookmarkStart w:id="90" w:name="_Toc379459699"/>
      <w:bookmarkStart w:id="91" w:name="_Toc421709266"/>
      <w:bookmarkStart w:id="92" w:name="_Toc451497790"/>
      <w:bookmarkStart w:id="93" w:name="_Toc38208569"/>
      <w:bookmarkStart w:id="94" w:name="_Toc86608131"/>
      <w:r w:rsidRPr="00395598">
        <w:rPr>
          <w:rFonts w:ascii="Cambria" w:hAnsi="Cambria"/>
          <w:b/>
          <w:color w:val="auto"/>
          <w:sz w:val="24"/>
          <w:szCs w:val="24"/>
          <w:lang w:val="en-GB"/>
        </w:rPr>
        <w:t>10</w:t>
      </w:r>
      <w:r w:rsidR="006A031E" w:rsidRPr="00395598">
        <w:rPr>
          <w:rFonts w:ascii="Cambria" w:hAnsi="Cambria"/>
          <w:b/>
          <w:color w:val="auto"/>
          <w:sz w:val="24"/>
          <w:szCs w:val="24"/>
          <w:lang w:val="en-GB"/>
        </w:rPr>
        <w:t>.2</w:t>
      </w:r>
      <w:r w:rsidR="004B412F" w:rsidRPr="00395598">
        <w:rPr>
          <w:rFonts w:ascii="Cambria" w:hAnsi="Cambria"/>
          <w:b/>
          <w:color w:val="auto"/>
          <w:sz w:val="24"/>
          <w:szCs w:val="24"/>
          <w:lang w:val="en-GB"/>
        </w:rPr>
        <w:t>.</w:t>
      </w:r>
      <w:r w:rsidR="006A031E" w:rsidRPr="00395598">
        <w:rPr>
          <w:rFonts w:ascii="Cambria" w:hAnsi="Cambria"/>
          <w:b/>
          <w:color w:val="auto"/>
          <w:sz w:val="24"/>
          <w:szCs w:val="24"/>
          <w:lang w:val="en-GB"/>
        </w:rPr>
        <w:t xml:space="preserve"> </w:t>
      </w:r>
      <w:r w:rsidR="00604672" w:rsidRPr="00395598">
        <w:rPr>
          <w:rFonts w:ascii="Cambria" w:hAnsi="Cambria"/>
          <w:b/>
          <w:color w:val="auto"/>
          <w:sz w:val="24"/>
          <w:szCs w:val="24"/>
          <w:lang w:val="en-GB"/>
        </w:rPr>
        <w:t>Time Period and Frequency for Collecting AE and SAE Information</w:t>
      </w:r>
      <w:bookmarkEnd w:id="89"/>
      <w:bookmarkEnd w:id="90"/>
      <w:bookmarkEnd w:id="91"/>
      <w:bookmarkEnd w:id="92"/>
      <w:bookmarkEnd w:id="93"/>
      <w:bookmarkEnd w:id="94"/>
      <w:r w:rsidR="00604672" w:rsidRPr="00395598">
        <w:rPr>
          <w:rFonts w:ascii="Cambria" w:hAnsi="Cambria"/>
          <w:b/>
          <w:color w:val="auto"/>
          <w:sz w:val="24"/>
          <w:szCs w:val="24"/>
          <w:lang w:val="en-GB"/>
        </w:rPr>
        <w:t xml:space="preserve"> </w:t>
      </w:r>
    </w:p>
    <w:p w:rsidR="005E6A25" w:rsidRDefault="005E6A25">
      <w:pPr>
        <w:jc w:val="both"/>
        <w:rPr>
          <w:lang w:val="en-GB" w:eastAsia="ja-JP"/>
        </w:rPr>
      </w:pPr>
    </w:p>
    <w:p w:rsidR="005E6A25" w:rsidRDefault="00604672">
      <w:pPr>
        <w:jc w:val="both"/>
        <w:rPr>
          <w:lang w:val="en-GB" w:eastAsia="ja-JP"/>
        </w:rPr>
      </w:pPr>
      <w:r w:rsidRPr="00604672">
        <w:rPr>
          <w:lang w:val="en-GB" w:eastAsia="ja-JP"/>
        </w:rPr>
        <w:t xml:space="preserve">All SAEs will be collected from the </w:t>
      </w:r>
      <w:r w:rsidRPr="00604672">
        <w:rPr>
          <w:lang w:val="en-GB"/>
        </w:rPr>
        <w:t xml:space="preserve">signing of the ICF </w:t>
      </w:r>
      <w:r w:rsidRPr="00604672">
        <w:rPr>
          <w:lang w:val="en-GB" w:eastAsia="ja-JP"/>
        </w:rPr>
        <w:t xml:space="preserve">until </w:t>
      </w:r>
      <w:r w:rsidRPr="00604672">
        <w:rPr>
          <w:lang w:val="en-GB"/>
        </w:rPr>
        <w:t xml:space="preserve">Day 28 (End of Study) </w:t>
      </w:r>
      <w:r w:rsidRPr="00604672">
        <w:rPr>
          <w:lang w:val="en-GB" w:eastAsia="ja-JP"/>
        </w:rPr>
        <w:t xml:space="preserve">at the time points specified in the </w:t>
      </w:r>
      <w:proofErr w:type="spellStart"/>
      <w:r w:rsidRPr="00604672">
        <w:rPr>
          <w:lang w:val="en-GB" w:eastAsia="ja-JP"/>
        </w:rPr>
        <w:t>SoA</w:t>
      </w:r>
      <w:proofErr w:type="spellEnd"/>
      <w:r w:rsidRPr="00604672">
        <w:rPr>
          <w:lang w:val="en-GB" w:eastAsia="ja-JP"/>
        </w:rPr>
        <w:t xml:space="preserve"> .</w:t>
      </w:r>
    </w:p>
    <w:p w:rsidR="005E6A25" w:rsidRDefault="00604672">
      <w:pPr>
        <w:jc w:val="both"/>
        <w:rPr>
          <w:lang w:val="en-GB" w:eastAsia="ja-JP"/>
        </w:rPr>
      </w:pPr>
      <w:r w:rsidRPr="00604672">
        <w:rPr>
          <w:lang w:val="en-GB" w:eastAsia="ja-JP"/>
        </w:rPr>
        <w:t xml:space="preserve">All AE will be collected from the </w:t>
      </w:r>
      <w:r w:rsidRPr="00604672">
        <w:rPr>
          <w:lang w:val="en-GB"/>
        </w:rPr>
        <w:t xml:space="preserve">signing of the ICF </w:t>
      </w:r>
      <w:r w:rsidRPr="00604672">
        <w:rPr>
          <w:lang w:val="en-GB" w:eastAsia="ja-JP"/>
        </w:rPr>
        <w:t xml:space="preserve">until </w:t>
      </w:r>
      <w:r w:rsidRPr="00604672">
        <w:rPr>
          <w:lang w:val="en-GB"/>
        </w:rPr>
        <w:t xml:space="preserve">Day 28 (End of Study) </w:t>
      </w:r>
      <w:r w:rsidRPr="00604672">
        <w:rPr>
          <w:lang w:val="en-GB" w:eastAsia="ja-JP"/>
        </w:rPr>
        <w:t xml:space="preserve">at the time points specified in the </w:t>
      </w:r>
      <w:proofErr w:type="spellStart"/>
      <w:r w:rsidRPr="00604672">
        <w:rPr>
          <w:lang w:val="en-GB" w:eastAsia="ja-JP"/>
        </w:rPr>
        <w:t>SoA</w:t>
      </w:r>
      <w:proofErr w:type="spellEnd"/>
      <w:r w:rsidRPr="00604672">
        <w:rPr>
          <w:lang w:val="en-GB" w:eastAsia="ja-JP"/>
        </w:rPr>
        <w:t>.</w:t>
      </w:r>
    </w:p>
    <w:p w:rsidR="005E6A25" w:rsidRDefault="00604672">
      <w:pPr>
        <w:jc w:val="both"/>
        <w:rPr>
          <w:lang w:val="en-GB" w:eastAsia="ja-JP"/>
        </w:rPr>
      </w:pPr>
      <w:r w:rsidRPr="00604672">
        <w:rPr>
          <w:lang w:val="en-GB" w:eastAsia="ja-JP"/>
        </w:rPr>
        <w:t>Medical occurrences that begin before the start of study treatment but after obtaining informed consent will be recorded on the Medical History/Current Medical Conditions section of the case report form (CRF) not the AE section.</w:t>
      </w:r>
    </w:p>
    <w:p w:rsidR="005E6A25" w:rsidRDefault="005E6A25">
      <w:pPr>
        <w:jc w:val="both"/>
        <w:rPr>
          <w:lang w:val="en-GB" w:eastAsia="ja-JP"/>
        </w:rPr>
      </w:pPr>
    </w:p>
    <w:p w:rsidR="005E6A25" w:rsidRDefault="00604672">
      <w:pPr>
        <w:jc w:val="both"/>
        <w:rPr>
          <w:lang w:val="en-GB" w:eastAsia="ja-JP"/>
        </w:rPr>
      </w:pPr>
      <w:r w:rsidRPr="00604672">
        <w:rPr>
          <w:lang w:val="en-GB" w:eastAsia="ja-JP"/>
        </w:rPr>
        <w:t>All SAEs will be recorded and reported to the sponsor or designee within 24 hours. The investigator will submit any updated SAE data to the sponsor within 24 hours of it being available.</w:t>
      </w:r>
    </w:p>
    <w:p w:rsidR="005E6A25" w:rsidRDefault="00604672">
      <w:pPr>
        <w:jc w:val="both"/>
        <w:rPr>
          <w:lang w:val="en-GB" w:eastAsia="ja-JP"/>
        </w:rPr>
      </w:pPr>
      <w:r w:rsidRPr="00604672">
        <w:rPr>
          <w:lang w:val="en-GB" w:eastAsia="ja-JP"/>
        </w:rPr>
        <w:t>Investigators are not obligated to actively seek AE or SAE in former study participants. However, if the investigator learns of any SAE, including a death, at any time after a participant has been discharged from the study, and he/she considers the event to be reasonably related to the study treatment or study participation, the investigator must promptly notify the sponsor.</w:t>
      </w:r>
    </w:p>
    <w:p w:rsidR="005E6A25" w:rsidRDefault="00604672">
      <w:pPr>
        <w:jc w:val="both"/>
        <w:rPr>
          <w:lang w:val="en-GB" w:eastAsia="ja-JP"/>
        </w:rPr>
      </w:pPr>
      <w:r w:rsidRPr="00604672">
        <w:rPr>
          <w:lang w:val="en-GB" w:eastAsia="ja-JP"/>
        </w:rPr>
        <w:t>The method of recording, evaluating, and assessing causality of AE and SAE and the procedures for completing and transmitting SAE reports are provided in Appendix 4.</w:t>
      </w:r>
    </w:p>
    <w:p w:rsidR="00395598" w:rsidRDefault="00395598">
      <w:pPr>
        <w:jc w:val="both"/>
        <w:rPr>
          <w:lang w:val="en-GB" w:eastAsia="ja-JP"/>
        </w:rPr>
      </w:pPr>
    </w:p>
    <w:p w:rsidR="005E6A25" w:rsidRDefault="0041459E" w:rsidP="00395598">
      <w:pPr>
        <w:pStyle w:val="Nagwek2"/>
        <w:rPr>
          <w:rFonts w:ascii="Cambria" w:hAnsi="Cambria"/>
          <w:b/>
          <w:color w:val="auto"/>
          <w:sz w:val="24"/>
          <w:szCs w:val="24"/>
          <w:lang w:val="en-GB"/>
        </w:rPr>
      </w:pPr>
      <w:bookmarkStart w:id="95" w:name="_Toc378325830"/>
      <w:bookmarkStart w:id="96" w:name="_Toc379459700"/>
      <w:bookmarkStart w:id="97" w:name="_Toc421709267"/>
      <w:bookmarkStart w:id="98" w:name="_Toc451497791"/>
      <w:bookmarkStart w:id="99" w:name="_Toc38208570"/>
      <w:bookmarkStart w:id="100" w:name="_Toc86608132"/>
      <w:r w:rsidRPr="00395598">
        <w:rPr>
          <w:rFonts w:ascii="Cambria" w:hAnsi="Cambria"/>
          <w:b/>
          <w:color w:val="auto"/>
          <w:sz w:val="24"/>
          <w:szCs w:val="24"/>
          <w:lang w:val="en-GB"/>
        </w:rPr>
        <w:t>10.3</w:t>
      </w:r>
      <w:r w:rsidR="004B412F" w:rsidRPr="00395598">
        <w:rPr>
          <w:rFonts w:ascii="Cambria" w:hAnsi="Cambria"/>
          <w:b/>
          <w:color w:val="auto"/>
          <w:sz w:val="24"/>
          <w:szCs w:val="24"/>
          <w:lang w:val="en-GB"/>
        </w:rPr>
        <w:t>.</w:t>
      </w:r>
      <w:r w:rsidRPr="00395598">
        <w:rPr>
          <w:rFonts w:ascii="Cambria" w:hAnsi="Cambria"/>
          <w:b/>
          <w:color w:val="auto"/>
          <w:sz w:val="24"/>
          <w:szCs w:val="24"/>
          <w:lang w:val="en-GB"/>
        </w:rPr>
        <w:t xml:space="preserve"> </w:t>
      </w:r>
      <w:r w:rsidR="00604672" w:rsidRPr="00395598">
        <w:rPr>
          <w:rFonts w:ascii="Cambria" w:hAnsi="Cambria"/>
          <w:b/>
          <w:color w:val="auto"/>
          <w:sz w:val="24"/>
          <w:szCs w:val="24"/>
          <w:lang w:val="en-GB"/>
        </w:rPr>
        <w:t>Method of Detecting AEs and SAE</w:t>
      </w:r>
      <w:bookmarkEnd w:id="95"/>
      <w:bookmarkEnd w:id="96"/>
      <w:bookmarkEnd w:id="97"/>
      <w:r w:rsidR="00604672" w:rsidRPr="00395598">
        <w:rPr>
          <w:rFonts w:ascii="Cambria" w:hAnsi="Cambria"/>
          <w:b/>
          <w:color w:val="auto"/>
          <w:sz w:val="24"/>
          <w:szCs w:val="24"/>
          <w:lang w:val="en-GB"/>
        </w:rPr>
        <w:t>s</w:t>
      </w:r>
      <w:bookmarkEnd w:id="98"/>
      <w:bookmarkEnd w:id="99"/>
      <w:bookmarkEnd w:id="100"/>
    </w:p>
    <w:p w:rsidR="00395598" w:rsidRPr="00395598" w:rsidRDefault="00395598" w:rsidP="00395598">
      <w:pPr>
        <w:rPr>
          <w:lang w:val="en-GB"/>
        </w:rPr>
      </w:pPr>
    </w:p>
    <w:p w:rsidR="005E6A25" w:rsidRDefault="00604672">
      <w:pPr>
        <w:jc w:val="both"/>
        <w:rPr>
          <w:lang w:val="en-GB" w:eastAsia="ja-JP"/>
        </w:rPr>
      </w:pPr>
      <w:r w:rsidRPr="00604672">
        <w:rPr>
          <w:lang w:val="en-GB" w:eastAsia="ja-JP"/>
        </w:rPr>
        <w:t>Care will be taken not to introduce bias when detecting AEs and/or SAEs. Open-ended and non</w:t>
      </w:r>
      <w:r w:rsidRPr="00604672">
        <w:rPr>
          <w:lang w:val="en-GB" w:eastAsia="ja-JP"/>
        </w:rPr>
        <w:noBreakHyphen/>
        <w:t xml:space="preserve">leading verbal questioning of the participant is the preferred method to inquire about AE occurrences. </w:t>
      </w:r>
    </w:p>
    <w:p w:rsidR="005E6A25" w:rsidRDefault="00604672" w:rsidP="00395598">
      <w:pPr>
        <w:rPr>
          <w:lang w:val="en-GB" w:eastAsia="ja-JP"/>
        </w:rPr>
      </w:pPr>
      <w:r w:rsidRPr="00395598">
        <w:rPr>
          <w:lang w:val="en-GB" w:eastAsia="ja-JP"/>
        </w:rPr>
        <w:t>For some studies, participants are not always able to provide valid verbal responses to open</w:t>
      </w:r>
      <w:r w:rsidRPr="00395598">
        <w:rPr>
          <w:lang w:val="en-GB" w:eastAsia="ja-JP"/>
        </w:rPr>
        <w:noBreakHyphen/>
        <w:t>ended questions. In these circumstances, another method of detecting AEs and SAEs must be specified.</w:t>
      </w:r>
    </w:p>
    <w:p w:rsidR="0050180A" w:rsidRDefault="0050180A" w:rsidP="00395598">
      <w:pPr>
        <w:rPr>
          <w:lang w:val="en-GB" w:eastAsia="ja-JP"/>
        </w:rPr>
      </w:pPr>
    </w:p>
    <w:p w:rsidR="0050180A" w:rsidRDefault="0050180A" w:rsidP="00395598">
      <w:pPr>
        <w:rPr>
          <w:lang w:val="en-GB" w:eastAsia="ja-JP"/>
        </w:rPr>
      </w:pPr>
    </w:p>
    <w:p w:rsidR="0050180A" w:rsidRDefault="0050180A" w:rsidP="00395598">
      <w:pPr>
        <w:rPr>
          <w:lang w:val="en-GB" w:eastAsia="ja-JP"/>
        </w:rPr>
      </w:pPr>
    </w:p>
    <w:p w:rsidR="00395598" w:rsidRPr="00395598" w:rsidRDefault="00395598" w:rsidP="00395598">
      <w:pPr>
        <w:rPr>
          <w:lang w:val="en-GB" w:eastAsia="ja-JP"/>
        </w:rPr>
      </w:pPr>
    </w:p>
    <w:p w:rsidR="005E6A25" w:rsidRDefault="0041459E" w:rsidP="00395598">
      <w:pPr>
        <w:pStyle w:val="Nagwek2"/>
        <w:rPr>
          <w:rFonts w:ascii="Cambria" w:hAnsi="Cambria"/>
          <w:b/>
          <w:color w:val="auto"/>
          <w:sz w:val="24"/>
          <w:lang w:val="en-GB"/>
        </w:rPr>
      </w:pPr>
      <w:bookmarkStart w:id="101" w:name="_Ref376512157"/>
      <w:bookmarkStart w:id="102" w:name="_Toc378325831"/>
      <w:bookmarkStart w:id="103" w:name="_Toc379459701"/>
      <w:bookmarkStart w:id="104" w:name="_Toc421709268"/>
      <w:bookmarkStart w:id="105" w:name="_Toc451497792"/>
      <w:bookmarkStart w:id="106" w:name="_Toc38208571"/>
      <w:bookmarkStart w:id="107" w:name="_Toc86608133"/>
      <w:r w:rsidRPr="00395598">
        <w:rPr>
          <w:rFonts w:ascii="Cambria" w:hAnsi="Cambria"/>
          <w:b/>
          <w:color w:val="auto"/>
          <w:sz w:val="24"/>
          <w:lang w:val="en-GB"/>
        </w:rPr>
        <w:t>10.4</w:t>
      </w:r>
      <w:r w:rsidR="004B412F" w:rsidRPr="00395598">
        <w:rPr>
          <w:rFonts w:ascii="Cambria" w:hAnsi="Cambria"/>
          <w:b/>
          <w:color w:val="auto"/>
          <w:sz w:val="24"/>
          <w:lang w:val="en-GB"/>
        </w:rPr>
        <w:t>.</w:t>
      </w:r>
      <w:r w:rsidRPr="00395598">
        <w:rPr>
          <w:rFonts w:ascii="Cambria" w:hAnsi="Cambria"/>
          <w:b/>
          <w:color w:val="auto"/>
          <w:sz w:val="24"/>
          <w:lang w:val="en-GB"/>
        </w:rPr>
        <w:t xml:space="preserve"> </w:t>
      </w:r>
      <w:r w:rsidR="00604672" w:rsidRPr="00395598">
        <w:rPr>
          <w:rFonts w:ascii="Cambria" w:hAnsi="Cambria"/>
          <w:b/>
          <w:color w:val="auto"/>
          <w:sz w:val="24"/>
          <w:lang w:val="en-GB"/>
        </w:rPr>
        <w:t>Follow-up of AEs and SAE</w:t>
      </w:r>
      <w:bookmarkEnd w:id="101"/>
      <w:bookmarkEnd w:id="102"/>
      <w:bookmarkEnd w:id="103"/>
      <w:bookmarkEnd w:id="104"/>
      <w:r w:rsidR="00604672" w:rsidRPr="00395598">
        <w:rPr>
          <w:rFonts w:ascii="Cambria" w:hAnsi="Cambria"/>
          <w:b/>
          <w:color w:val="auto"/>
          <w:sz w:val="24"/>
          <w:lang w:val="en-GB"/>
        </w:rPr>
        <w:t>s</w:t>
      </w:r>
      <w:bookmarkEnd w:id="105"/>
      <w:bookmarkEnd w:id="106"/>
      <w:bookmarkEnd w:id="107"/>
    </w:p>
    <w:p w:rsidR="00395598" w:rsidRPr="00395598" w:rsidRDefault="00395598" w:rsidP="00395598">
      <w:pPr>
        <w:rPr>
          <w:lang w:val="en-GB"/>
        </w:rPr>
      </w:pPr>
    </w:p>
    <w:p w:rsidR="005E6A25" w:rsidRDefault="00604672">
      <w:pPr>
        <w:jc w:val="both"/>
        <w:rPr>
          <w:lang w:val="en-GB" w:eastAsia="ja-JP"/>
        </w:rPr>
      </w:pPr>
      <w:r w:rsidRPr="00604672">
        <w:rPr>
          <w:lang w:val="en-GB" w:eastAsia="ja-JP"/>
        </w:rPr>
        <w:t>After the initial AE/SAE report, the investigator is required to proactively follow each participant at subsequent visits/contacts. All SAEs will be followed until resolution, stabilization, the event is otherwise explained, or the p</w:t>
      </w:r>
      <w:r w:rsidR="00395598">
        <w:rPr>
          <w:lang w:val="en-GB" w:eastAsia="ja-JP"/>
        </w:rPr>
        <w:t>articipant is lost to follow-up</w:t>
      </w:r>
      <w:r w:rsidRPr="00604672">
        <w:rPr>
          <w:lang w:val="en-GB" w:eastAsia="ja-JP"/>
        </w:rPr>
        <w:t>.</w:t>
      </w:r>
    </w:p>
    <w:p w:rsidR="00395598" w:rsidRDefault="00395598">
      <w:pPr>
        <w:jc w:val="both"/>
        <w:rPr>
          <w:lang w:val="en-GB" w:eastAsia="ja-JP"/>
        </w:rPr>
      </w:pPr>
    </w:p>
    <w:p w:rsidR="005E6A25" w:rsidRDefault="0041459E" w:rsidP="00395598">
      <w:pPr>
        <w:pStyle w:val="Nagwek2"/>
        <w:rPr>
          <w:rFonts w:ascii="Cambria" w:hAnsi="Cambria"/>
          <w:b/>
          <w:color w:val="auto"/>
          <w:sz w:val="24"/>
          <w:lang w:val="en-GB"/>
        </w:rPr>
      </w:pPr>
      <w:bookmarkStart w:id="108" w:name="_Toc405198160"/>
      <w:bookmarkStart w:id="109" w:name="_Toc405198161"/>
      <w:bookmarkStart w:id="110" w:name="_Toc378325834"/>
      <w:bookmarkStart w:id="111" w:name="_Toc379459704"/>
      <w:bookmarkStart w:id="112" w:name="_Toc421709269"/>
      <w:bookmarkStart w:id="113" w:name="_Toc451497793"/>
      <w:bookmarkStart w:id="114" w:name="_Toc38208572"/>
      <w:bookmarkStart w:id="115" w:name="_Toc86608134"/>
      <w:bookmarkEnd w:id="108"/>
      <w:bookmarkEnd w:id="109"/>
      <w:r w:rsidRPr="00395598">
        <w:rPr>
          <w:rFonts w:ascii="Cambria" w:hAnsi="Cambria"/>
          <w:b/>
          <w:color w:val="auto"/>
          <w:sz w:val="24"/>
          <w:lang w:val="en-GB"/>
        </w:rPr>
        <w:lastRenderedPageBreak/>
        <w:t>10.5</w:t>
      </w:r>
      <w:r w:rsidR="004B412F" w:rsidRPr="00395598">
        <w:rPr>
          <w:rFonts w:ascii="Cambria" w:hAnsi="Cambria"/>
          <w:b/>
          <w:color w:val="auto"/>
          <w:sz w:val="24"/>
          <w:lang w:val="en-GB"/>
        </w:rPr>
        <w:t>.</w:t>
      </w:r>
      <w:r w:rsidRPr="00395598">
        <w:rPr>
          <w:rFonts w:ascii="Cambria" w:hAnsi="Cambria"/>
          <w:b/>
          <w:color w:val="auto"/>
          <w:sz w:val="24"/>
          <w:lang w:val="en-GB"/>
        </w:rPr>
        <w:t xml:space="preserve"> </w:t>
      </w:r>
      <w:r w:rsidR="00604672" w:rsidRPr="00395598">
        <w:rPr>
          <w:rFonts w:ascii="Cambria" w:hAnsi="Cambria"/>
          <w:b/>
          <w:color w:val="auto"/>
          <w:sz w:val="24"/>
          <w:lang w:val="en-GB"/>
        </w:rPr>
        <w:t>Regulatory Reporting Requirements for SAE</w:t>
      </w:r>
      <w:bookmarkEnd w:id="110"/>
      <w:bookmarkEnd w:id="111"/>
      <w:bookmarkEnd w:id="112"/>
      <w:r w:rsidR="00604672" w:rsidRPr="00395598">
        <w:rPr>
          <w:rFonts w:ascii="Cambria" w:hAnsi="Cambria"/>
          <w:b/>
          <w:color w:val="auto"/>
          <w:sz w:val="24"/>
          <w:lang w:val="en-GB"/>
        </w:rPr>
        <w:t>s</w:t>
      </w:r>
      <w:bookmarkEnd w:id="113"/>
      <w:bookmarkEnd w:id="114"/>
      <w:bookmarkEnd w:id="115"/>
    </w:p>
    <w:p w:rsidR="00395598" w:rsidRPr="00395598" w:rsidRDefault="00395598" w:rsidP="00395598">
      <w:pPr>
        <w:rPr>
          <w:lang w:val="en-GB"/>
        </w:rPr>
      </w:pPr>
    </w:p>
    <w:p w:rsidR="005E6A25" w:rsidRDefault="00604672">
      <w:pPr>
        <w:pStyle w:val="Akapitzlist"/>
        <w:numPr>
          <w:ilvl w:val="0"/>
          <w:numId w:val="21"/>
        </w:numPr>
        <w:spacing w:before="14" w:after="144" w:line="300" w:lineRule="atLeast"/>
        <w:jc w:val="both"/>
        <w:rPr>
          <w:lang w:val="en-GB" w:eastAsia="ja-JP"/>
        </w:rPr>
      </w:pPr>
      <w:r w:rsidRPr="00604672">
        <w:rPr>
          <w:lang w:val="en-GB" w:eastAsia="ja-JP"/>
        </w:rPr>
        <w:t xml:space="preserve">Prompt notification by the investigator to the sponsor of a SAE is essential so that legal obligations and ethical responsibilities towards the safety of participants and the safety of a study treatment under clinical investigation are met. </w:t>
      </w:r>
    </w:p>
    <w:p w:rsidR="005E6A25" w:rsidRDefault="00604672">
      <w:pPr>
        <w:pStyle w:val="Akapitzlist"/>
        <w:numPr>
          <w:ilvl w:val="0"/>
          <w:numId w:val="21"/>
        </w:numPr>
        <w:spacing w:before="14" w:after="144" w:line="300" w:lineRule="atLeast"/>
        <w:jc w:val="both"/>
        <w:rPr>
          <w:lang w:val="en-GB" w:eastAsia="ja-JP"/>
        </w:rPr>
      </w:pPr>
      <w:r w:rsidRPr="00604672">
        <w:rPr>
          <w:lang w:val="en-GB" w:eastAsia="ja-JP"/>
        </w:rPr>
        <w:t xml:space="preserve">The sponsor has a legal responsibility to notify both the local regulatory authority and other regulatory agencies about the safety of a study treatment under clinical investigation. The sponsor will comply with country-specific regulatory requirements relating to safety reporting to the regulatory authority, </w:t>
      </w:r>
      <w:r w:rsidRPr="00604672">
        <w:rPr>
          <w:lang w:val="en-GB"/>
        </w:rPr>
        <w:t>Independent Ethics Committees (IEC)</w:t>
      </w:r>
      <w:r w:rsidRPr="00604672">
        <w:rPr>
          <w:lang w:val="en-GB" w:eastAsia="ja-JP"/>
        </w:rPr>
        <w:t>, and investigators.</w:t>
      </w:r>
    </w:p>
    <w:p w:rsidR="005E6A25" w:rsidRDefault="00604672">
      <w:pPr>
        <w:pStyle w:val="Akapitzlist"/>
        <w:numPr>
          <w:ilvl w:val="0"/>
          <w:numId w:val="21"/>
        </w:numPr>
        <w:spacing w:before="14" w:after="144" w:line="300" w:lineRule="atLeast"/>
        <w:jc w:val="both"/>
        <w:rPr>
          <w:lang w:val="en-GB" w:eastAsia="ja-JP"/>
        </w:rPr>
      </w:pPr>
      <w:r w:rsidRPr="00604672">
        <w:rPr>
          <w:lang w:val="en-GB" w:eastAsia="ja-JP"/>
        </w:rPr>
        <w:t>Investigator safety reports must be prepared for suspected unexpected serious adverse reactions (SUSAR) according to local regulatory requirements and sponsor policy and forwarded to investigators as necessary.</w:t>
      </w:r>
    </w:p>
    <w:p w:rsidR="005E6A25" w:rsidRDefault="00604672">
      <w:pPr>
        <w:pStyle w:val="Akapitzlist"/>
        <w:numPr>
          <w:ilvl w:val="0"/>
          <w:numId w:val="21"/>
        </w:numPr>
        <w:spacing w:before="14" w:after="144" w:line="300" w:lineRule="atLeast"/>
        <w:jc w:val="both"/>
        <w:rPr>
          <w:lang w:val="en-GB" w:eastAsia="ja-JP"/>
        </w:rPr>
      </w:pPr>
      <w:r w:rsidRPr="00604672">
        <w:rPr>
          <w:lang w:val="en-GB" w:eastAsia="ja-JP"/>
        </w:rPr>
        <w:t>An investigator who receives an investigator safety report describing a SAE or other specific safety information (</w:t>
      </w:r>
      <w:proofErr w:type="spellStart"/>
      <w:r w:rsidRPr="00604672">
        <w:rPr>
          <w:lang w:val="en-GB" w:eastAsia="ja-JP"/>
        </w:rPr>
        <w:t>eg</w:t>
      </w:r>
      <w:proofErr w:type="spellEnd"/>
      <w:r w:rsidRPr="00604672">
        <w:rPr>
          <w:lang w:val="en-GB" w:eastAsia="ja-JP"/>
        </w:rPr>
        <w:t>, summary or listing of SAEs) from the sponsor will review and then file it along with the Investigator’s Brochure and will notify the IRB/IEC, if appropriate according to local requirements.</w:t>
      </w:r>
    </w:p>
    <w:p w:rsidR="005E6A25" w:rsidRDefault="005E6A25">
      <w:pPr>
        <w:pStyle w:val="Default"/>
        <w:jc w:val="both"/>
        <w:rPr>
          <w:rFonts w:ascii="Cambria" w:hAnsi="Cambria"/>
          <w:b/>
          <w:bCs/>
          <w:color w:val="auto"/>
          <w:lang w:val="en-GB"/>
        </w:rPr>
      </w:pPr>
    </w:p>
    <w:p w:rsidR="005E6A25" w:rsidRDefault="0041459E" w:rsidP="00395598">
      <w:pPr>
        <w:pStyle w:val="Nagwek1"/>
        <w:rPr>
          <w:rFonts w:ascii="Cambria" w:hAnsi="Cambria"/>
          <w:b/>
          <w:color w:val="auto"/>
          <w:sz w:val="24"/>
          <w:szCs w:val="24"/>
          <w:lang w:val="en-GB"/>
        </w:rPr>
      </w:pPr>
      <w:bookmarkStart w:id="116" w:name="_Toc86608135"/>
      <w:r w:rsidRPr="00395598">
        <w:rPr>
          <w:rFonts w:ascii="Cambria" w:hAnsi="Cambria"/>
          <w:b/>
          <w:color w:val="auto"/>
          <w:sz w:val="24"/>
          <w:szCs w:val="24"/>
          <w:lang w:val="en-GB"/>
        </w:rPr>
        <w:t xml:space="preserve">11. </w:t>
      </w:r>
      <w:r w:rsidR="00604672" w:rsidRPr="00395598">
        <w:rPr>
          <w:rFonts w:ascii="Cambria" w:hAnsi="Cambria"/>
          <w:b/>
          <w:color w:val="auto"/>
          <w:sz w:val="24"/>
          <w:szCs w:val="24"/>
          <w:lang w:val="en-GB"/>
        </w:rPr>
        <w:t>Pregnancies</w:t>
      </w:r>
      <w:bookmarkEnd w:id="116"/>
      <w:r w:rsidR="00604672" w:rsidRPr="00395598">
        <w:rPr>
          <w:rFonts w:ascii="Cambria" w:hAnsi="Cambria"/>
          <w:b/>
          <w:color w:val="auto"/>
          <w:sz w:val="24"/>
          <w:szCs w:val="24"/>
          <w:lang w:val="en-GB"/>
        </w:rPr>
        <w:t xml:space="preserve"> </w:t>
      </w:r>
    </w:p>
    <w:p w:rsidR="00395598" w:rsidRPr="00395598" w:rsidRDefault="00395598" w:rsidP="00395598">
      <w:pPr>
        <w:rPr>
          <w:lang w:val="en-GB"/>
        </w:rPr>
      </w:pPr>
    </w:p>
    <w:p w:rsidR="005E6A25" w:rsidRDefault="00604672" w:rsidP="00395598">
      <w:pPr>
        <w:rPr>
          <w:lang w:val="en-GB"/>
        </w:rPr>
      </w:pPr>
      <w:bookmarkStart w:id="117" w:name="_Toc38208573"/>
      <w:bookmarkStart w:id="118" w:name="_Toc38210621"/>
      <w:r w:rsidRPr="00604672">
        <w:rPr>
          <w:lang w:val="en-GB"/>
        </w:rPr>
        <w:t xml:space="preserve">Should a pregnancy occur in a female patient, or in a female partner of a male patient, it </w:t>
      </w:r>
      <w:r w:rsidRPr="00392B5C">
        <w:rPr>
          <w:lang w:val="en-US"/>
        </w:rPr>
        <w:t>must be reported to the sponsor within 24 hours of the first awareness of the event. The trial participation of patients who become pregnant during the trial after signing the informed consent will be discontinued immediately.</w:t>
      </w:r>
      <w:bookmarkEnd w:id="117"/>
      <w:bookmarkEnd w:id="118"/>
      <w:r w:rsidRPr="00604672">
        <w:rPr>
          <w:lang w:val="en-GB"/>
        </w:rPr>
        <w:t xml:space="preserve"> </w:t>
      </w:r>
    </w:p>
    <w:p w:rsidR="0017506E" w:rsidRPr="00573C3D" w:rsidRDefault="0017506E" w:rsidP="00573C3D">
      <w:pPr>
        <w:jc w:val="both"/>
        <w:rPr>
          <w:rFonts w:eastAsia="Times New Roman"/>
          <w:lang w:val="en-GB"/>
        </w:rPr>
      </w:pPr>
    </w:p>
    <w:p w:rsidR="005E6A25" w:rsidRPr="00395598" w:rsidRDefault="0041459E" w:rsidP="00395598">
      <w:pPr>
        <w:pStyle w:val="Nagwek1"/>
        <w:rPr>
          <w:rFonts w:ascii="Cambria" w:hAnsi="Cambria"/>
          <w:b/>
          <w:color w:val="auto"/>
          <w:sz w:val="24"/>
          <w:szCs w:val="24"/>
          <w:lang w:val="en-GB" w:eastAsia="it-IT"/>
        </w:rPr>
      </w:pPr>
      <w:bookmarkStart w:id="119" w:name="_Toc86608136"/>
      <w:r w:rsidRPr="00395598">
        <w:rPr>
          <w:rFonts w:ascii="Cambria" w:hAnsi="Cambria"/>
          <w:b/>
          <w:color w:val="auto"/>
          <w:sz w:val="24"/>
          <w:szCs w:val="24"/>
          <w:lang w:val="en-GB" w:eastAsia="it-IT"/>
        </w:rPr>
        <w:t>12.</w:t>
      </w:r>
      <w:r w:rsidR="004B412F" w:rsidRPr="00395598">
        <w:rPr>
          <w:rFonts w:ascii="Cambria" w:hAnsi="Cambria"/>
          <w:b/>
          <w:color w:val="auto"/>
          <w:sz w:val="24"/>
          <w:szCs w:val="24"/>
          <w:lang w:val="en-GB" w:eastAsia="it-IT"/>
        </w:rPr>
        <w:t xml:space="preserve"> </w:t>
      </w:r>
      <w:r w:rsidR="00604672" w:rsidRPr="00395598">
        <w:rPr>
          <w:rFonts w:ascii="Cambria" w:hAnsi="Cambria"/>
          <w:b/>
          <w:color w:val="auto"/>
          <w:sz w:val="24"/>
          <w:szCs w:val="24"/>
          <w:lang w:val="en-GB" w:eastAsia="it-IT"/>
        </w:rPr>
        <w:t>Patient withdrawal from trial participation</w:t>
      </w:r>
      <w:bookmarkEnd w:id="119"/>
      <w:r w:rsidR="00604672" w:rsidRPr="00395598">
        <w:rPr>
          <w:rFonts w:ascii="Cambria" w:hAnsi="Cambria"/>
          <w:b/>
          <w:color w:val="auto"/>
          <w:sz w:val="24"/>
          <w:szCs w:val="24"/>
          <w:lang w:val="en-GB" w:eastAsia="it-IT"/>
        </w:rPr>
        <w:t xml:space="preserve"> </w:t>
      </w:r>
    </w:p>
    <w:p w:rsidR="00395598" w:rsidRDefault="00395598">
      <w:pPr>
        <w:autoSpaceDE w:val="0"/>
        <w:autoSpaceDN w:val="0"/>
        <w:adjustRightInd w:val="0"/>
        <w:jc w:val="both"/>
        <w:rPr>
          <w:lang w:val="en-GB" w:eastAsia="it-IT"/>
        </w:rPr>
      </w:pPr>
    </w:p>
    <w:p w:rsidR="005E6A25" w:rsidRDefault="00604672">
      <w:pPr>
        <w:autoSpaceDE w:val="0"/>
        <w:autoSpaceDN w:val="0"/>
        <w:adjustRightInd w:val="0"/>
        <w:jc w:val="both"/>
        <w:rPr>
          <w:lang w:val="en-GB" w:eastAsia="it-IT"/>
        </w:rPr>
      </w:pPr>
      <w:r w:rsidRPr="00604672">
        <w:rPr>
          <w:lang w:val="en-GB" w:eastAsia="it-IT"/>
        </w:rPr>
        <w:t xml:space="preserve">Participation in the trial is voluntary and patients may withdraw from the trial at any time and for any reason. However, all patients will be encouraged to complete the trial. All patients withdrawing from the trial will be encouraged to complete the </w:t>
      </w:r>
      <w:proofErr w:type="spellStart"/>
      <w:r w:rsidRPr="00604672">
        <w:rPr>
          <w:lang w:val="en-GB" w:eastAsia="it-IT"/>
        </w:rPr>
        <w:t>EoS</w:t>
      </w:r>
      <w:proofErr w:type="spellEnd"/>
      <w:r w:rsidRPr="00604672">
        <w:rPr>
          <w:lang w:val="en-GB" w:eastAsia="it-IT"/>
        </w:rPr>
        <w:t xml:space="preserve"> assessment 28 days (+/- 2 days) after the last intake of the IMP.</w:t>
      </w:r>
    </w:p>
    <w:p w:rsidR="005E6A25" w:rsidRDefault="005E6A25">
      <w:pPr>
        <w:autoSpaceDE w:val="0"/>
        <w:autoSpaceDN w:val="0"/>
        <w:adjustRightInd w:val="0"/>
        <w:jc w:val="both"/>
        <w:rPr>
          <w:lang w:val="en-GB" w:eastAsia="it-IT"/>
        </w:rPr>
      </w:pPr>
    </w:p>
    <w:p w:rsidR="005E6A25" w:rsidRDefault="00604672">
      <w:pPr>
        <w:autoSpaceDE w:val="0"/>
        <w:autoSpaceDN w:val="0"/>
        <w:adjustRightInd w:val="0"/>
        <w:jc w:val="both"/>
        <w:rPr>
          <w:lang w:val="en-GB" w:eastAsia="it-IT"/>
        </w:rPr>
      </w:pPr>
      <w:r w:rsidRPr="00604672">
        <w:rPr>
          <w:lang w:val="en-GB" w:eastAsia="it-IT"/>
        </w:rPr>
        <w:t xml:space="preserve">The primary reason leading to patient withdrawal will be documented as: </w:t>
      </w:r>
    </w:p>
    <w:p w:rsidR="005E6A25" w:rsidRDefault="00604672">
      <w:pPr>
        <w:autoSpaceDE w:val="0"/>
        <w:autoSpaceDN w:val="0"/>
        <w:adjustRightInd w:val="0"/>
        <w:spacing w:after="95"/>
        <w:jc w:val="both"/>
        <w:rPr>
          <w:lang w:val="en-GB" w:eastAsia="it-IT"/>
        </w:rPr>
      </w:pPr>
      <w:r w:rsidRPr="00604672">
        <w:rPr>
          <w:lang w:val="en-GB" w:eastAsia="it-IT"/>
        </w:rPr>
        <w:t xml:space="preserve">• Patient withdraws consent due to </w:t>
      </w:r>
    </w:p>
    <w:p w:rsidR="005E6A25" w:rsidRDefault="00604672">
      <w:pPr>
        <w:autoSpaceDE w:val="0"/>
        <w:autoSpaceDN w:val="0"/>
        <w:adjustRightInd w:val="0"/>
        <w:spacing w:after="95"/>
        <w:jc w:val="both"/>
        <w:rPr>
          <w:lang w:val="en-GB" w:eastAsia="it-IT"/>
        </w:rPr>
      </w:pPr>
      <w:r w:rsidRPr="00604672">
        <w:rPr>
          <w:rFonts w:cs="Courier New"/>
          <w:lang w:val="en-GB" w:eastAsia="it-IT"/>
        </w:rPr>
        <w:t xml:space="preserve">o </w:t>
      </w:r>
      <w:r w:rsidRPr="00604672">
        <w:rPr>
          <w:lang w:val="en-GB" w:eastAsia="it-IT"/>
        </w:rPr>
        <w:t xml:space="preserve">AE(s) </w:t>
      </w:r>
    </w:p>
    <w:p w:rsidR="005E6A25" w:rsidRDefault="00604672">
      <w:pPr>
        <w:autoSpaceDE w:val="0"/>
        <w:autoSpaceDN w:val="0"/>
        <w:adjustRightInd w:val="0"/>
        <w:spacing w:after="95"/>
        <w:jc w:val="both"/>
        <w:rPr>
          <w:lang w:val="en-GB" w:eastAsia="it-IT"/>
        </w:rPr>
      </w:pPr>
      <w:r w:rsidRPr="00604672">
        <w:rPr>
          <w:rFonts w:cs="Courier New"/>
          <w:lang w:val="en-GB" w:eastAsia="it-IT"/>
        </w:rPr>
        <w:t xml:space="preserve">o </w:t>
      </w:r>
      <w:r w:rsidRPr="00604672">
        <w:rPr>
          <w:lang w:val="en-GB" w:eastAsia="it-IT"/>
        </w:rPr>
        <w:t xml:space="preserve">other reason (to be specified) </w:t>
      </w:r>
    </w:p>
    <w:p w:rsidR="005E6A25" w:rsidRDefault="00604672">
      <w:pPr>
        <w:autoSpaceDE w:val="0"/>
        <w:autoSpaceDN w:val="0"/>
        <w:adjustRightInd w:val="0"/>
        <w:spacing w:after="95"/>
        <w:jc w:val="both"/>
        <w:rPr>
          <w:lang w:val="en-GB" w:eastAsia="it-IT"/>
        </w:rPr>
      </w:pPr>
      <w:r w:rsidRPr="00604672">
        <w:rPr>
          <w:lang w:val="en-GB" w:eastAsia="it-IT"/>
        </w:rPr>
        <w:t xml:space="preserve">• Investigator decision due to </w:t>
      </w:r>
    </w:p>
    <w:p w:rsidR="005E6A25" w:rsidRDefault="00604672">
      <w:pPr>
        <w:autoSpaceDE w:val="0"/>
        <w:autoSpaceDN w:val="0"/>
        <w:adjustRightInd w:val="0"/>
        <w:spacing w:after="95"/>
        <w:jc w:val="both"/>
        <w:rPr>
          <w:lang w:val="en-GB" w:eastAsia="it-IT"/>
        </w:rPr>
      </w:pPr>
      <w:r w:rsidRPr="00604672">
        <w:rPr>
          <w:rFonts w:cs="Courier New"/>
          <w:lang w:val="en-GB" w:eastAsia="it-IT"/>
        </w:rPr>
        <w:t xml:space="preserve">o </w:t>
      </w:r>
      <w:r w:rsidRPr="00604672">
        <w:rPr>
          <w:lang w:val="en-GB" w:eastAsia="it-IT"/>
        </w:rPr>
        <w:t xml:space="preserve">AE(s), which in the opinion of the investigator may jeopardize the patient’s health or may compromise the trial objectives </w:t>
      </w:r>
    </w:p>
    <w:p w:rsidR="005E6A25" w:rsidRDefault="00604672">
      <w:pPr>
        <w:autoSpaceDE w:val="0"/>
        <w:autoSpaceDN w:val="0"/>
        <w:adjustRightInd w:val="0"/>
        <w:spacing w:after="95"/>
        <w:jc w:val="both"/>
        <w:rPr>
          <w:lang w:val="en-GB" w:eastAsia="it-IT"/>
        </w:rPr>
      </w:pPr>
      <w:r w:rsidRPr="00604672">
        <w:rPr>
          <w:rFonts w:cs="Courier New"/>
          <w:lang w:val="en-GB" w:eastAsia="it-IT"/>
        </w:rPr>
        <w:t xml:space="preserve">o </w:t>
      </w:r>
      <w:r w:rsidRPr="00604672">
        <w:rPr>
          <w:lang w:val="en-GB" w:eastAsia="it-IT"/>
        </w:rPr>
        <w:t xml:space="preserve">relevant non-compliance with the protocol, which in the opinion of the investigator may jeopardize the trial integrity or scientific goals of the trial </w:t>
      </w:r>
    </w:p>
    <w:p w:rsidR="005E6A25" w:rsidRDefault="00604672">
      <w:pPr>
        <w:autoSpaceDE w:val="0"/>
        <w:autoSpaceDN w:val="0"/>
        <w:adjustRightInd w:val="0"/>
        <w:jc w:val="both"/>
        <w:rPr>
          <w:color w:val="000000"/>
          <w:lang w:val="en-GB" w:eastAsia="it-IT"/>
        </w:rPr>
      </w:pPr>
      <w:r w:rsidRPr="00604672">
        <w:rPr>
          <w:rFonts w:cs="Courier New"/>
          <w:lang w:val="en-GB" w:eastAsia="it-IT"/>
        </w:rPr>
        <w:t xml:space="preserve">o </w:t>
      </w:r>
      <w:r w:rsidRPr="00604672">
        <w:rPr>
          <w:lang w:val="en-GB" w:eastAsia="it-IT"/>
        </w:rPr>
        <w:t xml:space="preserve">reasons other than AE or non-compliance (to be specified) </w:t>
      </w:r>
    </w:p>
    <w:p w:rsidR="005E6A25" w:rsidRDefault="00604672">
      <w:pPr>
        <w:autoSpaceDE w:val="0"/>
        <w:autoSpaceDN w:val="0"/>
        <w:adjustRightInd w:val="0"/>
        <w:jc w:val="both"/>
        <w:rPr>
          <w:lang w:val="en-GB" w:eastAsia="it-IT"/>
        </w:rPr>
      </w:pPr>
      <w:r w:rsidRPr="00604672">
        <w:rPr>
          <w:lang w:val="en-GB" w:eastAsia="it-IT"/>
        </w:rPr>
        <w:t xml:space="preserve">• Pregnancy </w:t>
      </w:r>
    </w:p>
    <w:p w:rsidR="005E6A25" w:rsidRDefault="00604672">
      <w:pPr>
        <w:autoSpaceDE w:val="0"/>
        <w:autoSpaceDN w:val="0"/>
        <w:adjustRightInd w:val="0"/>
        <w:jc w:val="both"/>
        <w:rPr>
          <w:lang w:val="en-GB" w:eastAsia="it-IT"/>
        </w:rPr>
      </w:pPr>
      <w:r w:rsidRPr="00604672">
        <w:rPr>
          <w:lang w:val="en-GB" w:eastAsia="it-IT"/>
        </w:rPr>
        <w:t xml:space="preserve">•  Treatment with prohibited concomitant medication </w:t>
      </w:r>
    </w:p>
    <w:p w:rsidR="005E6A25" w:rsidRDefault="00604672">
      <w:pPr>
        <w:autoSpaceDE w:val="0"/>
        <w:autoSpaceDN w:val="0"/>
        <w:adjustRightInd w:val="0"/>
        <w:jc w:val="both"/>
        <w:rPr>
          <w:lang w:val="en-GB" w:eastAsia="it-IT"/>
        </w:rPr>
      </w:pPr>
      <w:r w:rsidRPr="00604672">
        <w:rPr>
          <w:lang w:val="en-GB" w:eastAsia="it-IT"/>
        </w:rPr>
        <w:lastRenderedPageBreak/>
        <w:t xml:space="preserve">• Violation of inclusion or exclusion criteria noted only after randomization </w:t>
      </w:r>
    </w:p>
    <w:p w:rsidR="005E6A25" w:rsidRDefault="00604672">
      <w:pPr>
        <w:autoSpaceDE w:val="0"/>
        <w:autoSpaceDN w:val="0"/>
        <w:adjustRightInd w:val="0"/>
        <w:jc w:val="both"/>
        <w:rPr>
          <w:lang w:val="en-GB" w:eastAsia="it-IT"/>
        </w:rPr>
      </w:pPr>
      <w:r w:rsidRPr="00604672">
        <w:rPr>
          <w:lang w:val="en-GB" w:eastAsia="it-IT"/>
        </w:rPr>
        <w:t xml:space="preserve">• The trial is terminated by the sponsor </w:t>
      </w:r>
    </w:p>
    <w:p w:rsidR="005E6A25" w:rsidRDefault="005E6A25">
      <w:pPr>
        <w:autoSpaceDE w:val="0"/>
        <w:autoSpaceDN w:val="0"/>
        <w:adjustRightInd w:val="0"/>
        <w:jc w:val="both"/>
        <w:rPr>
          <w:lang w:val="en-GB" w:eastAsia="it-IT"/>
        </w:rPr>
      </w:pPr>
    </w:p>
    <w:p w:rsidR="005E6A25" w:rsidRDefault="00604672">
      <w:pPr>
        <w:autoSpaceDE w:val="0"/>
        <w:autoSpaceDN w:val="0"/>
        <w:adjustRightInd w:val="0"/>
        <w:jc w:val="both"/>
        <w:rPr>
          <w:lang w:val="en-GB" w:eastAsia="it-IT"/>
        </w:rPr>
      </w:pPr>
      <w:r w:rsidRPr="00604672">
        <w:rPr>
          <w:lang w:val="en-GB" w:eastAsia="it-IT"/>
        </w:rPr>
        <w:t xml:space="preserve">The primary reason for discontinuation from the trial is to be recorded in the source documents and on the early termination page of the eCRF. </w:t>
      </w:r>
    </w:p>
    <w:p w:rsidR="005E6A25" w:rsidRDefault="00604672">
      <w:pPr>
        <w:autoSpaceDE w:val="0"/>
        <w:autoSpaceDN w:val="0"/>
        <w:adjustRightInd w:val="0"/>
        <w:jc w:val="both"/>
        <w:rPr>
          <w:lang w:val="en-GB" w:eastAsia="it-IT"/>
        </w:rPr>
      </w:pPr>
      <w:r w:rsidRPr="00604672">
        <w:rPr>
          <w:lang w:val="en-GB" w:eastAsia="it-IT"/>
        </w:rPr>
        <w:t xml:space="preserve">If the patient withdraws consent, no further evaluations should be performed and no attempts should be made to collect additional data. </w:t>
      </w:r>
    </w:p>
    <w:p w:rsidR="005E6A25" w:rsidRDefault="00604672">
      <w:pPr>
        <w:autoSpaceDE w:val="0"/>
        <w:autoSpaceDN w:val="0"/>
        <w:adjustRightInd w:val="0"/>
        <w:jc w:val="both"/>
        <w:rPr>
          <w:lang w:val="en-GB" w:eastAsia="it-IT"/>
        </w:rPr>
      </w:pPr>
      <w:r w:rsidRPr="00604672">
        <w:rPr>
          <w:lang w:val="en-GB" w:eastAsia="it-IT"/>
        </w:rPr>
        <w:t xml:space="preserve">Patients who prematurely discontinue the trial will be treated according to the investigator’s discretion and standard treatment guidelines, irrespective of the reason for withdrawal, and will not be replaced. </w:t>
      </w:r>
    </w:p>
    <w:p w:rsidR="005E6A25" w:rsidRDefault="00604672">
      <w:pPr>
        <w:autoSpaceDE w:val="0"/>
        <w:autoSpaceDN w:val="0"/>
        <w:adjustRightInd w:val="0"/>
        <w:jc w:val="both"/>
        <w:rPr>
          <w:lang w:val="en-GB" w:eastAsia="it-IT"/>
        </w:rPr>
      </w:pPr>
      <w:r w:rsidRPr="00604672">
        <w:rPr>
          <w:lang w:val="en-GB" w:eastAsia="it-IT"/>
        </w:rPr>
        <w:t xml:space="preserve">Reasonable efforts will be made to contact any patient lost to follow up, to complete assessments (including an </w:t>
      </w:r>
      <w:proofErr w:type="spellStart"/>
      <w:r w:rsidRPr="00604672">
        <w:rPr>
          <w:lang w:val="en-GB" w:eastAsia="it-IT"/>
        </w:rPr>
        <w:t>EoS</w:t>
      </w:r>
      <w:proofErr w:type="spellEnd"/>
      <w:r w:rsidRPr="00604672">
        <w:rPr>
          <w:lang w:val="en-GB" w:eastAsia="it-IT"/>
        </w:rPr>
        <w:t xml:space="preserve"> assessment) and to retrieve any outstanding data and IMP and supplies. </w:t>
      </w:r>
    </w:p>
    <w:p w:rsidR="005E6A25" w:rsidRDefault="00604672">
      <w:pPr>
        <w:pStyle w:val="Default"/>
        <w:jc w:val="both"/>
        <w:rPr>
          <w:rFonts w:ascii="Cambria" w:hAnsi="Cambria" w:cs="Times New Roman"/>
          <w:color w:val="auto"/>
          <w:lang w:val="en-GB" w:eastAsia="it-IT"/>
        </w:rPr>
      </w:pPr>
      <w:r w:rsidRPr="00604672">
        <w:rPr>
          <w:rFonts w:ascii="Cambria" w:hAnsi="Cambria" w:cs="Times New Roman"/>
          <w:color w:val="auto"/>
          <w:lang w:val="en-GB" w:eastAsia="it-IT"/>
        </w:rPr>
        <w:t xml:space="preserve">If the IMP will be prematurely discontinued, the primary reason for discontinuation is to be recorded in the appropriate section of the eCRF. Patients who discontinue therapy with IMP will be encouraged to continue with study-related assessments (including </w:t>
      </w:r>
      <w:proofErr w:type="spellStart"/>
      <w:r w:rsidRPr="00604672">
        <w:rPr>
          <w:rFonts w:ascii="Cambria" w:hAnsi="Cambria" w:cs="Times New Roman"/>
          <w:color w:val="auto"/>
          <w:lang w:val="en-GB" w:eastAsia="it-IT"/>
        </w:rPr>
        <w:t>EoS</w:t>
      </w:r>
      <w:proofErr w:type="spellEnd"/>
      <w:r w:rsidRPr="00604672">
        <w:rPr>
          <w:rFonts w:ascii="Cambria" w:hAnsi="Cambria" w:cs="Times New Roman"/>
          <w:color w:val="auto"/>
          <w:lang w:val="en-GB" w:eastAsia="it-IT"/>
        </w:rPr>
        <w:t xml:space="preserve"> visit) until their trial completion. </w:t>
      </w:r>
    </w:p>
    <w:p w:rsidR="005E6A25" w:rsidRDefault="005E6A25">
      <w:pPr>
        <w:pStyle w:val="Default"/>
        <w:jc w:val="both"/>
        <w:rPr>
          <w:rFonts w:ascii="Cambria" w:hAnsi="Cambria" w:cs="Times New Roman"/>
          <w:color w:val="auto"/>
          <w:lang w:val="en-GB" w:eastAsia="it-IT"/>
        </w:rPr>
      </w:pPr>
    </w:p>
    <w:p w:rsidR="005E6A25" w:rsidRDefault="00604672" w:rsidP="00395598">
      <w:pPr>
        <w:pStyle w:val="Nagwek1"/>
        <w:rPr>
          <w:rFonts w:ascii="Cambria" w:hAnsi="Cambria"/>
          <w:b/>
          <w:color w:val="auto"/>
          <w:sz w:val="24"/>
          <w:szCs w:val="24"/>
          <w:lang w:val="en-GB" w:eastAsia="it-IT"/>
        </w:rPr>
      </w:pPr>
      <w:bookmarkStart w:id="120" w:name="_Toc86608137"/>
      <w:r w:rsidRPr="00395598">
        <w:rPr>
          <w:rFonts w:ascii="Cambria" w:hAnsi="Cambria"/>
          <w:b/>
          <w:color w:val="auto"/>
          <w:sz w:val="24"/>
          <w:szCs w:val="24"/>
          <w:lang w:val="en-GB" w:eastAsia="it-IT"/>
        </w:rPr>
        <w:t>13. Lost to Follow Up</w:t>
      </w:r>
      <w:bookmarkEnd w:id="120"/>
    </w:p>
    <w:p w:rsidR="00395598" w:rsidRPr="00395598" w:rsidRDefault="00395598" w:rsidP="00395598">
      <w:pPr>
        <w:rPr>
          <w:lang w:val="en-GB" w:eastAsia="it-IT"/>
        </w:rPr>
      </w:pPr>
    </w:p>
    <w:p w:rsidR="005E6A25" w:rsidRDefault="00604672">
      <w:pPr>
        <w:pStyle w:val="CPTInstructional"/>
        <w:jc w:val="both"/>
        <w:rPr>
          <w:rFonts w:ascii="Cambria" w:hAnsi="Cambria"/>
          <w:color w:val="auto"/>
          <w:sz w:val="24"/>
          <w:szCs w:val="24"/>
          <w:lang w:val="en-GB"/>
        </w:rPr>
      </w:pPr>
      <w:r w:rsidRPr="00604672">
        <w:rPr>
          <w:rFonts w:ascii="Cambria" w:hAnsi="Cambria"/>
          <w:color w:val="auto"/>
          <w:sz w:val="24"/>
          <w:szCs w:val="24"/>
          <w:lang w:val="en-GB"/>
        </w:rPr>
        <w:t>Include a brief section on how the study will define and address lost to follow-up participants to help limit the amount and impact of missing data.</w:t>
      </w:r>
    </w:p>
    <w:p w:rsidR="005E6A25" w:rsidRDefault="00604672">
      <w:pPr>
        <w:keepNext/>
        <w:keepLines/>
        <w:jc w:val="both"/>
        <w:rPr>
          <w:lang w:val="en-GB" w:eastAsia="ja-JP"/>
        </w:rPr>
      </w:pPr>
      <w:r w:rsidRPr="00604672">
        <w:rPr>
          <w:lang w:val="en-GB" w:eastAsia="ja-JP"/>
        </w:rPr>
        <w:t xml:space="preserve">A </w:t>
      </w:r>
      <w:r w:rsidRPr="00604672">
        <w:rPr>
          <w:lang w:val="en-GB"/>
        </w:rPr>
        <w:t>patient</w:t>
      </w:r>
      <w:r w:rsidRPr="00604672">
        <w:rPr>
          <w:lang w:val="en-GB" w:eastAsia="ja-JP"/>
        </w:rPr>
        <w:t xml:space="preserve"> will be considered lost to follow-up if he or she repeatedly fails to return for scheduled visits and is unable to be contacted by the study site. </w:t>
      </w:r>
    </w:p>
    <w:p w:rsidR="005E6A25" w:rsidRDefault="00604672">
      <w:pPr>
        <w:jc w:val="both"/>
        <w:rPr>
          <w:rFonts w:eastAsia="Times New Roman"/>
          <w:lang w:val="en-GB"/>
        </w:rPr>
      </w:pPr>
      <w:r w:rsidRPr="00604672">
        <w:rPr>
          <w:rFonts w:eastAsia="Times New Roman"/>
          <w:lang w:val="en-GB"/>
        </w:rPr>
        <w:t>The following actions must be taken if a patient fails to return to the clinic for a required study visit:</w:t>
      </w:r>
    </w:p>
    <w:p w:rsidR="005E6A25" w:rsidRDefault="00604672">
      <w:pPr>
        <w:pStyle w:val="Akapitzlist"/>
        <w:numPr>
          <w:ilvl w:val="0"/>
          <w:numId w:val="19"/>
        </w:numPr>
        <w:spacing w:before="14" w:after="144" w:line="300" w:lineRule="atLeast"/>
        <w:ind w:left="720"/>
        <w:jc w:val="both"/>
        <w:rPr>
          <w:lang w:val="en-GB"/>
        </w:rPr>
      </w:pPr>
      <w:r w:rsidRPr="00604672">
        <w:rPr>
          <w:lang w:val="en-GB"/>
        </w:rPr>
        <w:t>The site must attempt to contact the patient and reschedule the missed visit as soon as possible and counsel the patient on the importance of maintaining the assigned visit schedule and ascertain whether or not the patient wishes to and/or should continue in the study.</w:t>
      </w:r>
    </w:p>
    <w:p w:rsidR="005E6A25" w:rsidRDefault="00604672">
      <w:pPr>
        <w:pStyle w:val="Akapitzlist"/>
        <w:numPr>
          <w:ilvl w:val="0"/>
          <w:numId w:val="19"/>
        </w:numPr>
        <w:spacing w:before="14" w:after="144" w:line="300" w:lineRule="atLeast"/>
        <w:ind w:left="720"/>
        <w:jc w:val="both"/>
        <w:rPr>
          <w:lang w:val="en-GB"/>
        </w:rPr>
      </w:pPr>
      <w:r w:rsidRPr="00604672">
        <w:rPr>
          <w:lang w:val="en-GB"/>
        </w:rPr>
        <w:t>Before a patient is deemed lost to follow up, the investigator or designee must make every effort to regain contact with the patient (where possible, 3 telephone calls and, if necessary, a certified letter to the patient’s last known mailing address or local equivalent methods). These contact attempts should be documented in the patient’s medical record.</w:t>
      </w:r>
    </w:p>
    <w:p w:rsidR="005E6A25" w:rsidRDefault="00604672">
      <w:pPr>
        <w:pStyle w:val="Akapitzlist"/>
        <w:numPr>
          <w:ilvl w:val="0"/>
          <w:numId w:val="19"/>
        </w:numPr>
        <w:spacing w:before="14" w:after="144" w:line="300" w:lineRule="atLeast"/>
        <w:ind w:left="720"/>
        <w:jc w:val="both"/>
        <w:rPr>
          <w:lang w:val="en-GB"/>
        </w:rPr>
      </w:pPr>
      <w:r w:rsidRPr="00604672">
        <w:rPr>
          <w:lang w:val="en-GB"/>
        </w:rPr>
        <w:t xml:space="preserve">Should the patient continue to be unreachable, he/she will be considered to have withdrawn from the study with a primary reason of lost to follow-up. </w:t>
      </w:r>
    </w:p>
    <w:p w:rsidR="00395598" w:rsidRDefault="00395598" w:rsidP="00395598">
      <w:pPr>
        <w:pStyle w:val="Tekstpodstawowy"/>
      </w:pPr>
    </w:p>
    <w:p w:rsidR="00395598" w:rsidRDefault="00395598" w:rsidP="00395598">
      <w:pPr>
        <w:pStyle w:val="Tekstpodstawowy"/>
      </w:pPr>
    </w:p>
    <w:p w:rsidR="00395598" w:rsidRDefault="00395598" w:rsidP="00395598">
      <w:pPr>
        <w:pStyle w:val="Tekstpodstawowy"/>
      </w:pPr>
    </w:p>
    <w:p w:rsidR="00395598" w:rsidRDefault="00395598" w:rsidP="00395598">
      <w:pPr>
        <w:pStyle w:val="Tekstpodstawowy"/>
      </w:pPr>
    </w:p>
    <w:p w:rsidR="00395598" w:rsidRDefault="00395598" w:rsidP="00395598">
      <w:pPr>
        <w:pStyle w:val="Tekstpodstawowy"/>
      </w:pPr>
    </w:p>
    <w:p w:rsidR="005E6A25" w:rsidRPr="00395598" w:rsidRDefault="0041459E" w:rsidP="00395598">
      <w:pPr>
        <w:pStyle w:val="Nagwek1"/>
        <w:rPr>
          <w:rFonts w:ascii="Cambria" w:hAnsi="Cambria"/>
          <w:b/>
          <w:color w:val="auto"/>
          <w:sz w:val="24"/>
          <w:szCs w:val="24"/>
          <w:lang w:val="en-GB"/>
        </w:rPr>
      </w:pPr>
      <w:bookmarkStart w:id="121" w:name="_Toc86608138"/>
      <w:r w:rsidRPr="00395598">
        <w:rPr>
          <w:rFonts w:ascii="Cambria" w:hAnsi="Cambria"/>
          <w:b/>
          <w:color w:val="auto"/>
          <w:sz w:val="24"/>
          <w:szCs w:val="24"/>
          <w:lang w:val="en-GB"/>
        </w:rPr>
        <w:t xml:space="preserve">14. </w:t>
      </w:r>
      <w:r w:rsidR="00604672" w:rsidRPr="00395598">
        <w:rPr>
          <w:rFonts w:ascii="Cambria" w:hAnsi="Cambria"/>
          <w:b/>
          <w:color w:val="auto"/>
          <w:sz w:val="24"/>
          <w:szCs w:val="24"/>
          <w:lang w:val="en-GB"/>
        </w:rPr>
        <w:t>Ethical and legal requirements</w:t>
      </w:r>
      <w:bookmarkEnd w:id="121"/>
      <w:r w:rsidR="00604672" w:rsidRPr="00395598">
        <w:rPr>
          <w:rFonts w:ascii="Cambria" w:hAnsi="Cambria"/>
          <w:b/>
          <w:color w:val="auto"/>
          <w:sz w:val="24"/>
          <w:szCs w:val="24"/>
          <w:lang w:val="en-GB"/>
        </w:rPr>
        <w:t xml:space="preserve"> </w:t>
      </w:r>
    </w:p>
    <w:p w:rsidR="005E6A25" w:rsidRDefault="005E6A25">
      <w:pPr>
        <w:pStyle w:val="Default"/>
        <w:jc w:val="both"/>
        <w:rPr>
          <w:rFonts w:ascii="Cambria" w:hAnsi="Cambria"/>
          <w:color w:val="auto"/>
          <w:lang w:val="en-GB"/>
        </w:rPr>
      </w:pPr>
    </w:p>
    <w:p w:rsidR="005E6A25" w:rsidRPr="00395598" w:rsidRDefault="00604672" w:rsidP="00395598">
      <w:pPr>
        <w:pStyle w:val="Nagwek2"/>
        <w:rPr>
          <w:rFonts w:ascii="Cambria" w:hAnsi="Cambria"/>
          <w:b/>
          <w:color w:val="auto"/>
          <w:sz w:val="24"/>
          <w:lang w:val="en-GB"/>
        </w:rPr>
      </w:pPr>
      <w:bookmarkStart w:id="122" w:name="_Toc86608139"/>
      <w:r w:rsidRPr="00395598">
        <w:rPr>
          <w:rFonts w:ascii="Cambria" w:hAnsi="Cambria"/>
          <w:b/>
          <w:color w:val="auto"/>
          <w:sz w:val="24"/>
          <w:lang w:val="en-GB"/>
        </w:rPr>
        <w:t>1</w:t>
      </w:r>
      <w:r w:rsidR="0041459E" w:rsidRPr="00395598">
        <w:rPr>
          <w:rFonts w:ascii="Cambria" w:hAnsi="Cambria"/>
          <w:b/>
          <w:color w:val="auto"/>
          <w:sz w:val="24"/>
          <w:lang w:val="en-GB"/>
        </w:rPr>
        <w:t>4</w:t>
      </w:r>
      <w:r w:rsidRPr="00395598">
        <w:rPr>
          <w:rFonts w:ascii="Cambria" w:hAnsi="Cambria"/>
          <w:b/>
          <w:color w:val="auto"/>
          <w:sz w:val="24"/>
          <w:lang w:val="en-GB"/>
        </w:rPr>
        <w:t>.1</w:t>
      </w:r>
      <w:r w:rsidR="004B412F" w:rsidRPr="00395598">
        <w:rPr>
          <w:rFonts w:ascii="Cambria" w:hAnsi="Cambria"/>
          <w:b/>
          <w:color w:val="auto"/>
          <w:sz w:val="24"/>
          <w:lang w:val="en-GB"/>
        </w:rPr>
        <w:t>.</w:t>
      </w:r>
      <w:r w:rsidRPr="00395598">
        <w:rPr>
          <w:rFonts w:ascii="Cambria" w:hAnsi="Cambria"/>
          <w:b/>
          <w:color w:val="auto"/>
          <w:sz w:val="24"/>
          <w:lang w:val="en-GB"/>
        </w:rPr>
        <w:t xml:space="preserve"> Ethical conduct of the trial</w:t>
      </w:r>
      <w:bookmarkEnd w:id="122"/>
      <w:r w:rsidRPr="00395598">
        <w:rPr>
          <w:rFonts w:ascii="Cambria" w:hAnsi="Cambria"/>
          <w:b/>
          <w:color w:val="auto"/>
          <w:sz w:val="24"/>
          <w:lang w:val="en-GB"/>
        </w:rPr>
        <w:t xml:space="preserve">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The trial will be conducted in a manner consistent with all applicable regulatory authority and IEC regulations (e.g. International Council for Harmonisation [ICH] Guideline for Good Clinical Practice [GCP, CPMP/ICH/135/95] and the Declaration of </w:t>
      </w:r>
      <w:r w:rsidRPr="00604672">
        <w:rPr>
          <w:rFonts w:ascii="Cambria" w:hAnsi="Cambria"/>
          <w:color w:val="auto"/>
          <w:lang w:val="en-GB"/>
        </w:rPr>
        <w:lastRenderedPageBreak/>
        <w:t xml:space="preserve">Helsinki [version of 1996]) as well as in keeping with applicable local law(s) and regulation(s). The investigator must also comply with all applicable privacy regulations (for EU: General Data Protection Regulation). </w:t>
      </w:r>
    </w:p>
    <w:p w:rsidR="005E6A25" w:rsidRDefault="005E6A25">
      <w:pPr>
        <w:pStyle w:val="Default"/>
        <w:jc w:val="both"/>
        <w:rPr>
          <w:rFonts w:ascii="Cambria" w:hAnsi="Cambria"/>
          <w:b/>
          <w:bCs/>
          <w:color w:val="auto"/>
          <w:lang w:val="en-GB"/>
        </w:rPr>
      </w:pPr>
    </w:p>
    <w:p w:rsidR="005E6A25" w:rsidRPr="00395598" w:rsidRDefault="0041459E" w:rsidP="00395598">
      <w:pPr>
        <w:pStyle w:val="Nagwek2"/>
        <w:rPr>
          <w:rFonts w:ascii="Cambria" w:hAnsi="Cambria"/>
          <w:b/>
          <w:color w:val="auto"/>
          <w:sz w:val="24"/>
          <w:szCs w:val="24"/>
          <w:lang w:val="en-GB"/>
        </w:rPr>
      </w:pPr>
      <w:bookmarkStart w:id="123" w:name="_Toc86608140"/>
      <w:r w:rsidRPr="00395598">
        <w:rPr>
          <w:rFonts w:ascii="Cambria" w:hAnsi="Cambria"/>
          <w:b/>
          <w:color w:val="auto"/>
          <w:sz w:val="24"/>
          <w:szCs w:val="24"/>
          <w:lang w:val="en-GB"/>
        </w:rPr>
        <w:t>14</w:t>
      </w:r>
      <w:r w:rsidR="00604672" w:rsidRPr="00395598">
        <w:rPr>
          <w:rFonts w:ascii="Cambria" w:hAnsi="Cambria"/>
          <w:b/>
          <w:color w:val="auto"/>
          <w:sz w:val="24"/>
          <w:szCs w:val="24"/>
          <w:lang w:val="en-GB"/>
        </w:rPr>
        <w:t>.2</w:t>
      </w:r>
      <w:r w:rsidR="004B412F" w:rsidRPr="00395598">
        <w:rPr>
          <w:rFonts w:ascii="Cambria" w:hAnsi="Cambria"/>
          <w:b/>
          <w:color w:val="auto"/>
          <w:sz w:val="24"/>
          <w:szCs w:val="24"/>
          <w:lang w:val="en-GB"/>
        </w:rPr>
        <w:t>.</w:t>
      </w:r>
      <w:r w:rsidR="00604672" w:rsidRPr="00395598">
        <w:rPr>
          <w:rFonts w:ascii="Cambria" w:hAnsi="Cambria"/>
          <w:b/>
          <w:color w:val="auto"/>
          <w:sz w:val="24"/>
          <w:szCs w:val="24"/>
          <w:lang w:val="en-GB"/>
        </w:rPr>
        <w:t xml:space="preserve"> Independent ethics committee</w:t>
      </w:r>
      <w:bookmarkEnd w:id="123"/>
      <w:r w:rsidR="00604672" w:rsidRPr="00395598">
        <w:rPr>
          <w:rFonts w:ascii="Cambria" w:hAnsi="Cambria"/>
          <w:b/>
          <w:color w:val="auto"/>
          <w:sz w:val="24"/>
          <w:szCs w:val="24"/>
          <w:lang w:val="en-GB"/>
        </w:rPr>
        <w:t xml:space="preserve">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Before the initiation of the clinical trial, the final protocol, any amendments if applicable, the patient information sheet and consent form, as well as any additional documents which are required by national regulations and the IEC will be submitted to the competent IEC for review. A </w:t>
      </w:r>
      <w:r w:rsidR="0041459E" w:rsidRPr="0041459E">
        <w:rPr>
          <w:rFonts w:ascii="Cambria" w:hAnsi="Cambria"/>
          <w:color w:val="auto"/>
          <w:lang w:val="en-GB"/>
        </w:rPr>
        <w:t>favourable</w:t>
      </w:r>
      <w:r w:rsidRPr="00604672">
        <w:rPr>
          <w:rFonts w:ascii="Cambria" w:hAnsi="Cambria"/>
          <w:color w:val="auto"/>
          <w:lang w:val="en-GB"/>
        </w:rPr>
        <w:t xml:space="preserve"> opinion for the clinical trial must be obtained from the IEC before any patient is enrolled at a </w:t>
      </w:r>
      <w:r w:rsidR="0041459E">
        <w:rPr>
          <w:rFonts w:ascii="Cambria" w:hAnsi="Cambria"/>
          <w:color w:val="auto"/>
          <w:lang w:val="en-GB"/>
        </w:rPr>
        <w:t>site</w:t>
      </w:r>
      <w:r w:rsidRPr="00604672">
        <w:rPr>
          <w:rFonts w:ascii="Cambria" w:hAnsi="Cambria"/>
          <w:color w:val="auto"/>
          <w:lang w:val="en-GB"/>
        </w:rPr>
        <w:t xml:space="preserve">. </w:t>
      </w:r>
    </w:p>
    <w:p w:rsidR="005E6A25" w:rsidRDefault="00604672">
      <w:pPr>
        <w:jc w:val="both"/>
        <w:rPr>
          <w:lang w:val="en-GB"/>
        </w:rPr>
      </w:pPr>
      <w:r w:rsidRPr="00604672">
        <w:rPr>
          <w:lang w:val="en-GB"/>
        </w:rPr>
        <w:t>If appropriate, any additional requirements imposed by the IEC will be followed. Amendments to the trial documents will be notified to, or approved by, the IEC before implementation, if applicable.</w:t>
      </w:r>
    </w:p>
    <w:p w:rsidR="005E6A25" w:rsidRDefault="005E6A25">
      <w:pPr>
        <w:jc w:val="both"/>
        <w:rPr>
          <w:lang w:val="en-GB"/>
        </w:rPr>
      </w:pPr>
    </w:p>
    <w:p w:rsidR="005E6A25" w:rsidRPr="00395598" w:rsidRDefault="0041459E" w:rsidP="00395598">
      <w:pPr>
        <w:pStyle w:val="Nagwek2"/>
        <w:rPr>
          <w:rFonts w:ascii="Cambria" w:hAnsi="Cambria"/>
          <w:b/>
          <w:color w:val="auto"/>
          <w:lang w:val="en-GB"/>
        </w:rPr>
      </w:pPr>
      <w:bookmarkStart w:id="124" w:name="_Toc86608141"/>
      <w:r w:rsidRPr="00395598">
        <w:rPr>
          <w:rFonts w:ascii="Cambria" w:hAnsi="Cambria"/>
          <w:b/>
          <w:color w:val="auto"/>
          <w:sz w:val="24"/>
          <w:lang w:val="en-GB"/>
        </w:rPr>
        <w:t>14.3</w:t>
      </w:r>
      <w:r w:rsidR="004B412F" w:rsidRPr="00395598">
        <w:rPr>
          <w:rFonts w:ascii="Cambria" w:hAnsi="Cambria"/>
          <w:b/>
          <w:color w:val="auto"/>
          <w:sz w:val="24"/>
          <w:lang w:val="en-GB"/>
        </w:rPr>
        <w:t>.</w:t>
      </w:r>
      <w:r w:rsidRPr="00395598">
        <w:rPr>
          <w:rFonts w:ascii="Cambria" w:hAnsi="Cambria"/>
          <w:b/>
          <w:color w:val="auto"/>
          <w:sz w:val="24"/>
          <w:lang w:val="en-GB"/>
        </w:rPr>
        <w:t xml:space="preserve"> </w:t>
      </w:r>
      <w:r w:rsidR="00604672" w:rsidRPr="00395598">
        <w:rPr>
          <w:rFonts w:ascii="Cambria" w:hAnsi="Cambria"/>
          <w:b/>
          <w:color w:val="auto"/>
          <w:sz w:val="24"/>
          <w:lang w:val="en-GB"/>
        </w:rPr>
        <w:t>Patient information and consent procedure</w:t>
      </w:r>
      <w:bookmarkEnd w:id="124"/>
      <w:r w:rsidR="00604672" w:rsidRPr="00395598">
        <w:rPr>
          <w:rFonts w:ascii="Cambria" w:hAnsi="Cambria"/>
          <w:b/>
          <w:color w:val="auto"/>
          <w:sz w:val="24"/>
          <w:lang w:val="en-GB"/>
        </w:rPr>
        <w:t xml:space="preserve">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Before any clinical trial-related activities are performed, the investigator (or authorized designee) must review the informed consent form and explain the trial to potential trial participants. The investigator must ensure that the patient is fully informed about the aims, procedures, potential risks, any discomforts, and expected benefits of the clinical trial. Before consenting, the patient must be left with ample time to consider and ask questions. It must be emphasized that participation is voluntary and that the patient has the right to withdraw from the clinical trial at any time without prejudice. The patient and the investigator must then sign and date the consent form before the conduct of any trial procedures.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A copy of the patient information and informed consent form will be given to the patients for their records. The rights and welfare of the patients will be protected by emphasizing to them that the quality of their medical care will not be adversely affected if they decline to participate in this clinical trial.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If amendments to the final trial protocol affect the patient’s participation in the clinical trial (e.g. a change in any procedure), the patient information and informed consent form must be updated to incorporate this modification, and patients must agree to sign the amended form indicating that they re-consent to participate in the clinical trial. </w:t>
      </w:r>
    </w:p>
    <w:p w:rsidR="005E6A25" w:rsidRDefault="005E6A25">
      <w:pPr>
        <w:pStyle w:val="Default"/>
        <w:jc w:val="both"/>
        <w:rPr>
          <w:rFonts w:ascii="Cambria" w:hAnsi="Cambria"/>
          <w:b/>
          <w:bCs/>
          <w:color w:val="auto"/>
          <w:lang w:val="en-GB"/>
        </w:rPr>
      </w:pPr>
    </w:p>
    <w:p w:rsidR="005E6A25" w:rsidRPr="00395598" w:rsidRDefault="0041459E" w:rsidP="00395598">
      <w:pPr>
        <w:pStyle w:val="Nagwek2"/>
        <w:rPr>
          <w:rFonts w:ascii="Cambria" w:hAnsi="Cambria"/>
          <w:b/>
          <w:color w:val="auto"/>
          <w:sz w:val="24"/>
          <w:szCs w:val="24"/>
          <w:lang w:val="en-GB"/>
        </w:rPr>
      </w:pPr>
      <w:bookmarkStart w:id="125" w:name="_Toc86608142"/>
      <w:r w:rsidRPr="00395598">
        <w:rPr>
          <w:rFonts w:ascii="Cambria" w:hAnsi="Cambria"/>
          <w:b/>
          <w:color w:val="auto"/>
          <w:sz w:val="24"/>
          <w:szCs w:val="24"/>
          <w:lang w:val="en-GB"/>
        </w:rPr>
        <w:t>14</w:t>
      </w:r>
      <w:r w:rsidR="00604672" w:rsidRPr="00395598">
        <w:rPr>
          <w:rFonts w:ascii="Cambria" w:hAnsi="Cambria"/>
          <w:b/>
          <w:color w:val="auto"/>
          <w:sz w:val="24"/>
          <w:szCs w:val="24"/>
          <w:lang w:val="en-GB"/>
        </w:rPr>
        <w:t>.4</w:t>
      </w:r>
      <w:r w:rsidR="004B412F" w:rsidRPr="00395598">
        <w:rPr>
          <w:rFonts w:ascii="Cambria" w:hAnsi="Cambria"/>
          <w:b/>
          <w:color w:val="auto"/>
          <w:sz w:val="24"/>
          <w:szCs w:val="24"/>
          <w:lang w:val="en-GB"/>
        </w:rPr>
        <w:t>.</w:t>
      </w:r>
      <w:r w:rsidR="00604672" w:rsidRPr="00395598">
        <w:rPr>
          <w:rFonts w:ascii="Cambria" w:hAnsi="Cambria"/>
          <w:b/>
          <w:color w:val="auto"/>
          <w:sz w:val="24"/>
          <w:szCs w:val="24"/>
          <w:lang w:val="en-GB"/>
        </w:rPr>
        <w:t xml:space="preserve"> Insurance coverage</w:t>
      </w:r>
      <w:bookmarkEnd w:id="125"/>
      <w:r w:rsidR="00604672" w:rsidRPr="00395598">
        <w:rPr>
          <w:rFonts w:ascii="Cambria" w:hAnsi="Cambria"/>
          <w:b/>
          <w:color w:val="auto"/>
          <w:sz w:val="24"/>
          <w:szCs w:val="24"/>
          <w:lang w:val="en-GB"/>
        </w:rPr>
        <w:t xml:space="preserve">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Insurance coverage for damages emerging from the clinical trial will be provided according to applicable legal requirements. During the informed consent procedure, the investigator must inform the patient accordingly. Insurance details will be provided to the patient within the patient information sheet. </w:t>
      </w:r>
    </w:p>
    <w:p w:rsidR="005E6A25" w:rsidRDefault="005E6A25">
      <w:pPr>
        <w:pStyle w:val="Default"/>
        <w:jc w:val="both"/>
        <w:rPr>
          <w:rFonts w:ascii="Cambria" w:hAnsi="Cambria"/>
          <w:b/>
          <w:bCs/>
          <w:color w:val="auto"/>
          <w:lang w:val="en-GB"/>
        </w:rPr>
      </w:pPr>
    </w:p>
    <w:p w:rsidR="00395598" w:rsidRDefault="00395598">
      <w:pPr>
        <w:pStyle w:val="Default"/>
        <w:jc w:val="both"/>
        <w:rPr>
          <w:rFonts w:ascii="Cambria" w:hAnsi="Cambria"/>
          <w:b/>
          <w:bCs/>
          <w:color w:val="auto"/>
          <w:lang w:val="en-GB"/>
        </w:rPr>
      </w:pPr>
    </w:p>
    <w:p w:rsidR="00395598" w:rsidRDefault="00395598">
      <w:pPr>
        <w:pStyle w:val="Default"/>
        <w:jc w:val="both"/>
        <w:rPr>
          <w:rFonts w:ascii="Cambria" w:hAnsi="Cambria"/>
          <w:b/>
          <w:bCs/>
          <w:color w:val="auto"/>
          <w:lang w:val="en-GB"/>
        </w:rPr>
      </w:pPr>
    </w:p>
    <w:p w:rsidR="00395598" w:rsidRDefault="00395598">
      <w:pPr>
        <w:pStyle w:val="Default"/>
        <w:jc w:val="both"/>
        <w:rPr>
          <w:rFonts w:ascii="Cambria" w:hAnsi="Cambria"/>
          <w:b/>
          <w:bCs/>
          <w:color w:val="auto"/>
          <w:lang w:val="en-GB"/>
        </w:rPr>
      </w:pPr>
    </w:p>
    <w:p w:rsidR="00395598" w:rsidRDefault="00395598">
      <w:pPr>
        <w:pStyle w:val="Default"/>
        <w:jc w:val="both"/>
        <w:rPr>
          <w:rFonts w:ascii="Cambria" w:hAnsi="Cambria"/>
          <w:b/>
          <w:bCs/>
          <w:color w:val="auto"/>
          <w:lang w:val="en-GB"/>
        </w:rPr>
      </w:pPr>
    </w:p>
    <w:p w:rsidR="005E6A25" w:rsidRPr="00395598" w:rsidRDefault="00884F60" w:rsidP="00395598">
      <w:pPr>
        <w:pStyle w:val="Nagwek2"/>
        <w:rPr>
          <w:rFonts w:ascii="Cambria" w:hAnsi="Cambria"/>
          <w:b/>
          <w:color w:val="auto"/>
          <w:sz w:val="24"/>
          <w:lang w:val="en-GB"/>
        </w:rPr>
      </w:pPr>
      <w:bookmarkStart w:id="126" w:name="_Toc86608143"/>
      <w:r w:rsidRPr="00395598">
        <w:rPr>
          <w:rFonts w:ascii="Cambria" w:hAnsi="Cambria"/>
          <w:b/>
          <w:color w:val="auto"/>
          <w:sz w:val="24"/>
          <w:lang w:val="en-GB"/>
        </w:rPr>
        <w:lastRenderedPageBreak/>
        <w:t>14</w:t>
      </w:r>
      <w:r w:rsidR="00604672" w:rsidRPr="00395598">
        <w:rPr>
          <w:rFonts w:ascii="Cambria" w:hAnsi="Cambria"/>
          <w:b/>
          <w:color w:val="auto"/>
          <w:sz w:val="24"/>
          <w:lang w:val="en-GB"/>
        </w:rPr>
        <w:t>.5</w:t>
      </w:r>
      <w:r w:rsidR="004B412F" w:rsidRPr="00395598">
        <w:rPr>
          <w:rFonts w:ascii="Cambria" w:hAnsi="Cambria"/>
          <w:b/>
          <w:color w:val="auto"/>
          <w:sz w:val="24"/>
          <w:lang w:val="en-GB"/>
        </w:rPr>
        <w:t>.</w:t>
      </w:r>
      <w:r w:rsidR="00604672" w:rsidRPr="00395598">
        <w:rPr>
          <w:rFonts w:ascii="Cambria" w:hAnsi="Cambria"/>
          <w:b/>
          <w:color w:val="auto"/>
          <w:sz w:val="24"/>
          <w:lang w:val="en-GB"/>
        </w:rPr>
        <w:t xml:space="preserve"> Submission to authorities</w:t>
      </w:r>
      <w:bookmarkEnd w:id="126"/>
      <w:r w:rsidR="00604672" w:rsidRPr="00395598">
        <w:rPr>
          <w:rFonts w:ascii="Cambria" w:hAnsi="Cambria"/>
          <w:b/>
          <w:color w:val="auto"/>
          <w:sz w:val="24"/>
          <w:lang w:val="en-GB"/>
        </w:rPr>
        <w:t xml:space="preserve"> </w:t>
      </w:r>
    </w:p>
    <w:p w:rsidR="005E6A25" w:rsidRDefault="00604672">
      <w:pPr>
        <w:pStyle w:val="Nagwek2"/>
        <w:jc w:val="both"/>
        <w:rPr>
          <w:rFonts w:ascii="Cambria" w:hAnsi="Cambria"/>
          <w:color w:val="auto"/>
          <w:sz w:val="24"/>
          <w:szCs w:val="24"/>
          <w:lang w:val="en-GB"/>
        </w:rPr>
      </w:pPr>
      <w:bookmarkStart w:id="127" w:name="_Toc38208574"/>
      <w:bookmarkStart w:id="128" w:name="_Toc38210622"/>
      <w:bookmarkStart w:id="129" w:name="_Toc38214902"/>
      <w:bookmarkStart w:id="130" w:name="_Toc40962008"/>
      <w:bookmarkStart w:id="131" w:name="_Toc54897323"/>
      <w:bookmarkStart w:id="132" w:name="_Toc86608144"/>
      <w:r w:rsidRPr="00604672">
        <w:rPr>
          <w:rFonts w:ascii="Cambria" w:hAnsi="Cambria"/>
          <w:color w:val="auto"/>
          <w:sz w:val="24"/>
          <w:szCs w:val="24"/>
          <w:lang w:val="en-GB"/>
        </w:rPr>
        <w:t>Documents required for the trial application will be submitted to the responsible competent authority (CA). The trial will not start until this authority has authorized the trial. Amendments to the trial protocol or to any other documents that must be reviewed by the CA will also be submitted to the CA in accordance with the regulatory requirements. If applicable, approval of the amendment must be awaited before implementing any changes.</w:t>
      </w:r>
      <w:bookmarkEnd w:id="127"/>
      <w:bookmarkEnd w:id="128"/>
      <w:bookmarkEnd w:id="129"/>
      <w:bookmarkEnd w:id="130"/>
      <w:bookmarkEnd w:id="131"/>
      <w:bookmarkEnd w:id="132"/>
      <w:r w:rsidRPr="00604672">
        <w:rPr>
          <w:rFonts w:ascii="Cambria" w:hAnsi="Cambria"/>
          <w:color w:val="auto"/>
          <w:sz w:val="24"/>
          <w:szCs w:val="24"/>
          <w:lang w:val="en-GB"/>
        </w:rPr>
        <w:t xml:space="preserve"> </w:t>
      </w:r>
    </w:p>
    <w:p w:rsidR="005E6A25" w:rsidRDefault="005E6A25">
      <w:pPr>
        <w:pStyle w:val="Nagwek2"/>
        <w:jc w:val="both"/>
        <w:rPr>
          <w:rFonts w:ascii="Cambria" w:hAnsi="Cambria"/>
          <w:color w:val="auto"/>
          <w:sz w:val="24"/>
          <w:szCs w:val="24"/>
          <w:lang w:val="en-GB"/>
        </w:rPr>
      </w:pPr>
    </w:p>
    <w:p w:rsidR="005E6A25" w:rsidRPr="00395598" w:rsidRDefault="0041459E" w:rsidP="00395598">
      <w:pPr>
        <w:pStyle w:val="Nagwek2"/>
        <w:rPr>
          <w:rFonts w:ascii="Cambria" w:hAnsi="Cambria"/>
          <w:b/>
          <w:color w:val="auto"/>
          <w:sz w:val="24"/>
          <w:lang w:val="en-GB"/>
        </w:rPr>
      </w:pPr>
      <w:bookmarkStart w:id="133" w:name="_Toc86608145"/>
      <w:r w:rsidRPr="00395598">
        <w:rPr>
          <w:rFonts w:ascii="Cambria" w:hAnsi="Cambria"/>
          <w:b/>
          <w:color w:val="auto"/>
          <w:sz w:val="24"/>
          <w:lang w:val="en-GB"/>
        </w:rPr>
        <w:t xml:space="preserve">15. </w:t>
      </w:r>
      <w:r w:rsidR="00604672" w:rsidRPr="00395598">
        <w:rPr>
          <w:rFonts w:ascii="Cambria" w:hAnsi="Cambria"/>
          <w:b/>
          <w:color w:val="auto"/>
          <w:sz w:val="24"/>
          <w:lang w:val="en-GB"/>
        </w:rPr>
        <w:t>Patient confidentiality</w:t>
      </w:r>
      <w:bookmarkEnd w:id="133"/>
      <w:r w:rsidR="00604672" w:rsidRPr="00395598">
        <w:rPr>
          <w:rFonts w:ascii="Cambria" w:hAnsi="Cambria"/>
          <w:b/>
          <w:color w:val="auto"/>
          <w:sz w:val="24"/>
          <w:lang w:val="en-GB"/>
        </w:rPr>
        <w:t xml:space="preserve">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The trial protocol, documentation, data, and all other information generated will be held in strict confidence. No information concerning the clinical trial or the data will be released to any unauthorized third party without prior written approval of the sponsor.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Personal patient data will be kept confidential in compliance with the General Data Protection Regulation, and other applicable international and national requirements. </w:t>
      </w:r>
    </w:p>
    <w:p w:rsidR="005E6A25" w:rsidRDefault="00604672">
      <w:pPr>
        <w:pStyle w:val="Default"/>
        <w:jc w:val="both"/>
        <w:rPr>
          <w:rFonts w:ascii="Cambria" w:hAnsi="Cambria"/>
          <w:color w:val="auto"/>
          <w:lang w:val="en-GB"/>
        </w:rPr>
      </w:pPr>
      <w:r w:rsidRPr="00604672">
        <w:rPr>
          <w:rFonts w:ascii="Cambria" w:hAnsi="Cambria"/>
          <w:color w:val="auto"/>
          <w:lang w:val="en-GB"/>
        </w:rPr>
        <w:t xml:space="preserve">The investigator must ensure that the confidentiality and anonymity of trial participants will be maintained and that their identities are protected from unauthorized parties. In eCRFs, compensation documentation, or any other documents submitted to the sponsor or sponsor’s designee, patients must be identified only by their identification codes; it is not allowed to use their names, addresses, telephone numbers, or similar information. The investigator will keep the original of the Patient Identification Log (including complete name and date of birth of each patient) in his/her file. The investigator must maintain these documents in strict confidence. </w:t>
      </w:r>
    </w:p>
    <w:p w:rsidR="005E6A25" w:rsidRDefault="00604672" w:rsidP="00395598">
      <w:pPr>
        <w:rPr>
          <w:lang w:val="en-GB"/>
        </w:rPr>
      </w:pPr>
      <w:bookmarkStart w:id="134" w:name="_Toc38208575"/>
      <w:bookmarkStart w:id="135" w:name="_Toc38210623"/>
      <w:r w:rsidRPr="00604672">
        <w:rPr>
          <w:lang w:val="en-GB"/>
        </w:rPr>
        <w:t>To allow compliance with GCP, all patients will be asked for consent regarding the access to their personal clinical trial-related data for monitoring, audits, and inspections as well as regarding transmission and storage of their pseudonymous data; a respective statement will be part of the informed consent form. Professionals getting access to source</w:t>
      </w:r>
      <w:bookmarkEnd w:id="134"/>
      <w:bookmarkEnd w:id="135"/>
      <w:r w:rsidRPr="00604672">
        <w:rPr>
          <w:lang w:val="en-GB"/>
        </w:rPr>
        <w:t xml:space="preserve"> </w:t>
      </w:r>
    </w:p>
    <w:p w:rsidR="005E6A25" w:rsidRDefault="005E6A25">
      <w:pPr>
        <w:pStyle w:val="Nagwek2"/>
        <w:jc w:val="both"/>
        <w:rPr>
          <w:rFonts w:ascii="Cambria" w:hAnsi="Cambria"/>
          <w:color w:val="auto"/>
          <w:sz w:val="24"/>
          <w:szCs w:val="24"/>
          <w:lang w:val="en-GB"/>
        </w:rPr>
      </w:pPr>
    </w:p>
    <w:p w:rsidR="005E6A25" w:rsidRPr="00395598" w:rsidRDefault="0041459E" w:rsidP="00395598">
      <w:pPr>
        <w:pStyle w:val="Nagwek1"/>
        <w:rPr>
          <w:rFonts w:ascii="Cambria" w:hAnsi="Cambria"/>
          <w:b/>
          <w:color w:val="auto"/>
          <w:sz w:val="24"/>
          <w:szCs w:val="24"/>
          <w:lang w:val="en-GB" w:eastAsia="it-IT"/>
        </w:rPr>
      </w:pPr>
      <w:bookmarkStart w:id="136" w:name="_Toc86608146"/>
      <w:r w:rsidRPr="00395598">
        <w:rPr>
          <w:rFonts w:ascii="Cambria" w:hAnsi="Cambria"/>
          <w:b/>
          <w:color w:val="auto"/>
          <w:sz w:val="24"/>
          <w:szCs w:val="24"/>
          <w:lang w:val="en-GB" w:eastAsia="it-IT"/>
        </w:rPr>
        <w:t xml:space="preserve">16. </w:t>
      </w:r>
      <w:r w:rsidR="00604672" w:rsidRPr="00395598">
        <w:rPr>
          <w:rFonts w:ascii="Cambria" w:hAnsi="Cambria"/>
          <w:b/>
          <w:color w:val="auto"/>
          <w:sz w:val="24"/>
          <w:szCs w:val="24"/>
          <w:lang w:val="en-GB" w:eastAsia="it-IT"/>
        </w:rPr>
        <w:t>Data collection, monitoring and quality assurance</w:t>
      </w:r>
      <w:bookmarkEnd w:id="136"/>
      <w:r w:rsidR="00604672" w:rsidRPr="00395598">
        <w:rPr>
          <w:rFonts w:ascii="Cambria" w:hAnsi="Cambria"/>
          <w:b/>
          <w:color w:val="auto"/>
          <w:sz w:val="24"/>
          <w:szCs w:val="24"/>
          <w:lang w:val="en-GB" w:eastAsia="it-IT"/>
        </w:rPr>
        <w:t xml:space="preserve"> </w:t>
      </w:r>
    </w:p>
    <w:p w:rsidR="005E6A25" w:rsidRDefault="005E6A25">
      <w:pPr>
        <w:autoSpaceDE w:val="0"/>
        <w:autoSpaceDN w:val="0"/>
        <w:adjustRightInd w:val="0"/>
        <w:jc w:val="both"/>
        <w:rPr>
          <w:b/>
          <w:bCs/>
          <w:lang w:val="en-GB" w:eastAsia="it-IT"/>
        </w:rPr>
      </w:pPr>
    </w:p>
    <w:p w:rsidR="005E6A25" w:rsidRPr="00395598" w:rsidRDefault="0041459E" w:rsidP="00395598">
      <w:pPr>
        <w:pStyle w:val="Nagwek2"/>
        <w:rPr>
          <w:rFonts w:ascii="Cambria" w:hAnsi="Cambria"/>
          <w:b/>
          <w:color w:val="auto"/>
          <w:sz w:val="24"/>
          <w:lang w:val="en-GB" w:eastAsia="it-IT"/>
        </w:rPr>
      </w:pPr>
      <w:bookmarkStart w:id="137" w:name="_Toc86608147"/>
      <w:r w:rsidRPr="00395598">
        <w:rPr>
          <w:rFonts w:ascii="Cambria" w:hAnsi="Cambria"/>
          <w:b/>
          <w:color w:val="auto"/>
          <w:sz w:val="24"/>
          <w:lang w:val="en-GB" w:eastAsia="it-IT"/>
        </w:rPr>
        <w:t>16</w:t>
      </w:r>
      <w:r w:rsidR="00604672" w:rsidRPr="00395598">
        <w:rPr>
          <w:rFonts w:ascii="Cambria" w:hAnsi="Cambria"/>
          <w:b/>
          <w:color w:val="auto"/>
          <w:sz w:val="24"/>
          <w:lang w:val="en-GB" w:eastAsia="it-IT"/>
        </w:rPr>
        <w:t>.1 Data collection</w:t>
      </w:r>
      <w:bookmarkEnd w:id="137"/>
      <w:r w:rsidR="00604672" w:rsidRPr="00395598">
        <w:rPr>
          <w:rFonts w:ascii="Cambria" w:hAnsi="Cambria"/>
          <w:b/>
          <w:color w:val="auto"/>
          <w:sz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All data will be collected on an eCRF separately for each patient. eCRFs will be provided as a regulatory compliant, electronically secure and protected web-based database, and will be handled in accordance with the instructions provided. An audit trail will record all entries and corresponding changes. </w:t>
      </w:r>
    </w:p>
    <w:p w:rsidR="005E6A25" w:rsidRDefault="00604672">
      <w:pPr>
        <w:autoSpaceDE w:val="0"/>
        <w:autoSpaceDN w:val="0"/>
        <w:adjustRightInd w:val="0"/>
        <w:jc w:val="both"/>
        <w:rPr>
          <w:lang w:val="en-GB" w:eastAsia="it-IT"/>
        </w:rPr>
      </w:pPr>
      <w:r w:rsidRPr="00604672">
        <w:rPr>
          <w:lang w:val="en-GB" w:eastAsia="it-IT"/>
        </w:rPr>
        <w:t xml:space="preserve">The trial sites will be provided with secure access to and training on the eCRF. </w:t>
      </w:r>
    </w:p>
    <w:p w:rsidR="005E6A25" w:rsidRDefault="00604672">
      <w:pPr>
        <w:autoSpaceDE w:val="0"/>
        <w:autoSpaceDN w:val="0"/>
        <w:adjustRightInd w:val="0"/>
        <w:jc w:val="both"/>
        <w:rPr>
          <w:lang w:val="en-GB" w:eastAsia="it-IT"/>
        </w:rPr>
      </w:pPr>
      <w:r w:rsidRPr="00604672">
        <w:rPr>
          <w:lang w:val="en-GB" w:eastAsia="it-IT"/>
        </w:rPr>
        <w:t xml:space="preserve">All data generated after the patient provided informed consent must be recorded in the eCRF. The treating investigator is responsible for ensuring accurate and proper completion of the eCRF. </w:t>
      </w:r>
    </w:p>
    <w:p w:rsidR="005E6A25" w:rsidRDefault="00604672">
      <w:pPr>
        <w:autoSpaceDE w:val="0"/>
        <w:autoSpaceDN w:val="0"/>
        <w:adjustRightInd w:val="0"/>
        <w:jc w:val="both"/>
        <w:rPr>
          <w:lang w:val="en-GB" w:eastAsia="it-IT"/>
        </w:rPr>
      </w:pPr>
      <w:r w:rsidRPr="00604672">
        <w:rPr>
          <w:lang w:val="en-GB" w:eastAsia="it-IT"/>
        </w:rPr>
        <w:t xml:space="preserve">Only treating physician and authorized designees will enter and edit data via a secure network and a secure access system. Completed data for each visit will be approved by the investigator or authorized designee using an electronic signature to confirm the accuracy of the data. Any change or addition will be recorded by an electronic audit trail system. </w:t>
      </w:r>
    </w:p>
    <w:p w:rsidR="005E6A25" w:rsidRDefault="00604672">
      <w:pPr>
        <w:autoSpaceDE w:val="0"/>
        <w:autoSpaceDN w:val="0"/>
        <w:adjustRightInd w:val="0"/>
        <w:jc w:val="both"/>
        <w:rPr>
          <w:lang w:val="en-GB" w:eastAsia="it-IT"/>
        </w:rPr>
      </w:pPr>
      <w:r w:rsidRPr="00604672">
        <w:rPr>
          <w:lang w:val="en-GB" w:eastAsia="it-IT"/>
        </w:rPr>
        <w:t xml:space="preserve">The investigator or designee has to carefully answer queries issued by data management. </w:t>
      </w:r>
    </w:p>
    <w:p w:rsidR="005E6A25" w:rsidRDefault="005E6A25">
      <w:pPr>
        <w:autoSpaceDE w:val="0"/>
        <w:autoSpaceDN w:val="0"/>
        <w:adjustRightInd w:val="0"/>
        <w:jc w:val="both"/>
        <w:rPr>
          <w:b/>
          <w:bCs/>
          <w:lang w:val="en-GB" w:eastAsia="it-IT"/>
        </w:rPr>
      </w:pPr>
    </w:p>
    <w:p w:rsidR="00395598" w:rsidRDefault="00395598">
      <w:pPr>
        <w:autoSpaceDE w:val="0"/>
        <w:autoSpaceDN w:val="0"/>
        <w:adjustRightInd w:val="0"/>
        <w:jc w:val="both"/>
        <w:rPr>
          <w:b/>
          <w:bCs/>
          <w:lang w:val="en-GB" w:eastAsia="it-IT"/>
        </w:rPr>
      </w:pPr>
    </w:p>
    <w:p w:rsidR="005E6A25" w:rsidRPr="00395598" w:rsidRDefault="0041459E" w:rsidP="00395598">
      <w:pPr>
        <w:pStyle w:val="Nagwek2"/>
        <w:rPr>
          <w:rFonts w:ascii="Cambria" w:hAnsi="Cambria"/>
          <w:b/>
          <w:color w:val="auto"/>
          <w:sz w:val="24"/>
          <w:szCs w:val="24"/>
          <w:lang w:val="en-GB" w:eastAsia="it-IT"/>
        </w:rPr>
      </w:pPr>
      <w:bookmarkStart w:id="138" w:name="_Toc86608148"/>
      <w:r w:rsidRPr="00395598">
        <w:rPr>
          <w:rFonts w:ascii="Cambria" w:hAnsi="Cambria"/>
          <w:b/>
          <w:color w:val="auto"/>
          <w:sz w:val="24"/>
          <w:szCs w:val="24"/>
          <w:lang w:val="en-GB" w:eastAsia="it-IT"/>
        </w:rPr>
        <w:lastRenderedPageBreak/>
        <w:t>16</w:t>
      </w:r>
      <w:r w:rsidR="00604672" w:rsidRPr="00395598">
        <w:rPr>
          <w:rFonts w:ascii="Cambria" w:hAnsi="Cambria"/>
          <w:b/>
          <w:color w:val="auto"/>
          <w:sz w:val="24"/>
          <w:szCs w:val="24"/>
          <w:lang w:val="en-GB" w:eastAsia="it-IT"/>
        </w:rPr>
        <w:t>.2 Source data</w:t>
      </w:r>
      <w:bookmarkEnd w:id="138"/>
      <w:r w:rsidR="00604672" w:rsidRPr="00395598">
        <w:rPr>
          <w:rFonts w:ascii="Cambria" w:hAnsi="Cambria"/>
          <w:b/>
          <w:color w:val="auto"/>
          <w:sz w:val="24"/>
          <w:szCs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Source data are defined as all data in original records and certified copies of original records of clinical findings, observations, or other activities in a clinical trial that are necessary for the reconstruction and evaluation of the trial (see ICH E3 GCP, 1.51). Source records should be stored for a time period as defined by local regulations. </w:t>
      </w:r>
    </w:p>
    <w:p w:rsidR="005E6A25" w:rsidRDefault="00604672">
      <w:pPr>
        <w:autoSpaceDE w:val="0"/>
        <w:autoSpaceDN w:val="0"/>
        <w:adjustRightInd w:val="0"/>
        <w:jc w:val="both"/>
        <w:rPr>
          <w:lang w:val="en-GB" w:eastAsia="it-IT"/>
        </w:rPr>
      </w:pPr>
      <w:r w:rsidRPr="00604672">
        <w:rPr>
          <w:lang w:val="en-GB" w:eastAsia="it-IT"/>
        </w:rPr>
        <w:t xml:space="preserve">The investigator must keep a patient file (medical file, original medical records) on paper or electronically for every patient included in the trial. </w:t>
      </w:r>
    </w:p>
    <w:p w:rsidR="005E6A25" w:rsidRDefault="00604672">
      <w:pPr>
        <w:autoSpaceDE w:val="0"/>
        <w:autoSpaceDN w:val="0"/>
        <w:adjustRightInd w:val="0"/>
        <w:jc w:val="both"/>
        <w:rPr>
          <w:lang w:val="en-GB" w:eastAsia="it-IT"/>
        </w:rPr>
      </w:pPr>
      <w:r w:rsidRPr="00604672">
        <w:rPr>
          <w:lang w:val="en-GB" w:eastAsia="it-IT"/>
        </w:rPr>
        <w:t xml:space="preserve">It must be possible to identify each patient by using this patient file. Dates and authors of all source data entry and changes must be clearly identifiable. </w:t>
      </w:r>
    </w:p>
    <w:p w:rsidR="005E6A25" w:rsidRDefault="00604672">
      <w:pPr>
        <w:autoSpaceDE w:val="0"/>
        <w:autoSpaceDN w:val="0"/>
        <w:adjustRightInd w:val="0"/>
        <w:jc w:val="both"/>
        <w:rPr>
          <w:lang w:val="en-GB" w:eastAsia="it-IT"/>
        </w:rPr>
      </w:pPr>
      <w:r w:rsidRPr="00604672">
        <w:rPr>
          <w:lang w:val="en-GB" w:eastAsia="it-IT"/>
        </w:rPr>
        <w:t xml:space="preserve">Documents and data to be considered source data will be identified and agreed with the investigator in advance of the first screening visit. The location of all source data will be documented and filed in the Investigator Site File (source data location form). Electronic patient files will be printed whenever the monitor performs source data verification. Printouts must be signed and dated by the investigator, countersigned by the monitor, and filled at the </w:t>
      </w:r>
      <w:proofErr w:type="spellStart"/>
      <w:r w:rsidRPr="00604672">
        <w:rPr>
          <w:lang w:val="en-GB" w:eastAsia="it-IT"/>
        </w:rPr>
        <w:t>center</w:t>
      </w:r>
      <w:proofErr w:type="spellEnd"/>
      <w:r w:rsidRPr="00604672">
        <w:rPr>
          <w:lang w:val="en-GB" w:eastAsia="it-IT"/>
        </w:rPr>
        <w:t xml:space="preserve"> as required for other source data documents. </w:t>
      </w:r>
    </w:p>
    <w:p w:rsidR="005E6A25" w:rsidRDefault="005E6A25">
      <w:pPr>
        <w:autoSpaceDE w:val="0"/>
        <w:autoSpaceDN w:val="0"/>
        <w:adjustRightInd w:val="0"/>
        <w:jc w:val="both"/>
        <w:rPr>
          <w:lang w:val="en-GB" w:eastAsia="it-IT"/>
        </w:rPr>
      </w:pPr>
    </w:p>
    <w:p w:rsidR="005E6A25" w:rsidRPr="00395598" w:rsidRDefault="0041459E" w:rsidP="00395598">
      <w:pPr>
        <w:pStyle w:val="Nagwek2"/>
        <w:rPr>
          <w:rFonts w:ascii="Cambria" w:hAnsi="Cambria"/>
          <w:b/>
          <w:color w:val="auto"/>
          <w:sz w:val="24"/>
          <w:lang w:val="en-GB" w:eastAsia="it-IT"/>
        </w:rPr>
      </w:pPr>
      <w:bookmarkStart w:id="139" w:name="_Toc86608149"/>
      <w:r w:rsidRPr="00395598">
        <w:rPr>
          <w:rFonts w:ascii="Cambria" w:hAnsi="Cambria"/>
          <w:b/>
          <w:color w:val="auto"/>
          <w:sz w:val="24"/>
          <w:lang w:val="en-GB" w:eastAsia="it-IT"/>
        </w:rPr>
        <w:t>16</w:t>
      </w:r>
      <w:r w:rsidR="00604672" w:rsidRPr="00395598">
        <w:rPr>
          <w:rFonts w:ascii="Cambria" w:hAnsi="Cambria"/>
          <w:b/>
          <w:color w:val="auto"/>
          <w:sz w:val="24"/>
          <w:lang w:val="en-GB" w:eastAsia="it-IT"/>
        </w:rPr>
        <w:t>.3 Monitoring</w:t>
      </w:r>
      <w:bookmarkEnd w:id="139"/>
      <w:r w:rsidR="00604672" w:rsidRPr="00395598">
        <w:rPr>
          <w:rFonts w:ascii="Cambria" w:hAnsi="Cambria"/>
          <w:b/>
          <w:color w:val="auto"/>
          <w:sz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The extent and details of monitoring including source data verification will be specified in the monitoring plan. </w:t>
      </w:r>
    </w:p>
    <w:p w:rsidR="005E6A25" w:rsidRDefault="00604672">
      <w:pPr>
        <w:autoSpaceDE w:val="0"/>
        <w:autoSpaceDN w:val="0"/>
        <w:adjustRightInd w:val="0"/>
        <w:jc w:val="both"/>
        <w:rPr>
          <w:lang w:val="en-GB" w:eastAsia="it-IT"/>
        </w:rPr>
      </w:pPr>
      <w:r w:rsidRPr="00604672">
        <w:rPr>
          <w:lang w:val="en-GB" w:eastAsia="it-IT"/>
        </w:rPr>
        <w:t xml:space="preserve">During the trial, further monitoring visits will be performed according to ICH GCP, the sponsor’s designee’s or local CRO’s standard operating procedures, and local regulations. eCRFs will be reviewed against source data for adherence to the trial protocol and ICH GCP, as well as for completeness, accuracy, and consistency of data. Additionally, the monitor will check the progress of enrolment, and will ensure that the IMP is being stored, dispensed and accounted for according to specifications. Key trial personnel must be available to assist the monitor during these visits. </w:t>
      </w:r>
    </w:p>
    <w:p w:rsidR="005E6A25" w:rsidRDefault="00604672">
      <w:pPr>
        <w:autoSpaceDE w:val="0"/>
        <w:autoSpaceDN w:val="0"/>
        <w:adjustRightInd w:val="0"/>
        <w:jc w:val="both"/>
        <w:rPr>
          <w:lang w:val="en-GB" w:eastAsia="it-IT"/>
        </w:rPr>
      </w:pPr>
      <w:r w:rsidRPr="00604672">
        <w:rPr>
          <w:lang w:val="en-GB" w:eastAsia="it-IT"/>
        </w:rPr>
        <w:t xml:space="preserve">The investigators must permit the monitor`s access to the patient’s medical records and all applicable source documents. Throughout the trial, all data captured in the eCRF will only be identified by patient number. The data will be blinded correspondingly in all data analyses. </w:t>
      </w:r>
    </w:p>
    <w:p w:rsidR="005E6A25" w:rsidRDefault="00604672">
      <w:pPr>
        <w:autoSpaceDE w:val="0"/>
        <w:autoSpaceDN w:val="0"/>
        <w:adjustRightInd w:val="0"/>
        <w:jc w:val="both"/>
        <w:rPr>
          <w:lang w:val="en-GB" w:eastAsia="it-IT"/>
        </w:rPr>
      </w:pPr>
      <w:r w:rsidRPr="00604672">
        <w:rPr>
          <w:lang w:val="en-GB" w:eastAsia="it-IT"/>
        </w:rPr>
        <w:t xml:space="preserve">It is the investigators’ obligation to assure documentation of all relevant data in the patient’s file, such as medical history and concomitant diseases, date of trial enrolment, visit dates, results of examinations, administrations of IMP and any concomitant medication, and AEs. </w:t>
      </w:r>
    </w:p>
    <w:p w:rsidR="005E6A25" w:rsidRDefault="005E6A25">
      <w:pPr>
        <w:autoSpaceDE w:val="0"/>
        <w:autoSpaceDN w:val="0"/>
        <w:adjustRightInd w:val="0"/>
        <w:jc w:val="both"/>
        <w:rPr>
          <w:b/>
          <w:bCs/>
          <w:lang w:val="en-GB" w:eastAsia="it-IT"/>
        </w:rPr>
      </w:pPr>
    </w:p>
    <w:p w:rsidR="005E6A25" w:rsidRPr="00395598" w:rsidRDefault="0041459E" w:rsidP="00395598">
      <w:pPr>
        <w:pStyle w:val="Nagwek2"/>
        <w:rPr>
          <w:rFonts w:ascii="Cambria" w:hAnsi="Cambria"/>
          <w:b/>
          <w:color w:val="auto"/>
          <w:sz w:val="24"/>
          <w:lang w:val="en-GB" w:eastAsia="it-IT"/>
        </w:rPr>
      </w:pPr>
      <w:bookmarkStart w:id="140" w:name="_Toc86608150"/>
      <w:r w:rsidRPr="00395598">
        <w:rPr>
          <w:rFonts w:ascii="Cambria" w:hAnsi="Cambria"/>
          <w:b/>
          <w:color w:val="auto"/>
          <w:sz w:val="24"/>
          <w:lang w:val="en-GB" w:eastAsia="it-IT"/>
        </w:rPr>
        <w:t>16</w:t>
      </w:r>
      <w:r w:rsidR="00604672" w:rsidRPr="00395598">
        <w:rPr>
          <w:rFonts w:ascii="Cambria" w:hAnsi="Cambria"/>
          <w:b/>
          <w:color w:val="auto"/>
          <w:sz w:val="24"/>
          <w:lang w:val="en-GB" w:eastAsia="it-IT"/>
        </w:rPr>
        <w:t>.4 Audits and inspections</w:t>
      </w:r>
      <w:bookmarkEnd w:id="140"/>
      <w:r w:rsidR="00604672" w:rsidRPr="00395598">
        <w:rPr>
          <w:rFonts w:ascii="Cambria" w:hAnsi="Cambria"/>
          <w:b/>
          <w:color w:val="auto"/>
          <w:sz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During the trial, audits may be performed by independent auditors. Audits of clinical research activities will be performed in accordance with corresponding standard operating procedures to ensure compliance with the principles of GCP. </w:t>
      </w:r>
    </w:p>
    <w:p w:rsidR="005E6A25" w:rsidRDefault="00604672">
      <w:pPr>
        <w:autoSpaceDE w:val="0"/>
        <w:autoSpaceDN w:val="0"/>
        <w:adjustRightInd w:val="0"/>
        <w:jc w:val="both"/>
        <w:rPr>
          <w:lang w:val="en-GB" w:eastAsia="it-IT"/>
        </w:rPr>
      </w:pPr>
      <w:r w:rsidRPr="00604672">
        <w:rPr>
          <w:lang w:val="en-GB" w:eastAsia="it-IT"/>
        </w:rPr>
        <w:t xml:space="preserve">Regulatory authorities may wish to conduct an inspection. If an inspection is requested, the investigator must inform the sponsor or sponsor’s designee immediately. </w:t>
      </w:r>
    </w:p>
    <w:p w:rsidR="005E6A25" w:rsidRDefault="00604672">
      <w:pPr>
        <w:autoSpaceDE w:val="0"/>
        <w:autoSpaceDN w:val="0"/>
        <w:adjustRightInd w:val="0"/>
        <w:jc w:val="both"/>
        <w:rPr>
          <w:lang w:val="en-GB" w:eastAsia="it-IT"/>
        </w:rPr>
      </w:pPr>
      <w:r w:rsidRPr="00604672">
        <w:rPr>
          <w:lang w:val="en-GB" w:eastAsia="it-IT"/>
        </w:rPr>
        <w:t xml:space="preserve">The investigator must allow auditors or inspectors access to source data and documents and will answer any questions. </w:t>
      </w:r>
    </w:p>
    <w:p w:rsidR="005E6A25" w:rsidRDefault="005E6A25">
      <w:pPr>
        <w:autoSpaceDE w:val="0"/>
        <w:autoSpaceDN w:val="0"/>
        <w:adjustRightInd w:val="0"/>
        <w:jc w:val="both"/>
        <w:rPr>
          <w:b/>
          <w:bCs/>
          <w:lang w:val="en-GB" w:eastAsia="it-IT"/>
        </w:rPr>
      </w:pPr>
    </w:p>
    <w:p w:rsidR="005E6A25" w:rsidRPr="00395598" w:rsidRDefault="0041459E" w:rsidP="00395598">
      <w:pPr>
        <w:pStyle w:val="Nagwek2"/>
        <w:rPr>
          <w:rFonts w:ascii="Cambria" w:hAnsi="Cambria"/>
          <w:b/>
          <w:color w:val="auto"/>
          <w:sz w:val="24"/>
          <w:lang w:val="en-GB" w:eastAsia="it-IT"/>
        </w:rPr>
      </w:pPr>
      <w:bookmarkStart w:id="141" w:name="_Toc86608151"/>
      <w:r w:rsidRPr="00395598">
        <w:rPr>
          <w:rFonts w:ascii="Cambria" w:hAnsi="Cambria"/>
          <w:b/>
          <w:color w:val="auto"/>
          <w:sz w:val="24"/>
          <w:lang w:val="en-GB" w:eastAsia="it-IT"/>
        </w:rPr>
        <w:t>16</w:t>
      </w:r>
      <w:r w:rsidR="00604672" w:rsidRPr="00395598">
        <w:rPr>
          <w:rFonts w:ascii="Cambria" w:hAnsi="Cambria"/>
          <w:b/>
          <w:color w:val="auto"/>
          <w:sz w:val="24"/>
          <w:lang w:val="en-GB" w:eastAsia="it-IT"/>
        </w:rPr>
        <w:t>.5 Data management procedures</w:t>
      </w:r>
      <w:bookmarkEnd w:id="141"/>
      <w:r w:rsidR="00604672" w:rsidRPr="00395598">
        <w:rPr>
          <w:rFonts w:ascii="Cambria" w:hAnsi="Cambria"/>
          <w:b/>
          <w:color w:val="auto"/>
          <w:sz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All data management activities will be conducted by the sponsor’s designee following their standard operating procedures. Details on data handling will be described in the data management plan. Data entered into the eCRF will be validated through online edit checks and offline checks run by the data manager according to the data validation plan. </w:t>
      </w:r>
      <w:r w:rsidRPr="00604672">
        <w:rPr>
          <w:lang w:val="en-GB" w:eastAsia="it-IT"/>
        </w:rPr>
        <w:lastRenderedPageBreak/>
        <w:t xml:space="preserve">For all identified discrepancies, the data manager will raise a query in the electronic data capture application. The appropriate investigational personnel will answer the queries in the eCRF, which will be audit trailed by the electronic data capture application. </w:t>
      </w:r>
    </w:p>
    <w:p w:rsidR="005E6A25" w:rsidRDefault="00604672">
      <w:pPr>
        <w:autoSpaceDE w:val="0"/>
        <w:autoSpaceDN w:val="0"/>
        <w:adjustRightInd w:val="0"/>
        <w:jc w:val="both"/>
        <w:rPr>
          <w:lang w:val="en-GB" w:eastAsia="it-IT"/>
        </w:rPr>
      </w:pPr>
      <w:r w:rsidRPr="00604672">
        <w:rPr>
          <w:lang w:val="en-GB" w:eastAsia="it-IT"/>
        </w:rPr>
        <w:t xml:space="preserve">The sponsor’s designee will handle the data cleaning process, query process, and coding. </w:t>
      </w:r>
    </w:p>
    <w:p w:rsidR="005E6A25" w:rsidRDefault="00604672">
      <w:pPr>
        <w:autoSpaceDE w:val="0"/>
        <w:autoSpaceDN w:val="0"/>
        <w:adjustRightInd w:val="0"/>
        <w:jc w:val="both"/>
        <w:rPr>
          <w:lang w:val="en-GB" w:eastAsia="it-IT"/>
        </w:rPr>
      </w:pPr>
      <w:r w:rsidRPr="00604672">
        <w:rPr>
          <w:lang w:val="en-GB" w:eastAsia="it-IT"/>
        </w:rPr>
        <w:t xml:space="preserve">For the main analysis, the respective database will be locked when it is considered complete and accurate and after all changes following the data review meeting (if applicable) are included (i.e. all data cleaning activities performed). All changes will be tracked (audit trail). Sponsor approval prior to database lock is mandatory. </w:t>
      </w:r>
    </w:p>
    <w:p w:rsidR="005E6A25" w:rsidRDefault="005E6A25">
      <w:pPr>
        <w:autoSpaceDE w:val="0"/>
        <w:autoSpaceDN w:val="0"/>
        <w:adjustRightInd w:val="0"/>
        <w:jc w:val="both"/>
        <w:rPr>
          <w:lang w:val="en-GB" w:eastAsia="it-IT"/>
        </w:rPr>
      </w:pPr>
    </w:p>
    <w:p w:rsidR="005E6A25" w:rsidRPr="00395598" w:rsidRDefault="0041459E" w:rsidP="00395598">
      <w:pPr>
        <w:pStyle w:val="Nagwek2"/>
        <w:rPr>
          <w:rFonts w:ascii="Cambria" w:hAnsi="Cambria"/>
          <w:b/>
          <w:color w:val="auto"/>
          <w:sz w:val="24"/>
          <w:szCs w:val="24"/>
          <w:lang w:val="en-GB" w:eastAsia="it-IT"/>
        </w:rPr>
      </w:pPr>
      <w:bookmarkStart w:id="142" w:name="_Toc86608152"/>
      <w:r w:rsidRPr="00395598">
        <w:rPr>
          <w:rFonts w:ascii="Cambria" w:hAnsi="Cambria"/>
          <w:b/>
          <w:color w:val="auto"/>
          <w:sz w:val="24"/>
          <w:szCs w:val="24"/>
          <w:lang w:val="en-GB" w:eastAsia="it-IT"/>
        </w:rPr>
        <w:t>16</w:t>
      </w:r>
      <w:r w:rsidR="00604672" w:rsidRPr="00395598">
        <w:rPr>
          <w:rFonts w:ascii="Cambria" w:hAnsi="Cambria"/>
          <w:b/>
          <w:color w:val="auto"/>
          <w:sz w:val="24"/>
          <w:szCs w:val="24"/>
          <w:lang w:val="en-GB" w:eastAsia="it-IT"/>
        </w:rPr>
        <w:t>.6 Trial report and publications</w:t>
      </w:r>
      <w:bookmarkEnd w:id="142"/>
      <w:r w:rsidR="00604672" w:rsidRPr="00395598">
        <w:rPr>
          <w:rFonts w:ascii="Cambria" w:hAnsi="Cambria"/>
          <w:b/>
          <w:color w:val="auto"/>
          <w:sz w:val="24"/>
          <w:szCs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The results of the main treatment period will be summarized in a clinical trial report according to the ICH E3 Note for guidance on structure and content of clinical trial reports. Results of the extended treatment period will be reported in an addendum to the clinical trial report. </w:t>
      </w:r>
    </w:p>
    <w:p w:rsidR="005E6A25" w:rsidRDefault="00604672">
      <w:pPr>
        <w:autoSpaceDE w:val="0"/>
        <w:autoSpaceDN w:val="0"/>
        <w:adjustRightInd w:val="0"/>
        <w:jc w:val="both"/>
        <w:rPr>
          <w:lang w:val="en-GB" w:eastAsia="it-IT"/>
        </w:rPr>
      </w:pPr>
      <w:r w:rsidRPr="00604672">
        <w:rPr>
          <w:lang w:val="en-GB" w:eastAsia="it-IT"/>
        </w:rPr>
        <w:t xml:space="preserve">Regular safety update reports will be submitted to investigators as well as to regulatory authorities and IECs, as appropriate, within the timeframes defined per national regulation or by the IEC. </w:t>
      </w:r>
    </w:p>
    <w:p w:rsidR="00F65655" w:rsidRPr="00573C3D" w:rsidRDefault="00604672" w:rsidP="00573C3D">
      <w:pPr>
        <w:jc w:val="both"/>
        <w:rPr>
          <w:rFonts w:eastAsia="Times New Roman"/>
          <w:lang w:val="en-GB"/>
        </w:rPr>
      </w:pPr>
      <w:r w:rsidRPr="00604672">
        <w:rPr>
          <w:lang w:val="en-GB" w:eastAsia="it-IT"/>
        </w:rPr>
        <w:t xml:space="preserve">The preparation and submission of abstracts or manuscripts including the trial results will be coordinated by the steering committee. The </w:t>
      </w:r>
      <w:r w:rsidRPr="00604672">
        <w:rPr>
          <w:lang w:val="en-GB"/>
        </w:rPr>
        <w:t>publication or presentation of any trial results shall comply with all applicable privacy laws.</w:t>
      </w:r>
    </w:p>
    <w:p w:rsidR="00F65655" w:rsidRPr="00573C3D" w:rsidRDefault="00F65655" w:rsidP="00573C3D">
      <w:pPr>
        <w:jc w:val="both"/>
        <w:rPr>
          <w:rFonts w:eastAsia="Times New Roman"/>
          <w:lang w:val="en-GB"/>
        </w:rPr>
      </w:pPr>
    </w:p>
    <w:p w:rsidR="005E6A25" w:rsidRPr="00395598" w:rsidRDefault="0041459E" w:rsidP="00395598">
      <w:pPr>
        <w:pStyle w:val="Nagwek1"/>
        <w:rPr>
          <w:rFonts w:ascii="Cambria" w:hAnsi="Cambria"/>
          <w:b/>
          <w:color w:val="auto"/>
          <w:sz w:val="24"/>
          <w:szCs w:val="24"/>
          <w:lang w:val="en-GB" w:eastAsia="it-IT"/>
        </w:rPr>
      </w:pPr>
      <w:bookmarkStart w:id="143" w:name="_Toc86608153"/>
      <w:r w:rsidRPr="00395598">
        <w:rPr>
          <w:rFonts w:ascii="Cambria" w:hAnsi="Cambria"/>
          <w:b/>
          <w:color w:val="auto"/>
          <w:sz w:val="24"/>
          <w:szCs w:val="24"/>
          <w:lang w:val="en-GB" w:eastAsia="it-IT"/>
        </w:rPr>
        <w:t>17</w:t>
      </w:r>
      <w:r w:rsidR="004B412F" w:rsidRPr="00395598">
        <w:rPr>
          <w:rFonts w:ascii="Cambria" w:hAnsi="Cambria"/>
          <w:b/>
          <w:color w:val="auto"/>
          <w:sz w:val="24"/>
          <w:szCs w:val="24"/>
          <w:lang w:val="en-GB" w:eastAsia="it-IT"/>
        </w:rPr>
        <w:t>.</w:t>
      </w:r>
      <w:r w:rsidR="00604672" w:rsidRPr="00395598">
        <w:rPr>
          <w:rFonts w:ascii="Cambria" w:hAnsi="Cambria"/>
          <w:b/>
          <w:color w:val="auto"/>
          <w:sz w:val="24"/>
          <w:szCs w:val="24"/>
          <w:lang w:val="en-GB" w:eastAsia="it-IT"/>
        </w:rPr>
        <w:t xml:space="preserve"> Trial periods</w:t>
      </w:r>
      <w:bookmarkEnd w:id="143"/>
      <w:r w:rsidR="00604672" w:rsidRPr="00395598">
        <w:rPr>
          <w:rFonts w:ascii="Cambria" w:hAnsi="Cambria"/>
          <w:b/>
          <w:color w:val="auto"/>
          <w:sz w:val="24"/>
          <w:szCs w:val="24"/>
          <w:lang w:val="en-GB" w:eastAsia="it-IT"/>
        </w:rPr>
        <w:t xml:space="preserve"> </w:t>
      </w:r>
    </w:p>
    <w:p w:rsidR="005E6A25" w:rsidRDefault="00604672">
      <w:pPr>
        <w:autoSpaceDE w:val="0"/>
        <w:autoSpaceDN w:val="0"/>
        <w:adjustRightInd w:val="0"/>
        <w:jc w:val="both"/>
        <w:rPr>
          <w:lang w:val="en-GB" w:eastAsia="it-IT"/>
        </w:rPr>
      </w:pPr>
      <w:r w:rsidRPr="00604672">
        <w:rPr>
          <w:lang w:val="en-GB" w:eastAsia="it-IT"/>
        </w:rPr>
        <w:t xml:space="preserve">Estimated start: </w:t>
      </w:r>
      <w:r w:rsidR="00CE6C92">
        <w:rPr>
          <w:lang w:val="en-GB" w:eastAsia="it-IT"/>
        </w:rPr>
        <w:t>May</w:t>
      </w:r>
      <w:r w:rsidRPr="00604672">
        <w:rPr>
          <w:lang w:val="en-GB" w:eastAsia="it-IT"/>
        </w:rPr>
        <w:t xml:space="preserve"> 2020 (first patient in) </w:t>
      </w:r>
    </w:p>
    <w:p w:rsidR="005E6A25" w:rsidRDefault="00604672">
      <w:pPr>
        <w:autoSpaceDE w:val="0"/>
        <w:autoSpaceDN w:val="0"/>
        <w:adjustRightInd w:val="0"/>
        <w:jc w:val="both"/>
        <w:rPr>
          <w:lang w:val="en-GB" w:eastAsia="it-IT"/>
        </w:rPr>
      </w:pPr>
      <w:r w:rsidRPr="00604672">
        <w:rPr>
          <w:lang w:val="en-GB" w:eastAsia="it-IT"/>
        </w:rPr>
        <w:t xml:space="preserve">Estimated end of treatment: December 2020 (last patient </w:t>
      </w:r>
      <w:proofErr w:type="spellStart"/>
      <w:r w:rsidRPr="00604672">
        <w:rPr>
          <w:lang w:val="en-GB" w:eastAsia="it-IT"/>
        </w:rPr>
        <w:t>EoS</w:t>
      </w:r>
      <w:proofErr w:type="spellEnd"/>
      <w:r w:rsidRPr="00604672">
        <w:rPr>
          <w:lang w:val="en-GB" w:eastAsia="it-IT"/>
        </w:rPr>
        <w:t xml:space="preserve"> visit) </w:t>
      </w:r>
    </w:p>
    <w:p w:rsidR="005E6A25" w:rsidRDefault="00604672">
      <w:pPr>
        <w:autoSpaceDE w:val="0"/>
        <w:autoSpaceDN w:val="0"/>
        <w:adjustRightInd w:val="0"/>
        <w:jc w:val="both"/>
        <w:rPr>
          <w:lang w:val="en-GB" w:eastAsia="it-IT"/>
        </w:rPr>
      </w:pPr>
      <w:r w:rsidRPr="00604672">
        <w:rPr>
          <w:lang w:val="en-GB" w:eastAsia="it-IT"/>
        </w:rPr>
        <w:t xml:space="preserve">Estimated recruitment period: </w:t>
      </w:r>
      <w:r w:rsidR="00884F60">
        <w:rPr>
          <w:lang w:val="en-GB" w:eastAsia="it-IT"/>
        </w:rPr>
        <w:t>8</w:t>
      </w:r>
      <w:r w:rsidRPr="00604672">
        <w:rPr>
          <w:lang w:val="en-GB" w:eastAsia="it-IT"/>
        </w:rPr>
        <w:t xml:space="preserve"> months </w:t>
      </w:r>
    </w:p>
    <w:p w:rsidR="00F65655" w:rsidRPr="00573C3D" w:rsidRDefault="00604672" w:rsidP="00573C3D">
      <w:pPr>
        <w:jc w:val="both"/>
        <w:rPr>
          <w:rFonts w:eastAsia="Times New Roman"/>
          <w:lang w:val="en-GB"/>
        </w:rPr>
      </w:pPr>
      <w:r w:rsidRPr="00604672">
        <w:rPr>
          <w:lang w:val="en-GB" w:eastAsia="it-IT"/>
        </w:rPr>
        <w:t xml:space="preserve">The end of the trial is defined as last patient visit, i.e. the </w:t>
      </w:r>
      <w:proofErr w:type="spellStart"/>
      <w:r w:rsidRPr="00604672">
        <w:rPr>
          <w:lang w:val="en-GB" w:eastAsia="it-IT"/>
        </w:rPr>
        <w:t>EoS</w:t>
      </w:r>
      <w:proofErr w:type="spellEnd"/>
      <w:r w:rsidRPr="00604672">
        <w:rPr>
          <w:lang w:val="en-GB" w:eastAsia="it-IT"/>
        </w:rPr>
        <w:t xml:space="preserve"> visit, in any participating </w:t>
      </w:r>
      <w:r w:rsidR="00573C3D" w:rsidRPr="00573C3D">
        <w:rPr>
          <w:lang w:val="en-GB" w:eastAsia="it-IT"/>
        </w:rPr>
        <w:t>site</w:t>
      </w:r>
      <w:r w:rsidRPr="00604672">
        <w:rPr>
          <w:lang w:val="en-GB" w:eastAsia="it-IT"/>
        </w:rPr>
        <w:t>.</w:t>
      </w:r>
    </w:p>
    <w:p w:rsidR="00F65655" w:rsidRPr="00573C3D" w:rsidRDefault="00F65655" w:rsidP="00573C3D">
      <w:pPr>
        <w:jc w:val="both"/>
        <w:rPr>
          <w:rFonts w:eastAsia="Times New Roman"/>
          <w:lang w:val="en-GB"/>
        </w:rPr>
      </w:pPr>
    </w:p>
    <w:p w:rsidR="00CE6C92" w:rsidRDefault="00CE6C92" w:rsidP="00573C3D">
      <w:pPr>
        <w:jc w:val="both"/>
        <w:rPr>
          <w:rFonts w:eastAsia="Times New Roman"/>
          <w:lang w:val="en-GB"/>
        </w:rPr>
      </w:pPr>
    </w:p>
    <w:p w:rsidR="00CE6C92" w:rsidRPr="00573C3D" w:rsidRDefault="00CE6C92" w:rsidP="00573C3D">
      <w:pPr>
        <w:jc w:val="both"/>
        <w:rPr>
          <w:rFonts w:eastAsia="Times New Roman"/>
          <w:lang w:val="en-GB"/>
        </w:rPr>
      </w:pPr>
    </w:p>
    <w:p w:rsidR="006B24F4" w:rsidRDefault="006B24F4" w:rsidP="006B24F4">
      <w:pPr>
        <w:pStyle w:val="Tekstpodstawowy"/>
      </w:pPr>
    </w:p>
    <w:p w:rsidR="006B24F4" w:rsidRDefault="006B24F4" w:rsidP="006B24F4">
      <w:pPr>
        <w:pStyle w:val="Tekstpodstawowy"/>
      </w:pPr>
    </w:p>
    <w:p w:rsidR="006B24F4" w:rsidRDefault="006B24F4" w:rsidP="006B24F4">
      <w:pPr>
        <w:pStyle w:val="Tekstpodstawowy"/>
      </w:pPr>
    </w:p>
    <w:p w:rsidR="006B24F4" w:rsidRDefault="006B24F4" w:rsidP="006B24F4">
      <w:pPr>
        <w:pStyle w:val="Tekstpodstawowy"/>
      </w:pPr>
    </w:p>
    <w:p w:rsidR="006B24F4" w:rsidRDefault="006B24F4" w:rsidP="006B24F4">
      <w:pPr>
        <w:pStyle w:val="Tekstpodstawowy"/>
      </w:pPr>
    </w:p>
    <w:p w:rsidR="006B24F4" w:rsidRDefault="006B24F4" w:rsidP="006B24F4">
      <w:pPr>
        <w:pStyle w:val="Tekstpodstawowy"/>
      </w:pPr>
    </w:p>
    <w:p w:rsidR="006B24F4" w:rsidRDefault="006B24F4" w:rsidP="006B24F4">
      <w:pPr>
        <w:pStyle w:val="Tekstpodstawowy"/>
      </w:pPr>
    </w:p>
    <w:p w:rsidR="006B24F4" w:rsidRDefault="006B24F4" w:rsidP="006B24F4">
      <w:pPr>
        <w:pStyle w:val="Tekstpodstawowy"/>
      </w:pPr>
    </w:p>
    <w:p w:rsidR="006B24F4" w:rsidRDefault="006B24F4" w:rsidP="00395598">
      <w:pPr>
        <w:pStyle w:val="Nagwek1"/>
        <w:rPr>
          <w:rFonts w:ascii="Cambria" w:eastAsia="Times New Roman" w:hAnsi="Cambria"/>
          <w:b/>
          <w:color w:val="auto"/>
          <w:sz w:val="24"/>
          <w:szCs w:val="24"/>
          <w:lang w:val="en-GB"/>
        </w:rPr>
      </w:pPr>
    </w:p>
    <w:p w:rsidR="006B24F4" w:rsidRDefault="006B24F4" w:rsidP="006B24F4">
      <w:pPr>
        <w:rPr>
          <w:lang w:val="en-GB"/>
        </w:rPr>
      </w:pPr>
    </w:p>
    <w:p w:rsidR="006B24F4" w:rsidRDefault="006B24F4" w:rsidP="006B24F4">
      <w:pPr>
        <w:rPr>
          <w:lang w:val="en-GB"/>
        </w:rPr>
      </w:pPr>
    </w:p>
    <w:p w:rsidR="006B24F4" w:rsidRDefault="006B24F4" w:rsidP="006B24F4">
      <w:pPr>
        <w:rPr>
          <w:lang w:val="en-GB"/>
        </w:rPr>
      </w:pPr>
    </w:p>
    <w:p w:rsidR="006B24F4" w:rsidRDefault="006B24F4" w:rsidP="006B24F4">
      <w:pPr>
        <w:rPr>
          <w:lang w:val="en-GB"/>
        </w:rPr>
      </w:pPr>
    </w:p>
    <w:p w:rsidR="006B24F4" w:rsidRDefault="006B24F4" w:rsidP="006B24F4">
      <w:pPr>
        <w:rPr>
          <w:lang w:val="en-GB"/>
        </w:rPr>
      </w:pPr>
    </w:p>
    <w:p w:rsidR="006B24F4" w:rsidRPr="006B24F4" w:rsidRDefault="006B24F4" w:rsidP="006B24F4">
      <w:pPr>
        <w:rPr>
          <w:lang w:val="en-GB"/>
        </w:rPr>
      </w:pPr>
    </w:p>
    <w:p w:rsidR="00771DEA" w:rsidRPr="00395598" w:rsidRDefault="004B412F" w:rsidP="00395598">
      <w:pPr>
        <w:pStyle w:val="Nagwek1"/>
        <w:rPr>
          <w:rFonts w:ascii="Cambria" w:eastAsia="Times New Roman" w:hAnsi="Cambria"/>
          <w:b/>
          <w:color w:val="auto"/>
          <w:sz w:val="24"/>
          <w:szCs w:val="24"/>
          <w:lang w:val="en-GB"/>
        </w:rPr>
      </w:pPr>
      <w:bookmarkStart w:id="144" w:name="_Toc86608154"/>
      <w:r w:rsidRPr="00395598">
        <w:rPr>
          <w:rFonts w:ascii="Cambria" w:eastAsia="Times New Roman" w:hAnsi="Cambria"/>
          <w:b/>
          <w:color w:val="auto"/>
          <w:sz w:val="24"/>
          <w:szCs w:val="24"/>
          <w:lang w:val="en-GB"/>
        </w:rPr>
        <w:lastRenderedPageBreak/>
        <w:t xml:space="preserve">18. </w:t>
      </w:r>
      <w:r w:rsidR="00D14BAA" w:rsidRPr="00395598">
        <w:rPr>
          <w:rFonts w:ascii="Cambria" w:eastAsia="Times New Roman" w:hAnsi="Cambria"/>
          <w:b/>
          <w:color w:val="auto"/>
          <w:sz w:val="24"/>
          <w:szCs w:val="24"/>
          <w:lang w:val="en-GB"/>
        </w:rPr>
        <w:t>References</w:t>
      </w:r>
      <w:bookmarkEnd w:id="144"/>
    </w:p>
    <w:p w:rsidR="00771DEA" w:rsidRPr="00573C3D" w:rsidRDefault="00771DEA">
      <w:pPr>
        <w:jc w:val="both"/>
        <w:rPr>
          <w:rFonts w:eastAsia="Times New Roman"/>
          <w:lang w:val="en-GB"/>
        </w:rPr>
      </w:pPr>
    </w:p>
    <w:p w:rsidR="005124DC" w:rsidRPr="00573C3D" w:rsidRDefault="0047500D" w:rsidP="005124DC">
      <w:pPr>
        <w:pStyle w:val="EndNoteBibliography"/>
        <w:ind w:left="720" w:hanging="720"/>
        <w:rPr>
          <w:lang w:val="en-GB"/>
        </w:rPr>
      </w:pPr>
      <w:r w:rsidRPr="00573C3D">
        <w:rPr>
          <w:rFonts w:eastAsia="Times New Roman"/>
          <w:lang w:val="en-GB"/>
        </w:rPr>
        <w:fldChar w:fldCharType="begin"/>
      </w:r>
      <w:r w:rsidR="00771DEA" w:rsidRPr="00573C3D">
        <w:rPr>
          <w:rFonts w:eastAsia="Times New Roman"/>
          <w:lang w:val="en-GB"/>
        </w:rPr>
        <w:instrText xml:space="preserve"> ADDIN EN.REFLIST </w:instrText>
      </w:r>
      <w:r w:rsidRPr="00573C3D">
        <w:rPr>
          <w:rFonts w:eastAsia="Times New Roman"/>
          <w:lang w:val="en-GB"/>
        </w:rPr>
        <w:fldChar w:fldCharType="separate"/>
      </w:r>
      <w:r w:rsidR="00604672" w:rsidRPr="00604672">
        <w:rPr>
          <w:lang w:val="en-GB"/>
        </w:rPr>
        <w:t>1.</w:t>
      </w:r>
      <w:r w:rsidR="00604672" w:rsidRPr="00604672">
        <w:rPr>
          <w:lang w:val="en-GB"/>
        </w:rPr>
        <w:tab/>
        <w:t>Baden LR, Rubin EJ</w:t>
      </w:r>
      <w:r w:rsidR="00604672" w:rsidRPr="00604672">
        <w:rPr>
          <w:b/>
          <w:lang w:val="en-GB"/>
        </w:rPr>
        <w:t xml:space="preserve">. </w:t>
      </w:r>
      <w:r w:rsidR="00604672" w:rsidRPr="00604672">
        <w:rPr>
          <w:lang w:val="en-GB"/>
        </w:rPr>
        <w:t>Covid-19 - The Search for Effective Therapy. N Engl J Med. 2020.</w:t>
      </w:r>
    </w:p>
    <w:p w:rsidR="005124DC" w:rsidRPr="00573C3D" w:rsidRDefault="00604672" w:rsidP="005124DC">
      <w:pPr>
        <w:pStyle w:val="EndNoteBibliography"/>
        <w:ind w:left="720" w:hanging="720"/>
        <w:rPr>
          <w:lang w:val="en-GB"/>
        </w:rPr>
      </w:pPr>
      <w:r w:rsidRPr="00604672">
        <w:rPr>
          <w:lang w:val="en-GB"/>
        </w:rPr>
        <w:t>2.</w:t>
      </w:r>
      <w:r w:rsidRPr="00604672">
        <w:rPr>
          <w:lang w:val="en-GB"/>
        </w:rPr>
        <w:tab/>
        <w:t>Hoffmann M, Kleine-Weber H, Schroeder S, Kruger N, Herrler T, Erichsen S, et al.</w:t>
      </w:r>
      <w:r w:rsidRPr="00604672">
        <w:rPr>
          <w:b/>
          <w:lang w:val="en-GB"/>
        </w:rPr>
        <w:t xml:space="preserve"> </w:t>
      </w:r>
      <w:r w:rsidRPr="00604672">
        <w:rPr>
          <w:lang w:val="en-GB"/>
        </w:rPr>
        <w:t>SARS-CoV-2 Cell Entry Depends on ACE2 and TMPRSS2 and Is Blocked by a Clinically Proven Protease Inhibitor. Cell. 2020.</w:t>
      </w:r>
    </w:p>
    <w:p w:rsidR="005124DC" w:rsidRPr="00573C3D" w:rsidRDefault="00604672" w:rsidP="005124DC">
      <w:pPr>
        <w:pStyle w:val="EndNoteBibliography"/>
        <w:ind w:left="720" w:hanging="720"/>
        <w:rPr>
          <w:lang w:val="en-GB"/>
        </w:rPr>
      </w:pPr>
      <w:r w:rsidRPr="00604672">
        <w:rPr>
          <w:lang w:val="en-GB"/>
        </w:rPr>
        <w:t>3.</w:t>
      </w:r>
      <w:r w:rsidRPr="00604672">
        <w:rPr>
          <w:lang w:val="en-GB"/>
        </w:rPr>
        <w:tab/>
        <w:t>Millet JK, Whittaker GR</w:t>
      </w:r>
      <w:r w:rsidRPr="00604672">
        <w:rPr>
          <w:b/>
          <w:lang w:val="en-GB"/>
        </w:rPr>
        <w:t xml:space="preserve">. </w:t>
      </w:r>
      <w:r w:rsidRPr="00604672">
        <w:rPr>
          <w:lang w:val="en-GB"/>
        </w:rPr>
        <w:t>Physiological and molecular triggers for SARS-CoV membrane fusion and entry into host cells. Virology. 2018;517:3-8.</w:t>
      </w:r>
    </w:p>
    <w:p w:rsidR="005124DC" w:rsidRPr="00573C3D" w:rsidRDefault="00604672" w:rsidP="005124DC">
      <w:pPr>
        <w:pStyle w:val="EndNoteBibliography"/>
        <w:ind w:left="720" w:hanging="720"/>
        <w:rPr>
          <w:lang w:val="en-GB"/>
        </w:rPr>
      </w:pPr>
      <w:r w:rsidRPr="00604672">
        <w:rPr>
          <w:lang w:val="en-GB"/>
        </w:rPr>
        <w:t>4.</w:t>
      </w:r>
      <w:r w:rsidRPr="00604672">
        <w:rPr>
          <w:lang w:val="en-GB"/>
        </w:rPr>
        <w:tab/>
        <w:t>Stadler K, Ha HR, Ciminale V, Spirli C, Saletti G, Schiavon M, et al.</w:t>
      </w:r>
      <w:r w:rsidRPr="00604672">
        <w:rPr>
          <w:b/>
          <w:lang w:val="en-GB"/>
        </w:rPr>
        <w:t xml:space="preserve"> </w:t>
      </w:r>
      <w:r w:rsidRPr="00604672">
        <w:rPr>
          <w:lang w:val="en-GB"/>
        </w:rPr>
        <w:t>Amiodarone alters late endosomes and inhibits SARS coronavirus infection at a post-endosomal level. Am J Respir Cell Mol Biol. 2008;39(2):142-9.</w:t>
      </w:r>
    </w:p>
    <w:p w:rsidR="005124DC" w:rsidRPr="00573C3D" w:rsidRDefault="00604672" w:rsidP="005124DC">
      <w:pPr>
        <w:pStyle w:val="EndNoteBibliography"/>
        <w:ind w:left="720" w:hanging="720"/>
        <w:rPr>
          <w:lang w:val="en-GB"/>
        </w:rPr>
      </w:pPr>
      <w:r w:rsidRPr="00604672">
        <w:rPr>
          <w:lang w:val="en-GB"/>
        </w:rPr>
        <w:t>5.</w:t>
      </w:r>
      <w:r w:rsidRPr="00604672">
        <w:rPr>
          <w:lang w:val="en-GB"/>
        </w:rPr>
        <w:tab/>
        <w:t>Gehring G, Rohrmann K, Atenchong N, Mittler E, Becker S, Dahlmann F, et al.</w:t>
      </w:r>
      <w:r w:rsidRPr="00604672">
        <w:rPr>
          <w:b/>
          <w:lang w:val="en-GB"/>
        </w:rPr>
        <w:t xml:space="preserve"> </w:t>
      </w:r>
      <w:r w:rsidRPr="00604672">
        <w:rPr>
          <w:lang w:val="en-GB"/>
        </w:rPr>
        <w:t>The clinically approved drugs amiodarone, dronedarone and verapamil inhibit filovirus cell entry. J Antimicrob Chemother. 2014;69(8):2123-31.</w:t>
      </w:r>
    </w:p>
    <w:p w:rsidR="005124DC" w:rsidRPr="00573C3D" w:rsidRDefault="00604672" w:rsidP="005124DC">
      <w:pPr>
        <w:pStyle w:val="EndNoteBibliography"/>
        <w:ind w:left="720" w:hanging="720"/>
        <w:rPr>
          <w:lang w:val="en-GB"/>
        </w:rPr>
      </w:pPr>
      <w:r w:rsidRPr="00604672">
        <w:rPr>
          <w:lang w:val="en-GB"/>
        </w:rPr>
        <w:t>6.</w:t>
      </w:r>
      <w:r w:rsidRPr="00604672">
        <w:rPr>
          <w:lang w:val="en-GB"/>
        </w:rPr>
        <w:tab/>
        <w:t>Rock EP, Finkle J, Fingert HJ, Booth BP, Garnett CE, Grant S, et al.</w:t>
      </w:r>
      <w:r w:rsidRPr="00604672">
        <w:rPr>
          <w:b/>
          <w:lang w:val="en-GB"/>
        </w:rPr>
        <w:t xml:space="preserve"> </w:t>
      </w:r>
      <w:r w:rsidRPr="00604672">
        <w:rPr>
          <w:lang w:val="en-GB"/>
        </w:rPr>
        <w:t>Assessing proarrhythmic potential of drugs when optimal studies are infeasible. Am Heart J. 2009;157(5):827-36, 36 e1.</w:t>
      </w:r>
    </w:p>
    <w:p w:rsidR="005124DC" w:rsidRPr="00573C3D" w:rsidRDefault="00604672" w:rsidP="005124DC">
      <w:pPr>
        <w:pStyle w:val="EndNoteBibliography"/>
        <w:ind w:left="720" w:hanging="720"/>
        <w:rPr>
          <w:lang w:val="en-GB"/>
        </w:rPr>
      </w:pPr>
      <w:r w:rsidRPr="00604672">
        <w:rPr>
          <w:lang w:val="en-GB"/>
        </w:rPr>
        <w:t>7.</w:t>
      </w:r>
      <w:r w:rsidRPr="00604672">
        <w:rPr>
          <w:lang w:val="en-GB"/>
        </w:rPr>
        <w:tab/>
        <w:t>Simpson TK, RJ.;  Stecker,  EC.</w:t>
      </w:r>
      <w:r w:rsidRPr="00604672">
        <w:rPr>
          <w:b/>
          <w:lang w:val="en-GB"/>
        </w:rPr>
        <w:t xml:space="preserve"> </w:t>
      </w:r>
      <w:r w:rsidRPr="00604672">
        <w:rPr>
          <w:lang w:val="en-GB"/>
        </w:rPr>
        <w:t>Ventricular Arrhythmia Risk Due to Hydroxychloroquine-Azithromycin Treatment For COVID-19. Cardiology Magazine Published on March 2020. Accessed on April 07.</w:t>
      </w:r>
    </w:p>
    <w:p w:rsidR="005124DC" w:rsidRPr="00573C3D" w:rsidRDefault="00604672" w:rsidP="005124DC">
      <w:pPr>
        <w:pStyle w:val="EndNoteBibliography"/>
        <w:ind w:left="720" w:hanging="720"/>
        <w:rPr>
          <w:lang w:val="en-GB"/>
        </w:rPr>
      </w:pPr>
      <w:r w:rsidRPr="00604672">
        <w:rPr>
          <w:lang w:val="en-GB"/>
        </w:rPr>
        <w:t>8.</w:t>
      </w:r>
      <w:r w:rsidRPr="00604672">
        <w:rPr>
          <w:lang w:val="en-GB"/>
        </w:rPr>
        <w:tab/>
        <w:t>Cao B, Wang Y, Wen D, Liu W, Wang J, Fan G, et al.</w:t>
      </w:r>
      <w:r w:rsidRPr="00604672">
        <w:rPr>
          <w:b/>
          <w:lang w:val="en-GB"/>
        </w:rPr>
        <w:t xml:space="preserve"> </w:t>
      </w:r>
      <w:r w:rsidRPr="00604672">
        <w:rPr>
          <w:lang w:val="en-GB"/>
        </w:rPr>
        <w:t>A Trial of Lopinavir-Ritonavir in Adults Hospitalized with Severe Covid-19. N Engl J Med. 2020.</w:t>
      </w:r>
    </w:p>
    <w:p w:rsidR="00B43BB5" w:rsidRPr="00573C3D" w:rsidRDefault="0047500D">
      <w:pPr>
        <w:jc w:val="both"/>
        <w:rPr>
          <w:rFonts w:eastAsia="Times New Roman"/>
          <w:lang w:val="en-GB"/>
        </w:rPr>
      </w:pPr>
      <w:r w:rsidRPr="00573C3D">
        <w:rPr>
          <w:rFonts w:eastAsia="Times New Roman"/>
          <w:lang w:val="en-GB"/>
        </w:rPr>
        <w:fldChar w:fldCharType="end"/>
      </w:r>
    </w:p>
    <w:sectPr w:rsidR="00B43BB5" w:rsidRPr="00573C3D" w:rsidSect="00141BED">
      <w:pgSz w:w="11900" w:h="16840"/>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00" w:rsidRDefault="00AD3900" w:rsidP="001314F5">
      <w:r>
        <w:separator/>
      </w:r>
    </w:p>
  </w:endnote>
  <w:endnote w:type="continuationSeparator" w:id="0">
    <w:p w:rsidR="00AD3900" w:rsidRDefault="00AD3900" w:rsidP="00131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071738186"/>
      <w:docPartObj>
        <w:docPartGallery w:val="Page Numbers (Bottom of Page)"/>
        <w:docPartUnique/>
      </w:docPartObj>
    </w:sdtPr>
    <w:sdtEndPr>
      <w:rPr>
        <w:sz w:val="24"/>
        <w:szCs w:val="24"/>
      </w:rPr>
    </w:sdtEndPr>
    <w:sdtContent>
      <w:p w:rsidR="00117E06" w:rsidRDefault="00117E06">
        <w:pPr>
          <w:pStyle w:val="Stopka"/>
          <w:jc w:val="right"/>
        </w:pPr>
        <w:r>
          <w:rPr>
            <w:sz w:val="20"/>
            <w:szCs w:val="20"/>
          </w:rPr>
          <w:t xml:space="preserve">Confidential </w:t>
        </w:r>
        <w:r>
          <w:rPr>
            <w:sz w:val="20"/>
            <w:szCs w:val="20"/>
          </w:rPr>
          <w:tab/>
        </w:r>
        <w:r>
          <w:rPr>
            <w:sz w:val="20"/>
            <w:szCs w:val="20"/>
          </w:rPr>
          <w:tab/>
        </w:r>
        <w:r w:rsidRPr="00604672">
          <w:rPr>
            <w:sz w:val="20"/>
            <w:szCs w:val="20"/>
          </w:rPr>
          <w:t xml:space="preserve">Page </w:t>
        </w:r>
        <w:r w:rsidR="0047500D" w:rsidRPr="0047500D">
          <w:rPr>
            <w:sz w:val="20"/>
            <w:szCs w:val="20"/>
          </w:rPr>
          <w:fldChar w:fldCharType="begin"/>
        </w:r>
        <w:r w:rsidRPr="00604672">
          <w:rPr>
            <w:sz w:val="20"/>
            <w:szCs w:val="20"/>
          </w:rPr>
          <w:instrText>PAGE   \* MERGEFORMAT</w:instrText>
        </w:r>
        <w:r w:rsidR="0047500D" w:rsidRPr="0047500D">
          <w:rPr>
            <w:sz w:val="20"/>
            <w:szCs w:val="20"/>
          </w:rPr>
          <w:fldChar w:fldCharType="separate"/>
        </w:r>
        <w:r w:rsidR="006C528C" w:rsidRPr="006C528C">
          <w:rPr>
            <w:noProof/>
            <w:sz w:val="20"/>
            <w:szCs w:val="20"/>
            <w:lang w:val="it-IT"/>
          </w:rPr>
          <w:t>29</w:t>
        </w:r>
        <w:r w:rsidR="0047500D" w:rsidRPr="00604672">
          <w:rPr>
            <w:noProof/>
            <w:sz w:val="20"/>
            <w:szCs w:val="20"/>
            <w:lang w:val="it-IT"/>
          </w:rPr>
          <w:fldChar w:fldCharType="end"/>
        </w:r>
        <w:r w:rsidRPr="00604672">
          <w:rPr>
            <w:noProof/>
            <w:sz w:val="20"/>
            <w:szCs w:val="20"/>
            <w:lang w:val="it-IT"/>
          </w:rPr>
          <w:t xml:space="preserve"> of </w:t>
        </w:r>
        <w:r>
          <w:rPr>
            <w:noProof/>
            <w:sz w:val="20"/>
            <w:szCs w:val="20"/>
            <w:lang w:val="it-IT"/>
          </w:rPr>
          <w:t>30</w:t>
        </w:r>
      </w:p>
    </w:sdtContent>
  </w:sdt>
  <w:p w:rsidR="00117E06" w:rsidRDefault="00117E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00" w:rsidRDefault="00AD3900" w:rsidP="001314F5">
      <w:r>
        <w:separator/>
      </w:r>
    </w:p>
  </w:footnote>
  <w:footnote w:type="continuationSeparator" w:id="0">
    <w:p w:rsidR="00AD3900" w:rsidRDefault="00AD3900" w:rsidP="00131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06" w:rsidRPr="00DD7456" w:rsidRDefault="00117E06">
    <w:pPr>
      <w:pStyle w:val="Nagwek"/>
      <w:rPr>
        <w:sz w:val="20"/>
        <w:szCs w:val="20"/>
        <w:lang w:val="en-US"/>
      </w:rPr>
    </w:pPr>
    <w:proofErr w:type="spellStart"/>
    <w:r w:rsidRPr="00DD7456">
      <w:rPr>
        <w:b/>
        <w:sz w:val="20"/>
        <w:szCs w:val="20"/>
        <w:lang w:val="en-GB"/>
      </w:rPr>
      <w:t>ReCOVery</w:t>
    </w:r>
    <w:proofErr w:type="spellEnd"/>
    <w:r w:rsidRPr="00DD7456">
      <w:rPr>
        <w:b/>
        <w:sz w:val="20"/>
        <w:szCs w:val="20"/>
        <w:lang w:val="en-GB"/>
      </w:rPr>
      <w:t>-SIRIO Clinical Study Protocol</w:t>
    </w:r>
    <w:r>
      <w:rPr>
        <w:b/>
        <w:sz w:val="20"/>
        <w:szCs w:val="20"/>
        <w:lang w:val="en-GB"/>
      </w:rPr>
      <w:tab/>
    </w:r>
    <w:r>
      <w:rPr>
        <w:b/>
        <w:sz w:val="20"/>
        <w:szCs w:val="20"/>
        <w:lang w:val="en-GB"/>
      </w:rPr>
      <w:tab/>
    </w:r>
    <w:r w:rsidRPr="00DD7456">
      <w:rPr>
        <w:b/>
        <w:sz w:val="20"/>
        <w:szCs w:val="20"/>
        <w:lang w:val="en-GB"/>
      </w:rPr>
      <w:t>Version 3.</w:t>
    </w:r>
    <w:r>
      <w:rPr>
        <w:b/>
        <w:sz w:val="20"/>
        <w:szCs w:val="20"/>
        <w:lang w:val="en-GB"/>
      </w:rPr>
      <w:t>2</w:t>
    </w:r>
    <w:r w:rsidRPr="00DD7456">
      <w:rPr>
        <w:b/>
        <w:sz w:val="20"/>
        <w:szCs w:val="20"/>
        <w:lang w:val="en-GB"/>
      </w:rPr>
      <w:t xml:space="preserve">, </w:t>
    </w:r>
    <w:r>
      <w:rPr>
        <w:b/>
        <w:sz w:val="20"/>
        <w:szCs w:val="20"/>
        <w:lang w:val="en-GB"/>
      </w:rPr>
      <w:t>29October</w:t>
    </w:r>
    <w:r w:rsidRPr="00DD7456">
      <w:rPr>
        <w:b/>
        <w:sz w:val="20"/>
        <w:szCs w:val="20"/>
        <w:lang w:val="en-GB"/>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849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7B31"/>
    <w:multiLevelType w:val="hybridMultilevel"/>
    <w:tmpl w:val="DC72A6E0"/>
    <w:lvl w:ilvl="0" w:tplc="EEDACE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9D1D30"/>
    <w:multiLevelType w:val="hybridMultilevel"/>
    <w:tmpl w:val="B9A696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01F73"/>
    <w:multiLevelType w:val="hybridMultilevel"/>
    <w:tmpl w:val="51E09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107F4D"/>
    <w:multiLevelType w:val="hybridMultilevel"/>
    <w:tmpl w:val="5EA44C46"/>
    <w:lvl w:ilvl="0" w:tplc="6AA83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14FC7"/>
    <w:multiLevelType w:val="singleLevel"/>
    <w:tmpl w:val="1A9414BA"/>
    <w:lvl w:ilvl="0">
      <w:start w:val="1"/>
      <w:numFmt w:val="lowerLetter"/>
      <w:pStyle w:val="listalpha"/>
      <w:lvlText w:val="%1."/>
      <w:lvlJc w:val="left"/>
      <w:pPr>
        <w:tabs>
          <w:tab w:val="num" w:pos="432"/>
        </w:tabs>
        <w:ind w:left="432" w:hanging="432"/>
      </w:pPr>
      <w:rPr>
        <w:rFonts w:ascii="Times New Roman" w:hAnsi="Times New Roman" w:cs="Times New Roman" w:hint="default"/>
      </w:rPr>
    </w:lvl>
  </w:abstractNum>
  <w:abstractNum w:abstractNumId="6">
    <w:nsid w:val="16073871"/>
    <w:multiLevelType w:val="hybridMultilevel"/>
    <w:tmpl w:val="714CD468"/>
    <w:lvl w:ilvl="0" w:tplc="FECEC18A">
      <w:start w:val="1"/>
      <w:numFmt w:val="decimal"/>
      <w:lvlText w:val="%1."/>
      <w:lvlJc w:val="left"/>
      <w:pPr>
        <w:ind w:left="720" w:hanging="360"/>
      </w:pPr>
      <w:rPr>
        <w:rFonts w:hint="default"/>
        <w:b/>
        <w:color w:val="0000FF"/>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A2EE7"/>
    <w:multiLevelType w:val="hybridMultilevel"/>
    <w:tmpl w:val="FD3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8168E"/>
    <w:multiLevelType w:val="hybridMultilevel"/>
    <w:tmpl w:val="97CE4106"/>
    <w:lvl w:ilvl="0" w:tplc="47F4EB5A">
      <w:start w:val="8"/>
      <w:numFmt w:val="bullet"/>
      <w:lvlText w:val="-"/>
      <w:lvlJc w:val="left"/>
      <w:pPr>
        <w:ind w:left="720" w:hanging="360"/>
      </w:pPr>
      <w:rPr>
        <w:rFonts w:ascii="Calibri" w:eastAsiaTheme="minorHAnsi" w:hAnsi="Calibri" w:cs="Helvetica Neue" w:hint="default"/>
        <w:color w:val="1B1B1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183F31"/>
    <w:multiLevelType w:val="hybridMultilevel"/>
    <w:tmpl w:val="A590F58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B1E10"/>
    <w:multiLevelType w:val="hybridMultilevel"/>
    <w:tmpl w:val="EAD806FC"/>
    <w:lvl w:ilvl="0" w:tplc="706A0DE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7E5AAD"/>
    <w:multiLevelType w:val="hybridMultilevel"/>
    <w:tmpl w:val="E68C4C32"/>
    <w:lvl w:ilvl="0" w:tplc="7EBA441A">
      <w:start w:val="6"/>
      <w:numFmt w:val="decimal"/>
      <w:lvlText w:val="%1"/>
      <w:lvlJc w:val="left"/>
      <w:pPr>
        <w:ind w:left="1785" w:hanging="360"/>
      </w:pPr>
      <w:rPr>
        <w:rFonts w:hint="default"/>
        <w:sz w:val="24"/>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
    <w:nsid w:val="24312BE5"/>
    <w:multiLevelType w:val="hybridMultilevel"/>
    <w:tmpl w:val="3412E63C"/>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6502"/>
    <w:multiLevelType w:val="hybridMultilevel"/>
    <w:tmpl w:val="72E2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966C9"/>
    <w:multiLevelType w:val="hybridMultilevel"/>
    <w:tmpl w:val="A6164196"/>
    <w:lvl w:ilvl="0" w:tplc="A150E11C">
      <w:start w:val="5"/>
      <w:numFmt w:val="bullet"/>
      <w:lvlText w:val="-"/>
      <w:lvlJc w:val="left"/>
      <w:pPr>
        <w:ind w:left="720" w:hanging="360"/>
      </w:pPr>
      <w:rPr>
        <w:rFonts w:ascii="Cambria" w:eastAsia="MS Mincho"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DD24A5"/>
    <w:multiLevelType w:val="hybridMultilevel"/>
    <w:tmpl w:val="C8669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7">
    <w:nsid w:val="314F6C26"/>
    <w:multiLevelType w:val="hybridMultilevel"/>
    <w:tmpl w:val="54D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E545E"/>
    <w:multiLevelType w:val="hybridMultilevel"/>
    <w:tmpl w:val="D8A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A652D"/>
    <w:multiLevelType w:val="hybridMultilevel"/>
    <w:tmpl w:val="94A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D49F8"/>
    <w:multiLevelType w:val="hybridMultilevel"/>
    <w:tmpl w:val="CFDCA98C"/>
    <w:lvl w:ilvl="0" w:tplc="23EC8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04411F"/>
    <w:multiLevelType w:val="hybridMultilevel"/>
    <w:tmpl w:val="EC0C4D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FA01C24"/>
    <w:multiLevelType w:val="hybridMultilevel"/>
    <w:tmpl w:val="64C8CF30"/>
    <w:lvl w:ilvl="0" w:tplc="C138191A">
      <w:start w:val="5"/>
      <w:numFmt w:val="bullet"/>
      <w:lvlText w:val="-"/>
      <w:lvlJc w:val="left"/>
      <w:pPr>
        <w:ind w:left="360" w:hanging="360"/>
      </w:pPr>
      <w:rPr>
        <w:rFonts w:ascii="Cambria" w:eastAsia="MS Mincho" w:hAnsi="Cambria"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FB54E50"/>
    <w:multiLevelType w:val="hybridMultilevel"/>
    <w:tmpl w:val="14E846AC"/>
    <w:lvl w:ilvl="0" w:tplc="04150015">
      <w:start w:val="1"/>
      <w:numFmt w:val="upp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nsid w:val="4D8B122E"/>
    <w:multiLevelType w:val="hybridMultilevel"/>
    <w:tmpl w:val="5C6AD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C32F5C"/>
    <w:multiLevelType w:val="hybridMultilevel"/>
    <w:tmpl w:val="CEB6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186FA2"/>
    <w:multiLevelType w:val="hybridMultilevel"/>
    <w:tmpl w:val="97E0D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60708"/>
    <w:multiLevelType w:val="hybridMultilevel"/>
    <w:tmpl w:val="327AC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ED536A"/>
    <w:multiLevelType w:val="hybridMultilevel"/>
    <w:tmpl w:val="A53E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22603"/>
    <w:multiLevelType w:val="hybridMultilevel"/>
    <w:tmpl w:val="0DF25AB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B926F7"/>
    <w:multiLevelType w:val="hybridMultilevel"/>
    <w:tmpl w:val="335CD0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E7163FF"/>
    <w:multiLevelType w:val="hybridMultilevel"/>
    <w:tmpl w:val="B814595E"/>
    <w:lvl w:ilvl="0" w:tplc="04150011">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666F06FE"/>
    <w:multiLevelType w:val="multilevel"/>
    <w:tmpl w:val="DE40F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AFD035C"/>
    <w:multiLevelType w:val="hybridMultilevel"/>
    <w:tmpl w:val="B92E8ADC"/>
    <w:lvl w:ilvl="0" w:tplc="ECB0C914">
      <w:start w:val="1"/>
      <w:numFmt w:val="decimal"/>
      <w:lvlText w:val="%1."/>
      <w:lvlJc w:val="left"/>
      <w:pPr>
        <w:ind w:left="644" w:hanging="360"/>
      </w:pPr>
      <w:rPr>
        <w:rFonts w:hint="default"/>
        <w:b/>
        <w:color w:val="auto"/>
        <w:sz w:val="28"/>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18"/>
  </w:num>
  <w:num w:numId="3">
    <w:abstractNumId w:val="28"/>
  </w:num>
  <w:num w:numId="4">
    <w:abstractNumId w:val="17"/>
  </w:num>
  <w:num w:numId="5">
    <w:abstractNumId w:val="13"/>
  </w:num>
  <w:num w:numId="6">
    <w:abstractNumId w:val="3"/>
  </w:num>
  <w:num w:numId="7">
    <w:abstractNumId w:val="0"/>
  </w:num>
  <w:num w:numId="8">
    <w:abstractNumId w:val="8"/>
  </w:num>
  <w:num w:numId="9">
    <w:abstractNumId w:val="24"/>
  </w:num>
  <w:num w:numId="10">
    <w:abstractNumId w:val="32"/>
  </w:num>
  <w:num w:numId="11">
    <w:abstractNumId w:val="29"/>
  </w:num>
  <w:num w:numId="12">
    <w:abstractNumId w:val="31"/>
  </w:num>
  <w:num w:numId="13">
    <w:abstractNumId w:val="16"/>
  </w:num>
  <w:num w:numId="14">
    <w:abstractNumId w:val="30"/>
  </w:num>
  <w:num w:numId="15">
    <w:abstractNumId w:val="5"/>
  </w:num>
  <w:num w:numId="16">
    <w:abstractNumId w:val="23"/>
  </w:num>
  <w:num w:numId="17">
    <w:abstractNumId w:val="12"/>
  </w:num>
  <w:num w:numId="18">
    <w:abstractNumId w:val="21"/>
  </w:num>
  <w:num w:numId="19">
    <w:abstractNumId w:val="9"/>
  </w:num>
  <w:num w:numId="20">
    <w:abstractNumId w:val="26"/>
  </w:num>
  <w:num w:numId="21">
    <w:abstractNumId w:val="19"/>
  </w:num>
  <w:num w:numId="22">
    <w:abstractNumId w:val="11"/>
  </w:num>
  <w:num w:numId="23">
    <w:abstractNumId w:val="2"/>
  </w:num>
  <w:num w:numId="24">
    <w:abstractNumId w:val="14"/>
  </w:num>
  <w:num w:numId="25">
    <w:abstractNumId w:val="10"/>
  </w:num>
  <w:num w:numId="26">
    <w:abstractNumId w:val="33"/>
  </w:num>
  <w:num w:numId="27">
    <w:abstractNumId w:val="4"/>
  </w:num>
  <w:num w:numId="28">
    <w:abstractNumId w:val="27"/>
  </w:num>
  <w:num w:numId="29">
    <w:abstractNumId w:val="15"/>
  </w:num>
  <w:num w:numId="30">
    <w:abstractNumId w:val="6"/>
  </w:num>
  <w:num w:numId="31">
    <w:abstractNumId w:val="1"/>
  </w:num>
  <w:num w:numId="32">
    <w:abstractNumId w:val="25"/>
  </w:num>
  <w:num w:numId="33">
    <w:abstractNumId w:val="2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TA1NbA0NzMxMLS0MDZQ0lEKTi0uzszPAykwrAUAahzlsywAAAA="/>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p0d5ep0dwrz6ew5w1x5tw9aszaw2exardd&quot;&gt;COVID-19&lt;record-ids&gt;&lt;item&gt;1&lt;/item&gt;&lt;item&gt;2&lt;/item&gt;&lt;item&gt;3&lt;/item&gt;&lt;item&gt;4&lt;/item&gt;&lt;item&gt;5&lt;/item&gt;&lt;item&gt;6&lt;/item&gt;&lt;item&gt;8&lt;/item&gt;&lt;item&gt;9&lt;/item&gt;&lt;/record-ids&gt;&lt;/item&gt;&lt;/Libraries&gt;"/>
  </w:docVars>
  <w:rsids>
    <w:rsidRoot w:val="003B73EA"/>
    <w:rsid w:val="00001FAB"/>
    <w:rsid w:val="000021D4"/>
    <w:rsid w:val="0000358F"/>
    <w:rsid w:val="00004AB6"/>
    <w:rsid w:val="00010B71"/>
    <w:rsid w:val="00011CAC"/>
    <w:rsid w:val="00013EB2"/>
    <w:rsid w:val="000144BB"/>
    <w:rsid w:val="00017073"/>
    <w:rsid w:val="00021BB2"/>
    <w:rsid w:val="00021DB5"/>
    <w:rsid w:val="00024723"/>
    <w:rsid w:val="00027371"/>
    <w:rsid w:val="000303E7"/>
    <w:rsid w:val="00030BB8"/>
    <w:rsid w:val="00032C89"/>
    <w:rsid w:val="000409E8"/>
    <w:rsid w:val="00042491"/>
    <w:rsid w:val="00045788"/>
    <w:rsid w:val="00046275"/>
    <w:rsid w:val="00052FAC"/>
    <w:rsid w:val="000533C3"/>
    <w:rsid w:val="00055CDC"/>
    <w:rsid w:val="000565DB"/>
    <w:rsid w:val="00056A7B"/>
    <w:rsid w:val="00057AB7"/>
    <w:rsid w:val="000608A6"/>
    <w:rsid w:val="00060E37"/>
    <w:rsid w:val="00061540"/>
    <w:rsid w:val="00062A26"/>
    <w:rsid w:val="00066287"/>
    <w:rsid w:val="00067ED0"/>
    <w:rsid w:val="00071658"/>
    <w:rsid w:val="00071BCD"/>
    <w:rsid w:val="000747E7"/>
    <w:rsid w:val="00077112"/>
    <w:rsid w:val="0007779F"/>
    <w:rsid w:val="00080A73"/>
    <w:rsid w:val="000812EF"/>
    <w:rsid w:val="00082182"/>
    <w:rsid w:val="00083AC9"/>
    <w:rsid w:val="0008434E"/>
    <w:rsid w:val="00084BE0"/>
    <w:rsid w:val="00090985"/>
    <w:rsid w:val="000949E8"/>
    <w:rsid w:val="00097C80"/>
    <w:rsid w:val="000A165B"/>
    <w:rsid w:val="000B0497"/>
    <w:rsid w:val="000B59DB"/>
    <w:rsid w:val="000B65B9"/>
    <w:rsid w:val="000C070E"/>
    <w:rsid w:val="000C5255"/>
    <w:rsid w:val="000C724C"/>
    <w:rsid w:val="000C74B4"/>
    <w:rsid w:val="000C794A"/>
    <w:rsid w:val="000D00F3"/>
    <w:rsid w:val="000D09E3"/>
    <w:rsid w:val="000D30D8"/>
    <w:rsid w:val="000D5851"/>
    <w:rsid w:val="000E1ECF"/>
    <w:rsid w:val="000E32A7"/>
    <w:rsid w:val="000E3FBD"/>
    <w:rsid w:val="000F2073"/>
    <w:rsid w:val="000F2128"/>
    <w:rsid w:val="000F2196"/>
    <w:rsid w:val="000F672D"/>
    <w:rsid w:val="000F6AA5"/>
    <w:rsid w:val="00101569"/>
    <w:rsid w:val="00101708"/>
    <w:rsid w:val="0010354F"/>
    <w:rsid w:val="00112DED"/>
    <w:rsid w:val="00114D77"/>
    <w:rsid w:val="00117534"/>
    <w:rsid w:val="00117E06"/>
    <w:rsid w:val="00121056"/>
    <w:rsid w:val="00123D79"/>
    <w:rsid w:val="00124EBC"/>
    <w:rsid w:val="0012556F"/>
    <w:rsid w:val="00125F97"/>
    <w:rsid w:val="00127552"/>
    <w:rsid w:val="00130E05"/>
    <w:rsid w:val="001314F5"/>
    <w:rsid w:val="001366CC"/>
    <w:rsid w:val="00136EEE"/>
    <w:rsid w:val="00141BED"/>
    <w:rsid w:val="00143104"/>
    <w:rsid w:val="0014626D"/>
    <w:rsid w:val="00151F57"/>
    <w:rsid w:val="001538FB"/>
    <w:rsid w:val="00154F5B"/>
    <w:rsid w:val="00155D5B"/>
    <w:rsid w:val="00157181"/>
    <w:rsid w:val="00160016"/>
    <w:rsid w:val="00160353"/>
    <w:rsid w:val="00160FE6"/>
    <w:rsid w:val="001624DC"/>
    <w:rsid w:val="00162866"/>
    <w:rsid w:val="00164AB5"/>
    <w:rsid w:val="00164E65"/>
    <w:rsid w:val="0016639E"/>
    <w:rsid w:val="001720DD"/>
    <w:rsid w:val="0017506E"/>
    <w:rsid w:val="00176562"/>
    <w:rsid w:val="0017668C"/>
    <w:rsid w:val="00177801"/>
    <w:rsid w:val="00180F95"/>
    <w:rsid w:val="00184127"/>
    <w:rsid w:val="00185940"/>
    <w:rsid w:val="00192A8C"/>
    <w:rsid w:val="00192DC9"/>
    <w:rsid w:val="001A0DF5"/>
    <w:rsid w:val="001A2607"/>
    <w:rsid w:val="001A2610"/>
    <w:rsid w:val="001B32AA"/>
    <w:rsid w:val="001B3D80"/>
    <w:rsid w:val="001B5218"/>
    <w:rsid w:val="001B5B9D"/>
    <w:rsid w:val="001B60EA"/>
    <w:rsid w:val="001B6A90"/>
    <w:rsid w:val="001C337E"/>
    <w:rsid w:val="001C4019"/>
    <w:rsid w:val="001C62FE"/>
    <w:rsid w:val="001D715A"/>
    <w:rsid w:val="001D71A6"/>
    <w:rsid w:val="001E0978"/>
    <w:rsid w:val="001E0EF2"/>
    <w:rsid w:val="001E36B7"/>
    <w:rsid w:val="001E4EF5"/>
    <w:rsid w:val="001E74AB"/>
    <w:rsid w:val="001F2C2F"/>
    <w:rsid w:val="001F5EF8"/>
    <w:rsid w:val="002028D0"/>
    <w:rsid w:val="00205621"/>
    <w:rsid w:val="002066BA"/>
    <w:rsid w:val="0020684C"/>
    <w:rsid w:val="002078AD"/>
    <w:rsid w:val="0021146D"/>
    <w:rsid w:val="00213AEE"/>
    <w:rsid w:val="00214C7E"/>
    <w:rsid w:val="00216307"/>
    <w:rsid w:val="00216D43"/>
    <w:rsid w:val="002206A0"/>
    <w:rsid w:val="00221BE4"/>
    <w:rsid w:val="00221DCE"/>
    <w:rsid w:val="00224688"/>
    <w:rsid w:val="002247B9"/>
    <w:rsid w:val="0022782D"/>
    <w:rsid w:val="002315FB"/>
    <w:rsid w:val="00231A31"/>
    <w:rsid w:val="00232170"/>
    <w:rsid w:val="0023340F"/>
    <w:rsid w:val="002438C1"/>
    <w:rsid w:val="002478CD"/>
    <w:rsid w:val="00250DF9"/>
    <w:rsid w:val="002567C4"/>
    <w:rsid w:val="0026045D"/>
    <w:rsid w:val="00261171"/>
    <w:rsid w:val="002624B8"/>
    <w:rsid w:val="00263616"/>
    <w:rsid w:val="00263764"/>
    <w:rsid w:val="0026413F"/>
    <w:rsid w:val="0026552D"/>
    <w:rsid w:val="002703E0"/>
    <w:rsid w:val="00270D2C"/>
    <w:rsid w:val="002729BB"/>
    <w:rsid w:val="00280532"/>
    <w:rsid w:val="00281D9C"/>
    <w:rsid w:val="00285E0F"/>
    <w:rsid w:val="00287AA4"/>
    <w:rsid w:val="002968C1"/>
    <w:rsid w:val="002A5239"/>
    <w:rsid w:val="002B0476"/>
    <w:rsid w:val="002B2CED"/>
    <w:rsid w:val="002B3300"/>
    <w:rsid w:val="002D2C96"/>
    <w:rsid w:val="002D458B"/>
    <w:rsid w:val="002D5164"/>
    <w:rsid w:val="002E180C"/>
    <w:rsid w:val="002E28FC"/>
    <w:rsid w:val="002E32AC"/>
    <w:rsid w:val="002E4126"/>
    <w:rsid w:val="002E56BF"/>
    <w:rsid w:val="002E74D9"/>
    <w:rsid w:val="002F3008"/>
    <w:rsid w:val="002F313C"/>
    <w:rsid w:val="002F36EB"/>
    <w:rsid w:val="002F4A45"/>
    <w:rsid w:val="002F4D61"/>
    <w:rsid w:val="002F5D9E"/>
    <w:rsid w:val="003032C1"/>
    <w:rsid w:val="00303555"/>
    <w:rsid w:val="00311713"/>
    <w:rsid w:val="003129DE"/>
    <w:rsid w:val="00314D38"/>
    <w:rsid w:val="00317FC7"/>
    <w:rsid w:val="00323171"/>
    <w:rsid w:val="003243A8"/>
    <w:rsid w:val="00324779"/>
    <w:rsid w:val="0032589B"/>
    <w:rsid w:val="00325ED3"/>
    <w:rsid w:val="00330B0B"/>
    <w:rsid w:val="003318B2"/>
    <w:rsid w:val="00335D39"/>
    <w:rsid w:val="00340BF8"/>
    <w:rsid w:val="003411F1"/>
    <w:rsid w:val="003422D9"/>
    <w:rsid w:val="00345BBE"/>
    <w:rsid w:val="00353862"/>
    <w:rsid w:val="00357412"/>
    <w:rsid w:val="0036056E"/>
    <w:rsid w:val="003617D3"/>
    <w:rsid w:val="00361F3B"/>
    <w:rsid w:val="0036241E"/>
    <w:rsid w:val="00364BDE"/>
    <w:rsid w:val="00364FF4"/>
    <w:rsid w:val="00367AFE"/>
    <w:rsid w:val="00370948"/>
    <w:rsid w:val="00370B2E"/>
    <w:rsid w:val="00373857"/>
    <w:rsid w:val="0037511F"/>
    <w:rsid w:val="00375DBA"/>
    <w:rsid w:val="00377D61"/>
    <w:rsid w:val="00381930"/>
    <w:rsid w:val="00382498"/>
    <w:rsid w:val="0038667B"/>
    <w:rsid w:val="00392B5C"/>
    <w:rsid w:val="003935A5"/>
    <w:rsid w:val="00395598"/>
    <w:rsid w:val="003A0217"/>
    <w:rsid w:val="003A1BC1"/>
    <w:rsid w:val="003A4C9A"/>
    <w:rsid w:val="003A4CC4"/>
    <w:rsid w:val="003B222C"/>
    <w:rsid w:val="003B2CE0"/>
    <w:rsid w:val="003B6012"/>
    <w:rsid w:val="003B6A73"/>
    <w:rsid w:val="003B73EA"/>
    <w:rsid w:val="003C1D48"/>
    <w:rsid w:val="003C3ABB"/>
    <w:rsid w:val="003C3FAB"/>
    <w:rsid w:val="003C47C4"/>
    <w:rsid w:val="003C4A65"/>
    <w:rsid w:val="003C78E9"/>
    <w:rsid w:val="003D4933"/>
    <w:rsid w:val="003D498B"/>
    <w:rsid w:val="003E1F72"/>
    <w:rsid w:val="003E2478"/>
    <w:rsid w:val="003E38A3"/>
    <w:rsid w:val="003E6402"/>
    <w:rsid w:val="003F002F"/>
    <w:rsid w:val="003F054D"/>
    <w:rsid w:val="003F1394"/>
    <w:rsid w:val="003F199C"/>
    <w:rsid w:val="003F618F"/>
    <w:rsid w:val="003F6753"/>
    <w:rsid w:val="004022BB"/>
    <w:rsid w:val="00402E45"/>
    <w:rsid w:val="00402FD9"/>
    <w:rsid w:val="00403F82"/>
    <w:rsid w:val="00405745"/>
    <w:rsid w:val="004060BC"/>
    <w:rsid w:val="0040744C"/>
    <w:rsid w:val="0041459E"/>
    <w:rsid w:val="00415A0E"/>
    <w:rsid w:val="00416217"/>
    <w:rsid w:val="00416D7F"/>
    <w:rsid w:val="004170CC"/>
    <w:rsid w:val="00421249"/>
    <w:rsid w:val="00421365"/>
    <w:rsid w:val="004261FD"/>
    <w:rsid w:val="0042635E"/>
    <w:rsid w:val="00436D22"/>
    <w:rsid w:val="00446F16"/>
    <w:rsid w:val="004501DF"/>
    <w:rsid w:val="004514DD"/>
    <w:rsid w:val="0045360D"/>
    <w:rsid w:val="00453AAF"/>
    <w:rsid w:val="0045575A"/>
    <w:rsid w:val="00455C81"/>
    <w:rsid w:val="004673E1"/>
    <w:rsid w:val="00470DCD"/>
    <w:rsid w:val="00472B57"/>
    <w:rsid w:val="0047500D"/>
    <w:rsid w:val="00475036"/>
    <w:rsid w:val="0047624F"/>
    <w:rsid w:val="00476339"/>
    <w:rsid w:val="00476F4E"/>
    <w:rsid w:val="004826C4"/>
    <w:rsid w:val="004835A5"/>
    <w:rsid w:val="004840C9"/>
    <w:rsid w:val="00484C84"/>
    <w:rsid w:val="004851DA"/>
    <w:rsid w:val="004874DC"/>
    <w:rsid w:val="00487AD0"/>
    <w:rsid w:val="00494B31"/>
    <w:rsid w:val="004972CF"/>
    <w:rsid w:val="004A21E3"/>
    <w:rsid w:val="004A2A38"/>
    <w:rsid w:val="004A5947"/>
    <w:rsid w:val="004A5B68"/>
    <w:rsid w:val="004A745F"/>
    <w:rsid w:val="004B2E6E"/>
    <w:rsid w:val="004B33F0"/>
    <w:rsid w:val="004B412F"/>
    <w:rsid w:val="004C47FC"/>
    <w:rsid w:val="004D2345"/>
    <w:rsid w:val="004D54F8"/>
    <w:rsid w:val="004D73AD"/>
    <w:rsid w:val="004E16FA"/>
    <w:rsid w:val="004E436C"/>
    <w:rsid w:val="004E4D8D"/>
    <w:rsid w:val="004E57AE"/>
    <w:rsid w:val="004E5A6D"/>
    <w:rsid w:val="004E6331"/>
    <w:rsid w:val="004F11EF"/>
    <w:rsid w:val="004F2EF3"/>
    <w:rsid w:val="004F3C2C"/>
    <w:rsid w:val="004F45BF"/>
    <w:rsid w:val="004F488F"/>
    <w:rsid w:val="004F510D"/>
    <w:rsid w:val="004F6790"/>
    <w:rsid w:val="004F7091"/>
    <w:rsid w:val="0050180A"/>
    <w:rsid w:val="0050380C"/>
    <w:rsid w:val="005039AC"/>
    <w:rsid w:val="0050776F"/>
    <w:rsid w:val="005124DC"/>
    <w:rsid w:val="00512737"/>
    <w:rsid w:val="0051394B"/>
    <w:rsid w:val="00524475"/>
    <w:rsid w:val="00524700"/>
    <w:rsid w:val="00526324"/>
    <w:rsid w:val="00526888"/>
    <w:rsid w:val="00527B15"/>
    <w:rsid w:val="0053366A"/>
    <w:rsid w:val="005409A1"/>
    <w:rsid w:val="0054206C"/>
    <w:rsid w:val="0054649D"/>
    <w:rsid w:val="00550806"/>
    <w:rsid w:val="00552907"/>
    <w:rsid w:val="0055565A"/>
    <w:rsid w:val="00556480"/>
    <w:rsid w:val="0057217A"/>
    <w:rsid w:val="0057333A"/>
    <w:rsid w:val="00573C3D"/>
    <w:rsid w:val="005743CD"/>
    <w:rsid w:val="00576F96"/>
    <w:rsid w:val="00584DB9"/>
    <w:rsid w:val="00584F4F"/>
    <w:rsid w:val="00587DC8"/>
    <w:rsid w:val="00591231"/>
    <w:rsid w:val="005917B2"/>
    <w:rsid w:val="0059322F"/>
    <w:rsid w:val="00595AA1"/>
    <w:rsid w:val="00595EF9"/>
    <w:rsid w:val="005A0E41"/>
    <w:rsid w:val="005A13B3"/>
    <w:rsid w:val="005A4834"/>
    <w:rsid w:val="005A59BF"/>
    <w:rsid w:val="005B18E8"/>
    <w:rsid w:val="005B1AD8"/>
    <w:rsid w:val="005B23A0"/>
    <w:rsid w:val="005B3487"/>
    <w:rsid w:val="005C1381"/>
    <w:rsid w:val="005C3233"/>
    <w:rsid w:val="005C4E4B"/>
    <w:rsid w:val="005C7BDC"/>
    <w:rsid w:val="005D087D"/>
    <w:rsid w:val="005D20F4"/>
    <w:rsid w:val="005D46F9"/>
    <w:rsid w:val="005D6969"/>
    <w:rsid w:val="005D6D2D"/>
    <w:rsid w:val="005D6EE5"/>
    <w:rsid w:val="005D7616"/>
    <w:rsid w:val="005E05C0"/>
    <w:rsid w:val="005E3AE7"/>
    <w:rsid w:val="005E575C"/>
    <w:rsid w:val="005E6A25"/>
    <w:rsid w:val="005F01FD"/>
    <w:rsid w:val="005F20C2"/>
    <w:rsid w:val="005F4D86"/>
    <w:rsid w:val="005F6C47"/>
    <w:rsid w:val="00600E46"/>
    <w:rsid w:val="0060112D"/>
    <w:rsid w:val="0060313B"/>
    <w:rsid w:val="00603328"/>
    <w:rsid w:val="00604672"/>
    <w:rsid w:val="00604D17"/>
    <w:rsid w:val="006071FA"/>
    <w:rsid w:val="00607493"/>
    <w:rsid w:val="006077D6"/>
    <w:rsid w:val="00610B36"/>
    <w:rsid w:val="00617B71"/>
    <w:rsid w:val="00621627"/>
    <w:rsid w:val="00630DBC"/>
    <w:rsid w:val="0063406D"/>
    <w:rsid w:val="006340BC"/>
    <w:rsid w:val="00641420"/>
    <w:rsid w:val="00646C6A"/>
    <w:rsid w:val="0065228C"/>
    <w:rsid w:val="00652769"/>
    <w:rsid w:val="0065358A"/>
    <w:rsid w:val="0065450E"/>
    <w:rsid w:val="0065780E"/>
    <w:rsid w:val="00661B4F"/>
    <w:rsid w:val="006621FD"/>
    <w:rsid w:val="00662ABF"/>
    <w:rsid w:val="00663486"/>
    <w:rsid w:val="00664770"/>
    <w:rsid w:val="00664E60"/>
    <w:rsid w:val="00665030"/>
    <w:rsid w:val="00665B4E"/>
    <w:rsid w:val="00665C0B"/>
    <w:rsid w:val="00665C31"/>
    <w:rsid w:val="00665DE0"/>
    <w:rsid w:val="00666D3A"/>
    <w:rsid w:val="006711BF"/>
    <w:rsid w:val="00672B3D"/>
    <w:rsid w:val="0067578C"/>
    <w:rsid w:val="00676923"/>
    <w:rsid w:val="006777DE"/>
    <w:rsid w:val="00681934"/>
    <w:rsid w:val="006828CE"/>
    <w:rsid w:val="00682B81"/>
    <w:rsid w:val="00684C32"/>
    <w:rsid w:val="00686894"/>
    <w:rsid w:val="00691D7E"/>
    <w:rsid w:val="00693F41"/>
    <w:rsid w:val="00694763"/>
    <w:rsid w:val="00695B62"/>
    <w:rsid w:val="00696597"/>
    <w:rsid w:val="00697AF5"/>
    <w:rsid w:val="006A031E"/>
    <w:rsid w:val="006A0511"/>
    <w:rsid w:val="006A0995"/>
    <w:rsid w:val="006A3215"/>
    <w:rsid w:val="006B0361"/>
    <w:rsid w:val="006B24F4"/>
    <w:rsid w:val="006B49D5"/>
    <w:rsid w:val="006B6E0E"/>
    <w:rsid w:val="006B7695"/>
    <w:rsid w:val="006C0C84"/>
    <w:rsid w:val="006C16FF"/>
    <w:rsid w:val="006C1B26"/>
    <w:rsid w:val="006C36A9"/>
    <w:rsid w:val="006C3B06"/>
    <w:rsid w:val="006C528C"/>
    <w:rsid w:val="006C5356"/>
    <w:rsid w:val="006C7BD4"/>
    <w:rsid w:val="006C7DE0"/>
    <w:rsid w:val="006D00D9"/>
    <w:rsid w:val="006D4DC9"/>
    <w:rsid w:val="006D5ED2"/>
    <w:rsid w:val="006E3B62"/>
    <w:rsid w:val="006E3EA6"/>
    <w:rsid w:val="006E545F"/>
    <w:rsid w:val="006E75C6"/>
    <w:rsid w:val="006F399E"/>
    <w:rsid w:val="006F45AA"/>
    <w:rsid w:val="006F4CA1"/>
    <w:rsid w:val="006F5716"/>
    <w:rsid w:val="006F7DEA"/>
    <w:rsid w:val="00700D4C"/>
    <w:rsid w:val="00705CE0"/>
    <w:rsid w:val="007067C3"/>
    <w:rsid w:val="00711B6B"/>
    <w:rsid w:val="0071559B"/>
    <w:rsid w:val="00716193"/>
    <w:rsid w:val="00716D17"/>
    <w:rsid w:val="007177B6"/>
    <w:rsid w:val="007177CB"/>
    <w:rsid w:val="00721151"/>
    <w:rsid w:val="00722950"/>
    <w:rsid w:val="00724048"/>
    <w:rsid w:val="007268A7"/>
    <w:rsid w:val="00727AD4"/>
    <w:rsid w:val="00731975"/>
    <w:rsid w:val="007319BC"/>
    <w:rsid w:val="00734F85"/>
    <w:rsid w:val="00740859"/>
    <w:rsid w:val="00742157"/>
    <w:rsid w:val="007504E1"/>
    <w:rsid w:val="00752000"/>
    <w:rsid w:val="0075204F"/>
    <w:rsid w:val="0075221A"/>
    <w:rsid w:val="00753F24"/>
    <w:rsid w:val="0075623C"/>
    <w:rsid w:val="00761514"/>
    <w:rsid w:val="00763CB2"/>
    <w:rsid w:val="00764222"/>
    <w:rsid w:val="00771DEA"/>
    <w:rsid w:val="00771F25"/>
    <w:rsid w:val="00771FBD"/>
    <w:rsid w:val="007724BC"/>
    <w:rsid w:val="00774088"/>
    <w:rsid w:val="0077583E"/>
    <w:rsid w:val="00775D7A"/>
    <w:rsid w:val="00780C0E"/>
    <w:rsid w:val="007822D0"/>
    <w:rsid w:val="0078298B"/>
    <w:rsid w:val="0078366C"/>
    <w:rsid w:val="007855ED"/>
    <w:rsid w:val="00791E81"/>
    <w:rsid w:val="007A067A"/>
    <w:rsid w:val="007A1610"/>
    <w:rsid w:val="007A194B"/>
    <w:rsid w:val="007A1B01"/>
    <w:rsid w:val="007A2115"/>
    <w:rsid w:val="007A3C16"/>
    <w:rsid w:val="007B04B6"/>
    <w:rsid w:val="007B0BBF"/>
    <w:rsid w:val="007B548B"/>
    <w:rsid w:val="007C3088"/>
    <w:rsid w:val="007C6536"/>
    <w:rsid w:val="007D0E5B"/>
    <w:rsid w:val="007D3A73"/>
    <w:rsid w:val="007E0C46"/>
    <w:rsid w:val="007E192C"/>
    <w:rsid w:val="007E2B12"/>
    <w:rsid w:val="007E2BE1"/>
    <w:rsid w:val="007E48C0"/>
    <w:rsid w:val="007E6A4F"/>
    <w:rsid w:val="007F60DA"/>
    <w:rsid w:val="0080049F"/>
    <w:rsid w:val="008054C6"/>
    <w:rsid w:val="00805772"/>
    <w:rsid w:val="0081157C"/>
    <w:rsid w:val="0081260F"/>
    <w:rsid w:val="008135F1"/>
    <w:rsid w:val="00813F5B"/>
    <w:rsid w:val="008174A8"/>
    <w:rsid w:val="00820D28"/>
    <w:rsid w:val="00820E9F"/>
    <w:rsid w:val="00821DEB"/>
    <w:rsid w:val="00824022"/>
    <w:rsid w:val="0083014A"/>
    <w:rsid w:val="008310CE"/>
    <w:rsid w:val="00834FCE"/>
    <w:rsid w:val="008357ED"/>
    <w:rsid w:val="00837066"/>
    <w:rsid w:val="0083726E"/>
    <w:rsid w:val="008410A6"/>
    <w:rsid w:val="00841639"/>
    <w:rsid w:val="00844001"/>
    <w:rsid w:val="0084656E"/>
    <w:rsid w:val="00847294"/>
    <w:rsid w:val="00847664"/>
    <w:rsid w:val="0084769C"/>
    <w:rsid w:val="00851379"/>
    <w:rsid w:val="008523CB"/>
    <w:rsid w:val="0085290C"/>
    <w:rsid w:val="00852B2B"/>
    <w:rsid w:val="00860B0D"/>
    <w:rsid w:val="008628D4"/>
    <w:rsid w:val="00867FF8"/>
    <w:rsid w:val="008749D5"/>
    <w:rsid w:val="0087728F"/>
    <w:rsid w:val="00882912"/>
    <w:rsid w:val="008829AF"/>
    <w:rsid w:val="00883092"/>
    <w:rsid w:val="0088428A"/>
    <w:rsid w:val="00884F60"/>
    <w:rsid w:val="0089067C"/>
    <w:rsid w:val="0089379E"/>
    <w:rsid w:val="00893EAA"/>
    <w:rsid w:val="00894E5D"/>
    <w:rsid w:val="008961F8"/>
    <w:rsid w:val="008A0B90"/>
    <w:rsid w:val="008A342B"/>
    <w:rsid w:val="008A3F78"/>
    <w:rsid w:val="008A4C28"/>
    <w:rsid w:val="008A7E65"/>
    <w:rsid w:val="008B2588"/>
    <w:rsid w:val="008B4358"/>
    <w:rsid w:val="008B664E"/>
    <w:rsid w:val="008C124D"/>
    <w:rsid w:val="008C4DC7"/>
    <w:rsid w:val="008C4EEE"/>
    <w:rsid w:val="008C52B0"/>
    <w:rsid w:val="008C5D23"/>
    <w:rsid w:val="008C7574"/>
    <w:rsid w:val="008D5B80"/>
    <w:rsid w:val="008D723D"/>
    <w:rsid w:val="008D774E"/>
    <w:rsid w:val="008E4495"/>
    <w:rsid w:val="008E73FD"/>
    <w:rsid w:val="008F02BD"/>
    <w:rsid w:val="008F1A75"/>
    <w:rsid w:val="008F4EF9"/>
    <w:rsid w:val="008F6E81"/>
    <w:rsid w:val="009003AD"/>
    <w:rsid w:val="00900A73"/>
    <w:rsid w:val="00902FCC"/>
    <w:rsid w:val="009079BA"/>
    <w:rsid w:val="0091065C"/>
    <w:rsid w:val="00911289"/>
    <w:rsid w:val="0091216D"/>
    <w:rsid w:val="00912AFE"/>
    <w:rsid w:val="00914B86"/>
    <w:rsid w:val="009150AE"/>
    <w:rsid w:val="009157DD"/>
    <w:rsid w:val="00920030"/>
    <w:rsid w:val="009221C7"/>
    <w:rsid w:val="0092392E"/>
    <w:rsid w:val="009252D8"/>
    <w:rsid w:val="00925AD1"/>
    <w:rsid w:val="009345A3"/>
    <w:rsid w:val="00934A59"/>
    <w:rsid w:val="009417D3"/>
    <w:rsid w:val="0094504C"/>
    <w:rsid w:val="0094565B"/>
    <w:rsid w:val="0094775C"/>
    <w:rsid w:val="00950E9F"/>
    <w:rsid w:val="009530E5"/>
    <w:rsid w:val="009541C8"/>
    <w:rsid w:val="00954686"/>
    <w:rsid w:val="00956C27"/>
    <w:rsid w:val="0095727A"/>
    <w:rsid w:val="009573D2"/>
    <w:rsid w:val="00965EE4"/>
    <w:rsid w:val="00966BFC"/>
    <w:rsid w:val="0096785F"/>
    <w:rsid w:val="009702E9"/>
    <w:rsid w:val="00970484"/>
    <w:rsid w:val="00971116"/>
    <w:rsid w:val="00971A96"/>
    <w:rsid w:val="009740C0"/>
    <w:rsid w:val="00976212"/>
    <w:rsid w:val="009800B5"/>
    <w:rsid w:val="00980275"/>
    <w:rsid w:val="0098059A"/>
    <w:rsid w:val="00981958"/>
    <w:rsid w:val="009914C0"/>
    <w:rsid w:val="0099221B"/>
    <w:rsid w:val="009964C4"/>
    <w:rsid w:val="009977D9"/>
    <w:rsid w:val="009A6546"/>
    <w:rsid w:val="009B0F52"/>
    <w:rsid w:val="009B312E"/>
    <w:rsid w:val="009B3E80"/>
    <w:rsid w:val="009B6A2B"/>
    <w:rsid w:val="009C058D"/>
    <w:rsid w:val="009C2C7E"/>
    <w:rsid w:val="009C59FB"/>
    <w:rsid w:val="009C5DC4"/>
    <w:rsid w:val="009D2707"/>
    <w:rsid w:val="009D4F6F"/>
    <w:rsid w:val="009D51C9"/>
    <w:rsid w:val="009D6E38"/>
    <w:rsid w:val="009D718C"/>
    <w:rsid w:val="009E26A5"/>
    <w:rsid w:val="009E40D9"/>
    <w:rsid w:val="009E565E"/>
    <w:rsid w:val="009E79E4"/>
    <w:rsid w:val="009F126A"/>
    <w:rsid w:val="009F3EB3"/>
    <w:rsid w:val="009F4BC0"/>
    <w:rsid w:val="009F5B17"/>
    <w:rsid w:val="00A01295"/>
    <w:rsid w:val="00A02E37"/>
    <w:rsid w:val="00A04429"/>
    <w:rsid w:val="00A04653"/>
    <w:rsid w:val="00A0647C"/>
    <w:rsid w:val="00A06A5C"/>
    <w:rsid w:val="00A07E26"/>
    <w:rsid w:val="00A120FC"/>
    <w:rsid w:val="00A121A7"/>
    <w:rsid w:val="00A14221"/>
    <w:rsid w:val="00A14D27"/>
    <w:rsid w:val="00A17EBA"/>
    <w:rsid w:val="00A24156"/>
    <w:rsid w:val="00A26760"/>
    <w:rsid w:val="00A27EA9"/>
    <w:rsid w:val="00A31C64"/>
    <w:rsid w:val="00A35225"/>
    <w:rsid w:val="00A3681A"/>
    <w:rsid w:val="00A36AA9"/>
    <w:rsid w:val="00A41398"/>
    <w:rsid w:val="00A4549A"/>
    <w:rsid w:val="00A47C2D"/>
    <w:rsid w:val="00A52078"/>
    <w:rsid w:val="00A55AC0"/>
    <w:rsid w:val="00A579BB"/>
    <w:rsid w:val="00A621D0"/>
    <w:rsid w:val="00A624EB"/>
    <w:rsid w:val="00A65795"/>
    <w:rsid w:val="00A67125"/>
    <w:rsid w:val="00A773B0"/>
    <w:rsid w:val="00A777D0"/>
    <w:rsid w:val="00A83D54"/>
    <w:rsid w:val="00A84852"/>
    <w:rsid w:val="00A903F7"/>
    <w:rsid w:val="00A904D0"/>
    <w:rsid w:val="00A90F87"/>
    <w:rsid w:val="00A9268E"/>
    <w:rsid w:val="00A9340C"/>
    <w:rsid w:val="00A9374E"/>
    <w:rsid w:val="00A939CA"/>
    <w:rsid w:val="00A949E2"/>
    <w:rsid w:val="00A94C4A"/>
    <w:rsid w:val="00A95893"/>
    <w:rsid w:val="00AA0813"/>
    <w:rsid w:val="00AA2584"/>
    <w:rsid w:val="00AA2895"/>
    <w:rsid w:val="00AA2FB9"/>
    <w:rsid w:val="00AA4E5B"/>
    <w:rsid w:val="00AA696D"/>
    <w:rsid w:val="00AB1BC3"/>
    <w:rsid w:val="00AB3855"/>
    <w:rsid w:val="00AB56EF"/>
    <w:rsid w:val="00AB68C2"/>
    <w:rsid w:val="00AC4818"/>
    <w:rsid w:val="00AD046C"/>
    <w:rsid w:val="00AD1471"/>
    <w:rsid w:val="00AD3900"/>
    <w:rsid w:val="00AD62C2"/>
    <w:rsid w:val="00AE2CA5"/>
    <w:rsid w:val="00AE6244"/>
    <w:rsid w:val="00AE6611"/>
    <w:rsid w:val="00AF0F61"/>
    <w:rsid w:val="00AF38C0"/>
    <w:rsid w:val="00AF732E"/>
    <w:rsid w:val="00B013B7"/>
    <w:rsid w:val="00B01846"/>
    <w:rsid w:val="00B045B2"/>
    <w:rsid w:val="00B072AC"/>
    <w:rsid w:val="00B110C7"/>
    <w:rsid w:val="00B14E25"/>
    <w:rsid w:val="00B20C3E"/>
    <w:rsid w:val="00B229BE"/>
    <w:rsid w:val="00B26394"/>
    <w:rsid w:val="00B37501"/>
    <w:rsid w:val="00B40AAC"/>
    <w:rsid w:val="00B43BB5"/>
    <w:rsid w:val="00B4484E"/>
    <w:rsid w:val="00B45607"/>
    <w:rsid w:val="00B510CF"/>
    <w:rsid w:val="00B56B05"/>
    <w:rsid w:val="00B629DF"/>
    <w:rsid w:val="00B6588E"/>
    <w:rsid w:val="00B65FF3"/>
    <w:rsid w:val="00B73023"/>
    <w:rsid w:val="00B77AD6"/>
    <w:rsid w:val="00B82044"/>
    <w:rsid w:val="00B85DB2"/>
    <w:rsid w:val="00B86BFB"/>
    <w:rsid w:val="00B87AF4"/>
    <w:rsid w:val="00B947E9"/>
    <w:rsid w:val="00BA0400"/>
    <w:rsid w:val="00BA28D3"/>
    <w:rsid w:val="00BA3068"/>
    <w:rsid w:val="00BA65FD"/>
    <w:rsid w:val="00BA6BA0"/>
    <w:rsid w:val="00BB08B5"/>
    <w:rsid w:val="00BB1290"/>
    <w:rsid w:val="00BB3B05"/>
    <w:rsid w:val="00BB48BF"/>
    <w:rsid w:val="00BB4BAE"/>
    <w:rsid w:val="00BB4FF8"/>
    <w:rsid w:val="00BB79C6"/>
    <w:rsid w:val="00BC18E6"/>
    <w:rsid w:val="00BC37BC"/>
    <w:rsid w:val="00BC3ECD"/>
    <w:rsid w:val="00BC4A5D"/>
    <w:rsid w:val="00BC69F7"/>
    <w:rsid w:val="00BD185F"/>
    <w:rsid w:val="00BD2427"/>
    <w:rsid w:val="00BD27C0"/>
    <w:rsid w:val="00BD643C"/>
    <w:rsid w:val="00BE0F01"/>
    <w:rsid w:val="00BE259B"/>
    <w:rsid w:val="00BE35D9"/>
    <w:rsid w:val="00BE4316"/>
    <w:rsid w:val="00BF6D46"/>
    <w:rsid w:val="00C02CD6"/>
    <w:rsid w:val="00C07478"/>
    <w:rsid w:val="00C12F26"/>
    <w:rsid w:val="00C13E0E"/>
    <w:rsid w:val="00C16BE5"/>
    <w:rsid w:val="00C16F43"/>
    <w:rsid w:val="00C17D78"/>
    <w:rsid w:val="00C21BD4"/>
    <w:rsid w:val="00C22721"/>
    <w:rsid w:val="00C234CF"/>
    <w:rsid w:val="00C23FE4"/>
    <w:rsid w:val="00C2526D"/>
    <w:rsid w:val="00C25B66"/>
    <w:rsid w:val="00C265F0"/>
    <w:rsid w:val="00C26C35"/>
    <w:rsid w:val="00C27284"/>
    <w:rsid w:val="00C321F3"/>
    <w:rsid w:val="00C327E5"/>
    <w:rsid w:val="00C330E9"/>
    <w:rsid w:val="00C361FB"/>
    <w:rsid w:val="00C37522"/>
    <w:rsid w:val="00C4508D"/>
    <w:rsid w:val="00C46F22"/>
    <w:rsid w:val="00C4790B"/>
    <w:rsid w:val="00C5105D"/>
    <w:rsid w:val="00C536F6"/>
    <w:rsid w:val="00C5769E"/>
    <w:rsid w:val="00C62284"/>
    <w:rsid w:val="00C639F9"/>
    <w:rsid w:val="00C7201E"/>
    <w:rsid w:val="00C7220B"/>
    <w:rsid w:val="00C72A4A"/>
    <w:rsid w:val="00C73CF6"/>
    <w:rsid w:val="00C74287"/>
    <w:rsid w:val="00C75E83"/>
    <w:rsid w:val="00C76FEA"/>
    <w:rsid w:val="00C77D06"/>
    <w:rsid w:val="00C82F5C"/>
    <w:rsid w:val="00C832EB"/>
    <w:rsid w:val="00C83644"/>
    <w:rsid w:val="00C86B9C"/>
    <w:rsid w:val="00C94DE6"/>
    <w:rsid w:val="00C9642C"/>
    <w:rsid w:val="00C9664B"/>
    <w:rsid w:val="00CA16CB"/>
    <w:rsid w:val="00CA25CA"/>
    <w:rsid w:val="00CA7498"/>
    <w:rsid w:val="00CB07C0"/>
    <w:rsid w:val="00CB0859"/>
    <w:rsid w:val="00CC7FD0"/>
    <w:rsid w:val="00CD214D"/>
    <w:rsid w:val="00CE0C2F"/>
    <w:rsid w:val="00CE1AAF"/>
    <w:rsid w:val="00CE2049"/>
    <w:rsid w:val="00CE6C92"/>
    <w:rsid w:val="00CF2405"/>
    <w:rsid w:val="00CF28A6"/>
    <w:rsid w:val="00CF3274"/>
    <w:rsid w:val="00CF358C"/>
    <w:rsid w:val="00CF77D1"/>
    <w:rsid w:val="00D012EE"/>
    <w:rsid w:val="00D023D0"/>
    <w:rsid w:val="00D027E4"/>
    <w:rsid w:val="00D04FCB"/>
    <w:rsid w:val="00D06A49"/>
    <w:rsid w:val="00D14BAA"/>
    <w:rsid w:val="00D17128"/>
    <w:rsid w:val="00D17D1A"/>
    <w:rsid w:val="00D2088F"/>
    <w:rsid w:val="00D219AC"/>
    <w:rsid w:val="00D25455"/>
    <w:rsid w:val="00D2781D"/>
    <w:rsid w:val="00D34F04"/>
    <w:rsid w:val="00D40BEB"/>
    <w:rsid w:val="00D40D3E"/>
    <w:rsid w:val="00D40FB2"/>
    <w:rsid w:val="00D436D4"/>
    <w:rsid w:val="00D46870"/>
    <w:rsid w:val="00D46D9B"/>
    <w:rsid w:val="00D4784E"/>
    <w:rsid w:val="00D60CEF"/>
    <w:rsid w:val="00D6225E"/>
    <w:rsid w:val="00D645B3"/>
    <w:rsid w:val="00D65878"/>
    <w:rsid w:val="00D71647"/>
    <w:rsid w:val="00D72D5E"/>
    <w:rsid w:val="00D73A05"/>
    <w:rsid w:val="00D82014"/>
    <w:rsid w:val="00D8328A"/>
    <w:rsid w:val="00D870E8"/>
    <w:rsid w:val="00D90616"/>
    <w:rsid w:val="00D916AD"/>
    <w:rsid w:val="00D92303"/>
    <w:rsid w:val="00D927C2"/>
    <w:rsid w:val="00D92B13"/>
    <w:rsid w:val="00D94306"/>
    <w:rsid w:val="00DA3B59"/>
    <w:rsid w:val="00DA5093"/>
    <w:rsid w:val="00DA526C"/>
    <w:rsid w:val="00DA59E5"/>
    <w:rsid w:val="00DB0294"/>
    <w:rsid w:val="00DB288C"/>
    <w:rsid w:val="00DB48D9"/>
    <w:rsid w:val="00DB5027"/>
    <w:rsid w:val="00DB76E7"/>
    <w:rsid w:val="00DC042D"/>
    <w:rsid w:val="00DC1AC1"/>
    <w:rsid w:val="00DC2FF5"/>
    <w:rsid w:val="00DC396E"/>
    <w:rsid w:val="00DC3E88"/>
    <w:rsid w:val="00DC550E"/>
    <w:rsid w:val="00DC5FBB"/>
    <w:rsid w:val="00DC70AD"/>
    <w:rsid w:val="00DC74DE"/>
    <w:rsid w:val="00DC79E1"/>
    <w:rsid w:val="00DD725E"/>
    <w:rsid w:val="00DD7456"/>
    <w:rsid w:val="00DD79F6"/>
    <w:rsid w:val="00DE1F14"/>
    <w:rsid w:val="00DE2716"/>
    <w:rsid w:val="00DE3128"/>
    <w:rsid w:val="00DE315F"/>
    <w:rsid w:val="00DE6731"/>
    <w:rsid w:val="00DF010A"/>
    <w:rsid w:val="00DF0B97"/>
    <w:rsid w:val="00DF381A"/>
    <w:rsid w:val="00DF3ABF"/>
    <w:rsid w:val="00DF6CED"/>
    <w:rsid w:val="00DF6E21"/>
    <w:rsid w:val="00E04FAE"/>
    <w:rsid w:val="00E05146"/>
    <w:rsid w:val="00E07CC4"/>
    <w:rsid w:val="00E12918"/>
    <w:rsid w:val="00E15314"/>
    <w:rsid w:val="00E15B25"/>
    <w:rsid w:val="00E17148"/>
    <w:rsid w:val="00E227CA"/>
    <w:rsid w:val="00E2458E"/>
    <w:rsid w:val="00E307E3"/>
    <w:rsid w:val="00E31C0D"/>
    <w:rsid w:val="00E33B11"/>
    <w:rsid w:val="00E36C0D"/>
    <w:rsid w:val="00E37274"/>
    <w:rsid w:val="00E412EB"/>
    <w:rsid w:val="00E44821"/>
    <w:rsid w:val="00E45C2F"/>
    <w:rsid w:val="00E45C46"/>
    <w:rsid w:val="00E4669C"/>
    <w:rsid w:val="00E5465D"/>
    <w:rsid w:val="00E54CCA"/>
    <w:rsid w:val="00E62757"/>
    <w:rsid w:val="00E63477"/>
    <w:rsid w:val="00E70E0B"/>
    <w:rsid w:val="00E71D06"/>
    <w:rsid w:val="00E71DB1"/>
    <w:rsid w:val="00E749B8"/>
    <w:rsid w:val="00E75599"/>
    <w:rsid w:val="00E764DC"/>
    <w:rsid w:val="00E81E52"/>
    <w:rsid w:val="00E82044"/>
    <w:rsid w:val="00E8386A"/>
    <w:rsid w:val="00E8411B"/>
    <w:rsid w:val="00E91B45"/>
    <w:rsid w:val="00E952CA"/>
    <w:rsid w:val="00E9635A"/>
    <w:rsid w:val="00E96807"/>
    <w:rsid w:val="00EA305C"/>
    <w:rsid w:val="00EA50CB"/>
    <w:rsid w:val="00EA5E0A"/>
    <w:rsid w:val="00EA64B3"/>
    <w:rsid w:val="00EB4484"/>
    <w:rsid w:val="00EB4D33"/>
    <w:rsid w:val="00EC0BE6"/>
    <w:rsid w:val="00EC2F52"/>
    <w:rsid w:val="00EC2F98"/>
    <w:rsid w:val="00EC32BC"/>
    <w:rsid w:val="00EC47B3"/>
    <w:rsid w:val="00ED0712"/>
    <w:rsid w:val="00ED5358"/>
    <w:rsid w:val="00ED5539"/>
    <w:rsid w:val="00ED5AC2"/>
    <w:rsid w:val="00ED6E6D"/>
    <w:rsid w:val="00ED71E5"/>
    <w:rsid w:val="00ED793E"/>
    <w:rsid w:val="00EE07C1"/>
    <w:rsid w:val="00EE14FF"/>
    <w:rsid w:val="00EE2149"/>
    <w:rsid w:val="00EE45DD"/>
    <w:rsid w:val="00EE556F"/>
    <w:rsid w:val="00EE6907"/>
    <w:rsid w:val="00EE7930"/>
    <w:rsid w:val="00EF0736"/>
    <w:rsid w:val="00EF15BD"/>
    <w:rsid w:val="00EF3B85"/>
    <w:rsid w:val="00F013F7"/>
    <w:rsid w:val="00F07D57"/>
    <w:rsid w:val="00F114E5"/>
    <w:rsid w:val="00F13508"/>
    <w:rsid w:val="00F15D65"/>
    <w:rsid w:val="00F17BDB"/>
    <w:rsid w:val="00F218A0"/>
    <w:rsid w:val="00F222C6"/>
    <w:rsid w:val="00F2361F"/>
    <w:rsid w:val="00F23CB4"/>
    <w:rsid w:val="00F3194F"/>
    <w:rsid w:val="00F32143"/>
    <w:rsid w:val="00F33391"/>
    <w:rsid w:val="00F34521"/>
    <w:rsid w:val="00F3751B"/>
    <w:rsid w:val="00F4203E"/>
    <w:rsid w:val="00F44338"/>
    <w:rsid w:val="00F44F81"/>
    <w:rsid w:val="00F4741A"/>
    <w:rsid w:val="00F53B05"/>
    <w:rsid w:val="00F56D0B"/>
    <w:rsid w:val="00F61FF7"/>
    <w:rsid w:val="00F64877"/>
    <w:rsid w:val="00F653D7"/>
    <w:rsid w:val="00F65655"/>
    <w:rsid w:val="00F66B1E"/>
    <w:rsid w:val="00F701CD"/>
    <w:rsid w:val="00F704F2"/>
    <w:rsid w:val="00F708BB"/>
    <w:rsid w:val="00F710B8"/>
    <w:rsid w:val="00F710DB"/>
    <w:rsid w:val="00F82335"/>
    <w:rsid w:val="00F8300B"/>
    <w:rsid w:val="00F84AD4"/>
    <w:rsid w:val="00F85E58"/>
    <w:rsid w:val="00F86B72"/>
    <w:rsid w:val="00F8750C"/>
    <w:rsid w:val="00F9041B"/>
    <w:rsid w:val="00F92007"/>
    <w:rsid w:val="00F92186"/>
    <w:rsid w:val="00F95FD3"/>
    <w:rsid w:val="00FA2CA6"/>
    <w:rsid w:val="00FA3098"/>
    <w:rsid w:val="00FA37AD"/>
    <w:rsid w:val="00FA75E0"/>
    <w:rsid w:val="00FB17FC"/>
    <w:rsid w:val="00FB2BA7"/>
    <w:rsid w:val="00FB78D4"/>
    <w:rsid w:val="00FC101A"/>
    <w:rsid w:val="00FC2095"/>
    <w:rsid w:val="00FC3762"/>
    <w:rsid w:val="00FC4885"/>
    <w:rsid w:val="00FC6F5F"/>
    <w:rsid w:val="00FC77FA"/>
    <w:rsid w:val="00FC7DC7"/>
    <w:rsid w:val="00FD017E"/>
    <w:rsid w:val="00FD0B23"/>
    <w:rsid w:val="00FD1D20"/>
    <w:rsid w:val="00FD219E"/>
    <w:rsid w:val="00FD2EE5"/>
    <w:rsid w:val="00FD30D8"/>
    <w:rsid w:val="00FD488B"/>
    <w:rsid w:val="00FD4F99"/>
    <w:rsid w:val="00FD732B"/>
    <w:rsid w:val="00FD7AC8"/>
    <w:rsid w:val="00FE040F"/>
    <w:rsid w:val="00FE0948"/>
    <w:rsid w:val="00FE1100"/>
    <w:rsid w:val="00FE74B8"/>
    <w:rsid w:val="00FF00AF"/>
    <w:rsid w:val="00FF6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ny">
    <w:name w:val="Normal"/>
    <w:qFormat/>
    <w:rsid w:val="00E82044"/>
    <w:rPr>
      <w:sz w:val="24"/>
      <w:szCs w:val="24"/>
      <w:lang w:val="pl-PL" w:eastAsia="pl-PL"/>
    </w:rPr>
  </w:style>
  <w:style w:type="paragraph" w:styleId="Nagwek1">
    <w:name w:val="heading 1"/>
    <w:basedOn w:val="Normalny"/>
    <w:next w:val="Normalny"/>
    <w:link w:val="Nagwek1Znak"/>
    <w:uiPriority w:val="9"/>
    <w:qFormat/>
    <w:rsid w:val="006819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C69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B6A73"/>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73EA"/>
    <w:pPr>
      <w:widowControl w:val="0"/>
      <w:autoSpaceDE w:val="0"/>
      <w:autoSpaceDN w:val="0"/>
      <w:adjustRightInd w:val="0"/>
    </w:pPr>
    <w:rPr>
      <w:rFonts w:ascii="Calibri" w:hAnsi="Calibri" w:cs="Calibri"/>
      <w:color w:val="000000"/>
      <w:sz w:val="24"/>
      <w:szCs w:val="24"/>
      <w:lang w:val="en-US" w:eastAsia="pl-PL"/>
    </w:rPr>
  </w:style>
  <w:style w:type="character" w:customStyle="1" w:styleId="apple-converted-space">
    <w:name w:val="apple-converted-space"/>
    <w:rsid w:val="00D40D3E"/>
  </w:style>
  <w:style w:type="character" w:styleId="Hipercze">
    <w:name w:val="Hyperlink"/>
    <w:uiPriority w:val="99"/>
    <w:unhideWhenUsed/>
    <w:rsid w:val="00D40D3E"/>
    <w:rPr>
      <w:color w:val="0000FF"/>
      <w:u w:val="single"/>
    </w:rPr>
  </w:style>
  <w:style w:type="paragraph" w:styleId="Nagwek">
    <w:name w:val="header"/>
    <w:basedOn w:val="Normalny"/>
    <w:link w:val="NagwekZnak"/>
    <w:uiPriority w:val="99"/>
    <w:unhideWhenUsed/>
    <w:rsid w:val="001314F5"/>
    <w:pPr>
      <w:tabs>
        <w:tab w:val="center" w:pos="4536"/>
        <w:tab w:val="right" w:pos="9072"/>
      </w:tabs>
    </w:pPr>
  </w:style>
  <w:style w:type="character" w:customStyle="1" w:styleId="NagwekZnak">
    <w:name w:val="Nagłówek Znak"/>
    <w:link w:val="Nagwek"/>
    <w:uiPriority w:val="99"/>
    <w:rsid w:val="001314F5"/>
    <w:rPr>
      <w:sz w:val="24"/>
      <w:szCs w:val="24"/>
    </w:rPr>
  </w:style>
  <w:style w:type="paragraph" w:styleId="Stopka">
    <w:name w:val="footer"/>
    <w:basedOn w:val="Normalny"/>
    <w:link w:val="StopkaZnak"/>
    <w:uiPriority w:val="99"/>
    <w:unhideWhenUsed/>
    <w:rsid w:val="001314F5"/>
    <w:pPr>
      <w:tabs>
        <w:tab w:val="center" w:pos="4536"/>
        <w:tab w:val="right" w:pos="9072"/>
      </w:tabs>
    </w:pPr>
  </w:style>
  <w:style w:type="character" w:customStyle="1" w:styleId="StopkaZnak">
    <w:name w:val="Stopka Znak"/>
    <w:link w:val="Stopka"/>
    <w:uiPriority w:val="99"/>
    <w:rsid w:val="001314F5"/>
    <w:rPr>
      <w:sz w:val="24"/>
      <w:szCs w:val="24"/>
    </w:rPr>
  </w:style>
  <w:style w:type="character" w:styleId="Odwoaniedokomentarza">
    <w:name w:val="annotation reference"/>
    <w:uiPriority w:val="99"/>
    <w:semiHidden/>
    <w:unhideWhenUsed/>
    <w:rsid w:val="00A904D0"/>
    <w:rPr>
      <w:sz w:val="16"/>
      <w:szCs w:val="16"/>
    </w:rPr>
  </w:style>
  <w:style w:type="paragraph" w:styleId="Tekstkomentarza">
    <w:name w:val="annotation text"/>
    <w:basedOn w:val="Normalny"/>
    <w:link w:val="TekstkomentarzaZnak"/>
    <w:uiPriority w:val="99"/>
    <w:semiHidden/>
    <w:unhideWhenUsed/>
    <w:rsid w:val="00A904D0"/>
    <w:rPr>
      <w:sz w:val="20"/>
      <w:szCs w:val="20"/>
    </w:rPr>
  </w:style>
  <w:style w:type="character" w:customStyle="1" w:styleId="TekstkomentarzaZnak">
    <w:name w:val="Tekst komentarza Znak"/>
    <w:basedOn w:val="Domylnaczcionkaakapitu"/>
    <w:link w:val="Tekstkomentarza"/>
    <w:uiPriority w:val="99"/>
    <w:semiHidden/>
    <w:rsid w:val="00A904D0"/>
  </w:style>
  <w:style w:type="paragraph" w:styleId="Tematkomentarza">
    <w:name w:val="annotation subject"/>
    <w:basedOn w:val="Tekstkomentarza"/>
    <w:next w:val="Tekstkomentarza"/>
    <w:link w:val="TematkomentarzaZnak"/>
    <w:uiPriority w:val="99"/>
    <w:semiHidden/>
    <w:unhideWhenUsed/>
    <w:rsid w:val="00A904D0"/>
    <w:rPr>
      <w:b/>
      <w:bCs/>
    </w:rPr>
  </w:style>
  <w:style w:type="character" w:customStyle="1" w:styleId="TematkomentarzaZnak">
    <w:name w:val="Temat komentarza Znak"/>
    <w:link w:val="Tematkomentarza"/>
    <w:uiPriority w:val="99"/>
    <w:semiHidden/>
    <w:rsid w:val="00A904D0"/>
    <w:rPr>
      <w:b/>
      <w:bCs/>
    </w:rPr>
  </w:style>
  <w:style w:type="paragraph" w:styleId="Tekstdymka">
    <w:name w:val="Balloon Text"/>
    <w:basedOn w:val="Normalny"/>
    <w:link w:val="TekstdymkaZnak"/>
    <w:uiPriority w:val="99"/>
    <w:semiHidden/>
    <w:unhideWhenUsed/>
    <w:rsid w:val="00A904D0"/>
    <w:rPr>
      <w:rFonts w:ascii="Tahoma" w:hAnsi="Tahoma" w:cs="Tahoma"/>
      <w:sz w:val="16"/>
      <w:szCs w:val="16"/>
    </w:rPr>
  </w:style>
  <w:style w:type="character" w:customStyle="1" w:styleId="TekstdymkaZnak">
    <w:name w:val="Tekst dymka Znak"/>
    <w:link w:val="Tekstdymka"/>
    <w:uiPriority w:val="99"/>
    <w:semiHidden/>
    <w:rsid w:val="00A904D0"/>
    <w:rPr>
      <w:rFonts w:ascii="Tahoma" w:hAnsi="Tahoma" w:cs="Tahoma"/>
      <w:sz w:val="16"/>
      <w:szCs w:val="16"/>
    </w:rPr>
  </w:style>
  <w:style w:type="paragraph" w:customStyle="1" w:styleId="Sfondoacolori-Colore11">
    <w:name w:val="Sfondo a colori - Colore 11"/>
    <w:hidden/>
    <w:uiPriority w:val="99"/>
    <w:semiHidden/>
    <w:rsid w:val="00A939CA"/>
    <w:rPr>
      <w:sz w:val="24"/>
      <w:szCs w:val="24"/>
      <w:lang w:val="pl-PL" w:eastAsia="pl-PL"/>
    </w:rPr>
  </w:style>
  <w:style w:type="paragraph" w:styleId="NormalnyWeb">
    <w:name w:val="Normal (Web)"/>
    <w:basedOn w:val="Normalny"/>
    <w:uiPriority w:val="99"/>
    <w:unhideWhenUsed/>
    <w:rsid w:val="00F710B8"/>
    <w:pPr>
      <w:spacing w:before="100" w:beforeAutospacing="1" w:after="100" w:afterAutospacing="1"/>
    </w:pPr>
    <w:rPr>
      <w:rFonts w:ascii="Times New Roman" w:eastAsiaTheme="minorHAnsi" w:hAnsi="Times New Roman"/>
      <w:lang w:val="it-IT" w:eastAsia="it-IT"/>
    </w:rPr>
  </w:style>
  <w:style w:type="character" w:customStyle="1" w:styleId="Nagwek1Znak">
    <w:name w:val="Nagłówek 1 Znak"/>
    <w:basedOn w:val="Domylnaczcionkaakapitu"/>
    <w:link w:val="Nagwek1"/>
    <w:uiPriority w:val="9"/>
    <w:rsid w:val="00681934"/>
    <w:rPr>
      <w:rFonts w:asciiTheme="majorHAnsi" w:eastAsiaTheme="majorEastAsia" w:hAnsiTheme="majorHAnsi" w:cstheme="majorBidi"/>
      <w:color w:val="2E74B5" w:themeColor="accent1" w:themeShade="BF"/>
      <w:sz w:val="32"/>
      <w:szCs w:val="32"/>
      <w:lang w:val="pl-PL" w:eastAsia="pl-PL"/>
    </w:rPr>
  </w:style>
  <w:style w:type="paragraph" w:styleId="Nagwekspisutreci">
    <w:name w:val="TOC Heading"/>
    <w:basedOn w:val="Nagwek1"/>
    <w:next w:val="Normalny"/>
    <w:uiPriority w:val="39"/>
    <w:unhideWhenUsed/>
    <w:qFormat/>
    <w:rsid w:val="0026413F"/>
    <w:pPr>
      <w:spacing w:line="259" w:lineRule="auto"/>
      <w:outlineLvl w:val="9"/>
    </w:pPr>
    <w:rPr>
      <w:lang w:val="it-IT" w:eastAsia="it-IT"/>
    </w:rPr>
  </w:style>
  <w:style w:type="paragraph" w:styleId="Spistreci1">
    <w:name w:val="toc 1"/>
    <w:basedOn w:val="Normalny"/>
    <w:next w:val="Normalny"/>
    <w:autoRedefine/>
    <w:uiPriority w:val="39"/>
    <w:unhideWhenUsed/>
    <w:qFormat/>
    <w:rsid w:val="0026413F"/>
    <w:pPr>
      <w:spacing w:after="100"/>
    </w:pPr>
  </w:style>
  <w:style w:type="paragraph" w:styleId="Akapitzlist">
    <w:name w:val="List Paragraph"/>
    <w:basedOn w:val="Normalny"/>
    <w:link w:val="AkapitzlistZnak"/>
    <w:uiPriority w:val="34"/>
    <w:qFormat/>
    <w:rsid w:val="00DE6731"/>
    <w:pPr>
      <w:ind w:left="720"/>
      <w:contextualSpacing/>
    </w:pPr>
  </w:style>
  <w:style w:type="paragraph" w:customStyle="1" w:styleId="EndNoteBibliographyTitle">
    <w:name w:val="EndNote Bibliography Title"/>
    <w:basedOn w:val="Normalny"/>
    <w:link w:val="EndNoteBibliographyTitleCarattere"/>
    <w:rsid w:val="00771DEA"/>
    <w:pPr>
      <w:jc w:val="center"/>
    </w:pPr>
    <w:rPr>
      <w:noProof/>
    </w:rPr>
  </w:style>
  <w:style w:type="character" w:customStyle="1" w:styleId="EndNoteBibliographyTitleCarattere">
    <w:name w:val="EndNote Bibliography Title Carattere"/>
    <w:basedOn w:val="Domylnaczcionkaakapitu"/>
    <w:link w:val="EndNoteBibliographyTitle"/>
    <w:rsid w:val="00771DEA"/>
    <w:rPr>
      <w:noProof/>
      <w:sz w:val="24"/>
      <w:szCs w:val="24"/>
      <w:lang w:val="pl-PL" w:eastAsia="pl-PL"/>
    </w:rPr>
  </w:style>
  <w:style w:type="paragraph" w:customStyle="1" w:styleId="EndNoteBibliography">
    <w:name w:val="EndNote Bibliography"/>
    <w:basedOn w:val="Normalny"/>
    <w:link w:val="EndNoteBibliographyCarattere"/>
    <w:rsid w:val="00771DEA"/>
    <w:pPr>
      <w:jc w:val="both"/>
    </w:pPr>
    <w:rPr>
      <w:noProof/>
    </w:rPr>
  </w:style>
  <w:style w:type="character" w:customStyle="1" w:styleId="EndNoteBibliographyCarattere">
    <w:name w:val="EndNote Bibliography Carattere"/>
    <w:basedOn w:val="Domylnaczcionkaakapitu"/>
    <w:link w:val="EndNoteBibliography"/>
    <w:rsid w:val="00771DEA"/>
    <w:rPr>
      <w:noProof/>
      <w:sz w:val="24"/>
      <w:szCs w:val="24"/>
      <w:lang w:val="pl-PL" w:eastAsia="pl-PL"/>
    </w:rPr>
  </w:style>
  <w:style w:type="character" w:styleId="Uwydatnienie">
    <w:name w:val="Emphasis"/>
    <w:basedOn w:val="Domylnaczcionkaakapitu"/>
    <w:uiPriority w:val="20"/>
    <w:qFormat/>
    <w:rsid w:val="00F61FF7"/>
    <w:rPr>
      <w:i/>
      <w:iCs/>
    </w:rPr>
  </w:style>
  <w:style w:type="character" w:styleId="Pogrubienie">
    <w:name w:val="Strong"/>
    <w:basedOn w:val="Domylnaczcionkaakapitu"/>
    <w:uiPriority w:val="22"/>
    <w:qFormat/>
    <w:rsid w:val="00AD1471"/>
    <w:rPr>
      <w:b/>
      <w:bCs/>
    </w:rPr>
  </w:style>
  <w:style w:type="character" w:customStyle="1" w:styleId="Nagwek2Znak">
    <w:name w:val="Nagłówek 2 Znak"/>
    <w:basedOn w:val="Domylnaczcionkaakapitu"/>
    <w:link w:val="Nagwek2"/>
    <w:uiPriority w:val="9"/>
    <w:rsid w:val="00BC69F7"/>
    <w:rPr>
      <w:rFonts w:asciiTheme="majorHAnsi" w:eastAsiaTheme="majorEastAsia" w:hAnsiTheme="majorHAnsi" w:cstheme="majorBidi"/>
      <w:color w:val="2E74B5" w:themeColor="accent1" w:themeShade="BF"/>
      <w:sz w:val="26"/>
      <w:szCs w:val="26"/>
      <w:lang w:val="pl-PL" w:eastAsia="pl-PL"/>
    </w:rPr>
  </w:style>
  <w:style w:type="paragraph" w:styleId="Spistreci2">
    <w:name w:val="toc 2"/>
    <w:basedOn w:val="Normalny"/>
    <w:next w:val="Normalny"/>
    <w:autoRedefine/>
    <w:uiPriority w:val="39"/>
    <w:unhideWhenUsed/>
    <w:qFormat/>
    <w:rsid w:val="00851379"/>
    <w:pPr>
      <w:spacing w:after="100"/>
      <w:ind w:left="240"/>
    </w:pPr>
  </w:style>
  <w:style w:type="paragraph" w:customStyle="1" w:styleId="m-399672602724054557default">
    <w:name w:val="m_-399672602724054557default"/>
    <w:basedOn w:val="Normalny"/>
    <w:rsid w:val="00EE07C1"/>
    <w:pPr>
      <w:spacing w:before="100" w:beforeAutospacing="1" w:after="100" w:afterAutospacing="1"/>
    </w:pPr>
    <w:rPr>
      <w:rFonts w:ascii="Times New Roman" w:eastAsia="Times New Roman" w:hAnsi="Times New Roman"/>
    </w:rPr>
  </w:style>
  <w:style w:type="paragraph" w:customStyle="1" w:styleId="listbull">
    <w:name w:val="list:bull"/>
    <w:basedOn w:val="Normalny"/>
    <w:link w:val="listbullChar"/>
    <w:rsid w:val="006E3EA6"/>
    <w:pPr>
      <w:numPr>
        <w:numId w:val="13"/>
      </w:numPr>
      <w:spacing w:before="120" w:after="120"/>
    </w:pPr>
    <w:rPr>
      <w:rFonts w:ascii="Times New Roman" w:eastAsia="Times New Roman" w:hAnsi="Times New Roman"/>
      <w:lang w:val="en-GB" w:eastAsia="en-US"/>
    </w:rPr>
  </w:style>
  <w:style w:type="character" w:customStyle="1" w:styleId="listbullChar">
    <w:name w:val="list:bull Char"/>
    <w:basedOn w:val="Domylnaczcionkaakapitu"/>
    <w:link w:val="listbull"/>
    <w:rsid w:val="006E3EA6"/>
    <w:rPr>
      <w:rFonts w:ascii="Times New Roman" w:eastAsia="Times New Roman" w:hAnsi="Times New Roman"/>
      <w:sz w:val="24"/>
      <w:szCs w:val="24"/>
      <w:lang w:val="en-GB" w:eastAsia="en-US"/>
    </w:rPr>
  </w:style>
  <w:style w:type="paragraph" w:customStyle="1" w:styleId="HeadingNoTOC">
    <w:name w:val="Heading (No TOC)"/>
    <w:next w:val="Normalny"/>
    <w:rsid w:val="006E3EA6"/>
    <w:pPr>
      <w:keepNext/>
      <w:spacing w:before="240"/>
    </w:pPr>
    <w:rPr>
      <w:rFonts w:ascii="Times New Roman Bold" w:eastAsia="Times New Roman" w:hAnsi="Times New Roman Bold"/>
      <w:b/>
      <w:sz w:val="24"/>
      <w:szCs w:val="24"/>
      <w:lang w:val="en-US" w:eastAsia="en-US"/>
    </w:rPr>
  </w:style>
  <w:style w:type="paragraph" w:customStyle="1" w:styleId="TableHeaderText">
    <w:name w:val="Table Header Text"/>
    <w:basedOn w:val="Normalny"/>
    <w:rsid w:val="006E3EA6"/>
    <w:pPr>
      <w:spacing w:before="60" w:after="60"/>
      <w:jc w:val="center"/>
    </w:pPr>
    <w:rPr>
      <w:rFonts w:ascii="Times New Roman" w:eastAsia="Times New Roman" w:hAnsi="Times New Roman"/>
      <w:b/>
      <w:color w:val="000000"/>
      <w:szCs w:val="20"/>
      <w:lang w:val="en-US" w:eastAsia="en-US"/>
    </w:rPr>
  </w:style>
  <w:style w:type="paragraph" w:customStyle="1" w:styleId="CPTInstructional">
    <w:name w:val="CPT_Instructional"/>
    <w:basedOn w:val="Normalny"/>
    <w:uiPriority w:val="1"/>
    <w:rsid w:val="006E3EA6"/>
    <w:pPr>
      <w:spacing w:before="120" w:after="120" w:line="280" w:lineRule="atLeast"/>
    </w:pPr>
    <w:rPr>
      <w:rFonts w:ascii="Times New Roman" w:eastAsia="Calibri" w:hAnsi="Times New Roman" w:cs="Arial"/>
      <w:vanish/>
      <w:color w:val="FF0000"/>
      <w:sz w:val="22"/>
      <w:szCs w:val="20"/>
      <w:lang w:val="en-US" w:eastAsia="en-US"/>
    </w:rPr>
  </w:style>
  <w:style w:type="paragraph" w:customStyle="1" w:styleId="listalpha">
    <w:name w:val="list:alpha"/>
    <w:basedOn w:val="Normalny"/>
    <w:rsid w:val="006E3EA6"/>
    <w:pPr>
      <w:numPr>
        <w:numId w:val="15"/>
      </w:numPr>
      <w:spacing w:before="120" w:after="120"/>
    </w:pPr>
    <w:rPr>
      <w:rFonts w:ascii="Times New Roman" w:eastAsia="Times New Roman" w:hAnsi="Times New Roman"/>
      <w:lang w:val="en-GB" w:eastAsia="en-US"/>
    </w:rPr>
  </w:style>
  <w:style w:type="table" w:customStyle="1" w:styleId="redniecieniowanie1akcent11">
    <w:name w:val="Średnie cieniowanie 1 — akcent 11"/>
    <w:basedOn w:val="Standardowy"/>
    <w:uiPriority w:val="63"/>
    <w:rsid w:val="00C265F0"/>
    <w:rPr>
      <w:rFonts w:asciiTheme="minorHAnsi" w:eastAsiaTheme="minorHAnsi" w:hAnsiTheme="minorHAnsi" w:cstheme="minorBidi"/>
      <w:sz w:val="22"/>
      <w:szCs w:val="22"/>
      <w:lang w:val="pl-PL"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ela-Siatka">
    <w:name w:val="Table Grid"/>
    <w:basedOn w:val="Standardowy"/>
    <w:uiPriority w:val="59"/>
    <w:rsid w:val="00141BED"/>
    <w:rPr>
      <w:rFonts w:asciiTheme="minorHAnsi" w:eastAsiaTheme="minorHAnsi" w:hAnsiTheme="minorHAnsi" w:cstheme="minorBidi"/>
      <w:sz w:val="22"/>
      <w:szCs w:val="22"/>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odyText">
    <w:name w:val="C-Body Text"/>
    <w:link w:val="C-BodyTextChar"/>
    <w:rsid w:val="00DD7456"/>
    <w:pPr>
      <w:spacing w:before="120" w:after="120" w:line="280" w:lineRule="atLeast"/>
    </w:pPr>
    <w:rPr>
      <w:rFonts w:ascii="Times New Roman" w:hAnsi="Times New Roman"/>
      <w:sz w:val="22"/>
      <w:szCs w:val="22"/>
      <w:lang w:val="en-US" w:eastAsia="ja-JP"/>
    </w:rPr>
  </w:style>
  <w:style w:type="character" w:customStyle="1" w:styleId="C-BodyTextChar">
    <w:name w:val="C-Body Text Char"/>
    <w:link w:val="C-BodyText"/>
    <w:locked/>
    <w:rsid w:val="00DD7456"/>
    <w:rPr>
      <w:rFonts w:ascii="Times New Roman" w:hAnsi="Times New Roman"/>
      <w:sz w:val="22"/>
      <w:szCs w:val="22"/>
      <w:lang w:val="en-US" w:eastAsia="ja-JP"/>
    </w:rPr>
  </w:style>
  <w:style w:type="paragraph" w:customStyle="1" w:styleId="C-TOCTitle">
    <w:name w:val="C-TOC Title"/>
    <w:next w:val="C-BodyText"/>
    <w:rsid w:val="00DD7456"/>
    <w:pPr>
      <w:spacing w:after="120"/>
      <w:jc w:val="center"/>
    </w:pPr>
    <w:rPr>
      <w:rFonts w:ascii="Times New Roman" w:hAnsi="Times New Roman"/>
      <w:b/>
      <w:caps/>
      <w:sz w:val="28"/>
      <w:szCs w:val="28"/>
      <w:lang w:val="en-US" w:eastAsia="en-US"/>
    </w:rPr>
  </w:style>
  <w:style w:type="paragraph" w:customStyle="1" w:styleId="TableText">
    <w:name w:val="TableText"/>
    <w:rsid w:val="00DD7456"/>
    <w:pPr>
      <w:keepNext/>
    </w:pPr>
    <w:rPr>
      <w:rFonts w:ascii="Times New Roman" w:eastAsia="Times New Roman" w:hAnsi="Times New Roman"/>
      <w:lang w:val="en-US" w:eastAsia="en-US"/>
    </w:rPr>
  </w:style>
  <w:style w:type="paragraph" w:customStyle="1" w:styleId="CPTExample">
    <w:name w:val="CPT_Example"/>
    <w:basedOn w:val="Normalny"/>
    <w:uiPriority w:val="1"/>
    <w:rsid w:val="007E2B12"/>
    <w:pPr>
      <w:spacing w:before="120" w:after="120" w:line="280" w:lineRule="atLeast"/>
    </w:pPr>
    <w:rPr>
      <w:rFonts w:ascii="Arial" w:eastAsia="Times New Roman" w:hAnsi="Arial"/>
      <w:i/>
      <w:color w:val="00B050"/>
      <w:sz w:val="20"/>
      <w:szCs w:val="20"/>
      <w:lang w:val="en-US" w:eastAsia="en-US"/>
    </w:rPr>
  </w:style>
  <w:style w:type="character" w:customStyle="1" w:styleId="AkapitzlistZnak">
    <w:name w:val="Akapit z listą Znak"/>
    <w:basedOn w:val="Domylnaczcionkaakapitu"/>
    <w:link w:val="Akapitzlist"/>
    <w:uiPriority w:val="34"/>
    <w:locked/>
    <w:rsid w:val="007E2B12"/>
    <w:rPr>
      <w:sz w:val="24"/>
      <w:szCs w:val="24"/>
      <w:lang w:val="pl-PL" w:eastAsia="pl-PL"/>
    </w:rPr>
  </w:style>
  <w:style w:type="character" w:customStyle="1" w:styleId="Nagwek3Znak">
    <w:name w:val="Nagłówek 3 Znak"/>
    <w:basedOn w:val="Domylnaczcionkaakapitu"/>
    <w:link w:val="Nagwek3"/>
    <w:uiPriority w:val="9"/>
    <w:rsid w:val="003B6A73"/>
    <w:rPr>
      <w:rFonts w:asciiTheme="majorHAnsi" w:eastAsiaTheme="majorEastAsia" w:hAnsiTheme="majorHAnsi" w:cstheme="majorBidi"/>
      <w:b/>
      <w:bCs/>
      <w:color w:val="5B9BD5" w:themeColor="accent1"/>
      <w:sz w:val="24"/>
      <w:szCs w:val="24"/>
      <w:lang w:val="pl-PL" w:eastAsia="pl-PL"/>
    </w:rPr>
  </w:style>
  <w:style w:type="paragraph" w:styleId="Tekstpodstawowy">
    <w:name w:val="Body Text"/>
    <w:basedOn w:val="Normalny"/>
    <w:link w:val="TekstpodstawowyZnak"/>
    <w:uiPriority w:val="1"/>
    <w:qFormat/>
    <w:rsid w:val="003B6A73"/>
    <w:pPr>
      <w:widowControl w:val="0"/>
      <w:autoSpaceDE w:val="0"/>
      <w:autoSpaceDN w:val="0"/>
      <w:jc w:val="both"/>
    </w:pPr>
    <w:rPr>
      <w:rFonts w:ascii="Times New Roman" w:eastAsia="Times New Roman" w:hAnsi="Times New Roman"/>
      <w:lang w:val="en-US" w:eastAsia="en-US"/>
    </w:rPr>
  </w:style>
  <w:style w:type="character" w:customStyle="1" w:styleId="TekstpodstawowyZnak">
    <w:name w:val="Tekst podstawowy Znak"/>
    <w:basedOn w:val="Domylnaczcionkaakapitu"/>
    <w:link w:val="Tekstpodstawowy"/>
    <w:uiPriority w:val="1"/>
    <w:rsid w:val="003B6A73"/>
    <w:rPr>
      <w:rFonts w:ascii="Times New Roman" w:eastAsia="Times New Roman" w:hAnsi="Times New Roman"/>
      <w:sz w:val="24"/>
      <w:szCs w:val="24"/>
      <w:lang w:val="en-US" w:eastAsia="en-US"/>
    </w:rPr>
  </w:style>
  <w:style w:type="paragraph" w:styleId="Spistreci3">
    <w:name w:val="toc 3"/>
    <w:basedOn w:val="Normalny"/>
    <w:next w:val="Normalny"/>
    <w:autoRedefine/>
    <w:uiPriority w:val="39"/>
    <w:unhideWhenUsed/>
    <w:qFormat/>
    <w:rsid w:val="00573C3D"/>
    <w:pPr>
      <w:spacing w:after="100"/>
      <w:ind w:left="480"/>
    </w:pPr>
  </w:style>
  <w:style w:type="paragraph" w:styleId="Poprawka">
    <w:name w:val="Revision"/>
    <w:hidden/>
    <w:uiPriority w:val="71"/>
    <w:rsid w:val="00573C3D"/>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40174267">
      <w:bodyDiv w:val="1"/>
      <w:marLeft w:val="0"/>
      <w:marRight w:val="0"/>
      <w:marTop w:val="0"/>
      <w:marBottom w:val="0"/>
      <w:divBdr>
        <w:top w:val="none" w:sz="0" w:space="0" w:color="auto"/>
        <w:left w:val="none" w:sz="0" w:space="0" w:color="auto"/>
        <w:bottom w:val="none" w:sz="0" w:space="0" w:color="auto"/>
        <w:right w:val="none" w:sz="0" w:space="0" w:color="auto"/>
      </w:divBdr>
      <w:divsChild>
        <w:div w:id="2046637934">
          <w:marLeft w:val="0"/>
          <w:marRight w:val="0"/>
          <w:marTop w:val="0"/>
          <w:marBottom w:val="0"/>
          <w:divBdr>
            <w:top w:val="none" w:sz="0" w:space="0" w:color="auto"/>
            <w:left w:val="none" w:sz="0" w:space="0" w:color="auto"/>
            <w:bottom w:val="none" w:sz="0" w:space="0" w:color="auto"/>
            <w:right w:val="none" w:sz="0" w:space="0" w:color="auto"/>
          </w:divBdr>
          <w:divsChild>
            <w:div w:id="68617082">
              <w:marLeft w:val="0"/>
              <w:marRight w:val="0"/>
              <w:marTop w:val="0"/>
              <w:marBottom w:val="0"/>
              <w:divBdr>
                <w:top w:val="none" w:sz="0" w:space="0" w:color="auto"/>
                <w:left w:val="none" w:sz="0" w:space="0" w:color="auto"/>
                <w:bottom w:val="none" w:sz="0" w:space="0" w:color="auto"/>
                <w:right w:val="none" w:sz="0" w:space="0" w:color="auto"/>
              </w:divBdr>
              <w:divsChild>
                <w:div w:id="13485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1990">
      <w:bodyDiv w:val="1"/>
      <w:marLeft w:val="0"/>
      <w:marRight w:val="0"/>
      <w:marTop w:val="0"/>
      <w:marBottom w:val="0"/>
      <w:divBdr>
        <w:top w:val="none" w:sz="0" w:space="0" w:color="auto"/>
        <w:left w:val="none" w:sz="0" w:space="0" w:color="auto"/>
        <w:bottom w:val="none" w:sz="0" w:space="0" w:color="auto"/>
        <w:right w:val="none" w:sz="0" w:space="0" w:color="auto"/>
      </w:divBdr>
      <w:divsChild>
        <w:div w:id="1981498574">
          <w:marLeft w:val="0"/>
          <w:marRight w:val="0"/>
          <w:marTop w:val="0"/>
          <w:marBottom w:val="0"/>
          <w:divBdr>
            <w:top w:val="none" w:sz="0" w:space="0" w:color="auto"/>
            <w:left w:val="none" w:sz="0" w:space="0" w:color="auto"/>
            <w:bottom w:val="none" w:sz="0" w:space="0" w:color="auto"/>
            <w:right w:val="none" w:sz="0" w:space="0" w:color="auto"/>
          </w:divBdr>
          <w:divsChild>
            <w:div w:id="672877686">
              <w:marLeft w:val="0"/>
              <w:marRight w:val="0"/>
              <w:marTop w:val="0"/>
              <w:marBottom w:val="0"/>
              <w:divBdr>
                <w:top w:val="none" w:sz="0" w:space="0" w:color="auto"/>
                <w:left w:val="none" w:sz="0" w:space="0" w:color="auto"/>
                <w:bottom w:val="none" w:sz="0" w:space="0" w:color="auto"/>
                <w:right w:val="none" w:sz="0" w:space="0" w:color="auto"/>
              </w:divBdr>
              <w:divsChild>
                <w:div w:id="15888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59376">
      <w:bodyDiv w:val="1"/>
      <w:marLeft w:val="0"/>
      <w:marRight w:val="0"/>
      <w:marTop w:val="0"/>
      <w:marBottom w:val="0"/>
      <w:divBdr>
        <w:top w:val="none" w:sz="0" w:space="0" w:color="auto"/>
        <w:left w:val="none" w:sz="0" w:space="0" w:color="auto"/>
        <w:bottom w:val="none" w:sz="0" w:space="0" w:color="auto"/>
        <w:right w:val="none" w:sz="0" w:space="0" w:color="auto"/>
      </w:divBdr>
    </w:div>
    <w:div w:id="883181375">
      <w:bodyDiv w:val="1"/>
      <w:marLeft w:val="0"/>
      <w:marRight w:val="0"/>
      <w:marTop w:val="0"/>
      <w:marBottom w:val="0"/>
      <w:divBdr>
        <w:top w:val="none" w:sz="0" w:space="0" w:color="auto"/>
        <w:left w:val="none" w:sz="0" w:space="0" w:color="auto"/>
        <w:bottom w:val="none" w:sz="0" w:space="0" w:color="auto"/>
        <w:right w:val="none" w:sz="0" w:space="0" w:color="auto"/>
      </w:divBdr>
    </w:div>
    <w:div w:id="1095443362">
      <w:bodyDiv w:val="1"/>
      <w:marLeft w:val="0"/>
      <w:marRight w:val="0"/>
      <w:marTop w:val="0"/>
      <w:marBottom w:val="0"/>
      <w:divBdr>
        <w:top w:val="none" w:sz="0" w:space="0" w:color="auto"/>
        <w:left w:val="none" w:sz="0" w:space="0" w:color="auto"/>
        <w:bottom w:val="none" w:sz="0" w:space="0" w:color="auto"/>
        <w:right w:val="none" w:sz="0" w:space="0" w:color="auto"/>
      </w:divBdr>
    </w:div>
    <w:div w:id="1166046308">
      <w:bodyDiv w:val="1"/>
      <w:marLeft w:val="0"/>
      <w:marRight w:val="0"/>
      <w:marTop w:val="0"/>
      <w:marBottom w:val="0"/>
      <w:divBdr>
        <w:top w:val="none" w:sz="0" w:space="0" w:color="auto"/>
        <w:left w:val="none" w:sz="0" w:space="0" w:color="auto"/>
        <w:bottom w:val="none" w:sz="0" w:space="0" w:color="auto"/>
        <w:right w:val="none" w:sz="0" w:space="0" w:color="auto"/>
      </w:divBdr>
      <w:divsChild>
        <w:div w:id="285623162">
          <w:marLeft w:val="0"/>
          <w:marRight w:val="0"/>
          <w:marTop w:val="0"/>
          <w:marBottom w:val="0"/>
          <w:divBdr>
            <w:top w:val="none" w:sz="0" w:space="0" w:color="auto"/>
            <w:left w:val="none" w:sz="0" w:space="0" w:color="auto"/>
            <w:bottom w:val="none" w:sz="0" w:space="0" w:color="auto"/>
            <w:right w:val="none" w:sz="0" w:space="0" w:color="auto"/>
          </w:divBdr>
          <w:divsChild>
            <w:div w:id="489641543">
              <w:marLeft w:val="0"/>
              <w:marRight w:val="0"/>
              <w:marTop w:val="0"/>
              <w:marBottom w:val="0"/>
              <w:divBdr>
                <w:top w:val="none" w:sz="0" w:space="0" w:color="auto"/>
                <w:left w:val="none" w:sz="0" w:space="0" w:color="auto"/>
                <w:bottom w:val="none" w:sz="0" w:space="0" w:color="auto"/>
                <w:right w:val="none" w:sz="0" w:space="0" w:color="auto"/>
              </w:divBdr>
              <w:divsChild>
                <w:div w:id="1198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9759">
      <w:bodyDiv w:val="1"/>
      <w:marLeft w:val="0"/>
      <w:marRight w:val="0"/>
      <w:marTop w:val="0"/>
      <w:marBottom w:val="0"/>
      <w:divBdr>
        <w:top w:val="none" w:sz="0" w:space="0" w:color="auto"/>
        <w:left w:val="none" w:sz="0" w:space="0" w:color="auto"/>
        <w:bottom w:val="none" w:sz="0" w:space="0" w:color="auto"/>
        <w:right w:val="none" w:sz="0" w:space="0" w:color="auto"/>
      </w:divBdr>
    </w:div>
    <w:div w:id="1378436541">
      <w:bodyDiv w:val="1"/>
      <w:marLeft w:val="0"/>
      <w:marRight w:val="0"/>
      <w:marTop w:val="0"/>
      <w:marBottom w:val="0"/>
      <w:divBdr>
        <w:top w:val="none" w:sz="0" w:space="0" w:color="auto"/>
        <w:left w:val="none" w:sz="0" w:space="0" w:color="auto"/>
        <w:bottom w:val="none" w:sz="0" w:space="0" w:color="auto"/>
        <w:right w:val="none" w:sz="0" w:space="0" w:color="auto"/>
      </w:divBdr>
    </w:div>
    <w:div w:id="1481920153">
      <w:bodyDiv w:val="1"/>
      <w:marLeft w:val="0"/>
      <w:marRight w:val="0"/>
      <w:marTop w:val="0"/>
      <w:marBottom w:val="0"/>
      <w:divBdr>
        <w:top w:val="none" w:sz="0" w:space="0" w:color="auto"/>
        <w:left w:val="none" w:sz="0" w:space="0" w:color="auto"/>
        <w:bottom w:val="none" w:sz="0" w:space="0" w:color="auto"/>
        <w:right w:val="none" w:sz="0" w:space="0" w:color="auto"/>
      </w:divBdr>
      <w:divsChild>
        <w:div w:id="1522664444">
          <w:marLeft w:val="480"/>
          <w:marRight w:val="0"/>
          <w:marTop w:val="0"/>
          <w:marBottom w:val="0"/>
          <w:divBdr>
            <w:top w:val="none" w:sz="0" w:space="0" w:color="auto"/>
            <w:left w:val="none" w:sz="0" w:space="0" w:color="auto"/>
            <w:bottom w:val="none" w:sz="0" w:space="0" w:color="auto"/>
            <w:right w:val="none" w:sz="0" w:space="0" w:color="auto"/>
          </w:divBdr>
        </w:div>
      </w:divsChild>
    </w:div>
    <w:div w:id="1656298968">
      <w:bodyDiv w:val="1"/>
      <w:marLeft w:val="0"/>
      <w:marRight w:val="0"/>
      <w:marTop w:val="0"/>
      <w:marBottom w:val="0"/>
      <w:divBdr>
        <w:top w:val="none" w:sz="0" w:space="0" w:color="auto"/>
        <w:left w:val="none" w:sz="0" w:space="0" w:color="auto"/>
        <w:bottom w:val="none" w:sz="0" w:space="0" w:color="auto"/>
        <w:right w:val="none" w:sz="0" w:space="0" w:color="auto"/>
      </w:divBdr>
    </w:div>
    <w:div w:id="167707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lianonavarese@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5D83-7F43-4534-B918-FDD7BB95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9067</Words>
  <Characters>54408</Characters>
  <Application>Microsoft Office Word</Application>
  <DocSecurity>0</DocSecurity>
  <Lines>453</Lines>
  <Paragraphs>126</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63349</CharactersWithSpaces>
  <SharedDoc>false</SharedDoc>
  <HLinks>
    <vt:vector size="6" baseType="variant">
      <vt:variant>
        <vt:i4>1835041</vt:i4>
      </vt:variant>
      <vt:variant>
        <vt:i4>0</vt:i4>
      </vt:variant>
      <vt:variant>
        <vt:i4>0</vt:i4>
      </vt:variant>
      <vt:variant>
        <vt:i4>5</vt:i4>
      </vt:variant>
      <vt:variant>
        <vt:lpwstr>mailto:elianonavarese@gmail.com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Kubica</dc:creator>
  <cp:lastModifiedBy>A555</cp:lastModifiedBy>
  <cp:revision>8</cp:revision>
  <cp:lastPrinted>2020-05-13T19:45:00Z</cp:lastPrinted>
  <dcterms:created xsi:type="dcterms:W3CDTF">2021-11-05T17:37:00Z</dcterms:created>
  <dcterms:modified xsi:type="dcterms:W3CDTF">2022-02-20T22:30:00Z</dcterms:modified>
</cp:coreProperties>
</file>