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B1" w:rsidRPr="00D528E0" w:rsidRDefault="00145447" w:rsidP="00145447">
      <w:pPr>
        <w:spacing w:after="240" w:line="480" w:lineRule="auto"/>
        <w:jc w:val="center"/>
        <w:rPr>
          <w:rFonts w:ascii="Times New Roman" w:hAnsi="Times New Roman" w:cs="Times New Roman"/>
          <w:b/>
          <w:sz w:val="24"/>
          <w:szCs w:val="24"/>
          <w:lang w:val="en-US"/>
        </w:rPr>
      </w:pPr>
      <w:r w:rsidRPr="00D528E0">
        <w:rPr>
          <w:rFonts w:ascii="Times New Roman" w:hAnsi="Times New Roman" w:cs="Times New Roman"/>
          <w:b/>
          <w:sz w:val="24"/>
          <w:szCs w:val="24"/>
          <w:lang w:val="en-US"/>
        </w:rPr>
        <w:t>Supplementary appendix</w:t>
      </w:r>
    </w:p>
    <w:p w:rsidR="00145447" w:rsidRPr="00D528E0" w:rsidRDefault="00145447" w:rsidP="00145447">
      <w:pPr>
        <w:spacing w:after="240" w:line="480" w:lineRule="auto"/>
        <w:jc w:val="center"/>
        <w:rPr>
          <w:rFonts w:ascii="Times New Roman" w:hAnsi="Times New Roman" w:cs="Times New Roman"/>
          <w:b/>
          <w:sz w:val="24"/>
          <w:szCs w:val="24"/>
          <w:lang w:val="en-US"/>
        </w:rPr>
      </w:pPr>
    </w:p>
    <w:p w:rsidR="00145447" w:rsidRPr="00D528E0" w:rsidRDefault="00145447" w:rsidP="00145447">
      <w:pPr>
        <w:spacing w:after="240" w:line="480" w:lineRule="auto"/>
        <w:jc w:val="center"/>
        <w:rPr>
          <w:rFonts w:ascii="Times New Roman" w:hAnsi="Times New Roman" w:cs="Times New Roman"/>
          <w:b/>
          <w:sz w:val="24"/>
          <w:szCs w:val="24"/>
          <w:lang w:val="en-US"/>
        </w:rPr>
      </w:pPr>
      <w:r w:rsidRPr="00D528E0">
        <w:rPr>
          <w:rStyle w:val="prefix2"/>
          <w:rFonts w:ascii="Times New Roman" w:hAnsi="Times New Roman" w:cs="Times New Roman"/>
          <w:b/>
          <w:sz w:val="24"/>
          <w:szCs w:val="24"/>
          <w:lang w:val="en-US"/>
        </w:rPr>
        <w:t xml:space="preserve">Evaluation of safety and efficacy of two ticagrelor-based de-escalation antiplatelet strategies in acute coronary syndrome </w:t>
      </w:r>
      <w:r w:rsidRPr="00D528E0">
        <w:rPr>
          <w:rFonts w:ascii="Times New Roman" w:hAnsi="Times New Roman" w:cs="Times New Roman"/>
          <w:b/>
          <w:sz w:val="24"/>
          <w:szCs w:val="24"/>
          <w:lang w:val="en-US"/>
        </w:rPr>
        <w:t xml:space="preserve">- a randomized clinical trial </w:t>
      </w:r>
      <w:r w:rsidR="00CF36F6" w:rsidRPr="00D528E0">
        <w:rPr>
          <w:rFonts w:ascii="Times New Roman" w:hAnsi="Times New Roman" w:cs="Times New Roman"/>
          <w:b/>
          <w:sz w:val="24"/>
          <w:szCs w:val="24"/>
          <w:lang w:val="en-US"/>
        </w:rPr>
        <w:br/>
      </w:r>
      <w:r w:rsidRPr="00D528E0">
        <w:rPr>
          <w:rFonts w:ascii="Times New Roman" w:hAnsi="Times New Roman" w:cs="Times New Roman"/>
          <w:b/>
          <w:sz w:val="24"/>
          <w:szCs w:val="24"/>
          <w:lang w:val="en-US"/>
        </w:rPr>
        <w:t>(ELECTRA-SIRIO 2)</w:t>
      </w:r>
    </w:p>
    <w:p w:rsidR="00145447" w:rsidRPr="00D528E0" w:rsidRDefault="00145447" w:rsidP="00145447">
      <w:pPr>
        <w:spacing w:after="240" w:line="480" w:lineRule="auto"/>
        <w:jc w:val="center"/>
        <w:rPr>
          <w:rFonts w:ascii="Times New Roman" w:hAnsi="Times New Roman" w:cs="Times New Roman"/>
          <w:b/>
          <w:sz w:val="24"/>
          <w:szCs w:val="24"/>
          <w:lang w:val="en-US"/>
        </w:rPr>
      </w:pPr>
    </w:p>
    <w:p w:rsidR="00145447" w:rsidRPr="00D528E0" w:rsidRDefault="00145447" w:rsidP="00145447">
      <w:pPr>
        <w:pStyle w:val="Tekstkomentarza"/>
        <w:spacing w:after="240" w:line="480" w:lineRule="auto"/>
        <w:jc w:val="center"/>
        <w:rPr>
          <w:rFonts w:ascii="Times New Roman" w:hAnsi="Times New Roman"/>
          <w:b/>
          <w:sz w:val="24"/>
          <w:szCs w:val="24"/>
          <w:lang w:val="en-US"/>
        </w:rPr>
      </w:pPr>
      <w:r w:rsidRPr="00D528E0">
        <w:rPr>
          <w:rFonts w:ascii="Times New Roman" w:hAnsi="Times New Roman"/>
          <w:b/>
          <w:sz w:val="24"/>
          <w:szCs w:val="24"/>
          <w:lang w:val="en-US"/>
        </w:rPr>
        <w:t xml:space="preserve">Low-dose ticagrelor with or without aspirin in patients with acute coronary syndrome: rationale and design </w:t>
      </w:r>
      <w:r w:rsidR="00BD187B">
        <w:rPr>
          <w:rFonts w:ascii="Times New Roman" w:hAnsi="Times New Roman"/>
          <w:b/>
          <w:sz w:val="24"/>
          <w:szCs w:val="24"/>
          <w:lang w:val="en-US"/>
        </w:rPr>
        <w:t>of</w:t>
      </w:r>
      <w:r w:rsidRPr="00D528E0">
        <w:rPr>
          <w:rFonts w:ascii="Times New Roman" w:hAnsi="Times New Roman"/>
          <w:b/>
          <w:sz w:val="24"/>
          <w:szCs w:val="24"/>
          <w:lang w:val="en-US"/>
        </w:rPr>
        <w:t xml:space="preserve"> the ELECTRA-SIRIO 2 trial</w:t>
      </w:r>
    </w:p>
    <w:p w:rsidR="008A351B" w:rsidRPr="00D528E0" w:rsidRDefault="008A351B" w:rsidP="00145447">
      <w:pPr>
        <w:pStyle w:val="Tekstkomentarza"/>
        <w:spacing w:after="240" w:line="480" w:lineRule="auto"/>
        <w:jc w:val="center"/>
        <w:rPr>
          <w:rFonts w:ascii="Times New Roman" w:hAnsi="Times New Roman"/>
          <w:b/>
          <w:sz w:val="24"/>
          <w:szCs w:val="24"/>
          <w:lang w:val="en-US"/>
        </w:rPr>
      </w:pPr>
    </w:p>
    <w:p w:rsidR="00145447" w:rsidRPr="00D528E0" w:rsidRDefault="008A351B" w:rsidP="008A351B">
      <w:pPr>
        <w:spacing w:after="240" w:line="480" w:lineRule="auto"/>
        <w:jc w:val="center"/>
        <w:rPr>
          <w:rFonts w:ascii="Times New Roman" w:hAnsi="Times New Roman" w:cs="Times New Roman"/>
          <w:sz w:val="24"/>
          <w:szCs w:val="24"/>
          <w:lang w:val="en-US"/>
        </w:rPr>
      </w:pPr>
      <w:r w:rsidRPr="00D528E0">
        <w:rPr>
          <w:rFonts w:ascii="Times New Roman" w:hAnsi="Times New Roman" w:cs="Times New Roman"/>
          <w:sz w:val="24"/>
          <w:szCs w:val="24"/>
          <w:lang w:val="en-US"/>
        </w:rPr>
        <w:t>This supplement contains the following items:</w:t>
      </w:r>
    </w:p>
    <w:p w:rsidR="008A351B" w:rsidRPr="00F70225" w:rsidRDefault="00F70225" w:rsidP="008A351B">
      <w:pPr>
        <w:spacing w:after="240" w:line="480" w:lineRule="auto"/>
        <w:jc w:val="both"/>
        <w:rPr>
          <w:rFonts w:ascii="Times New Roman" w:hAnsi="Times New Roman" w:cs="Times New Roman"/>
          <w:b/>
          <w:sz w:val="24"/>
          <w:szCs w:val="24"/>
          <w:lang w:val="en-US"/>
        </w:rPr>
      </w:pPr>
      <w:r w:rsidRPr="00F70225">
        <w:rPr>
          <w:rFonts w:ascii="Times New Roman" w:hAnsi="Times New Roman" w:cs="Times New Roman"/>
          <w:b/>
          <w:sz w:val="24"/>
          <w:szCs w:val="24"/>
          <w:lang w:val="en-US"/>
        </w:rPr>
        <w:t xml:space="preserve">1. </w:t>
      </w:r>
      <w:r w:rsidR="008A351B" w:rsidRPr="00F70225">
        <w:rPr>
          <w:rFonts w:ascii="Times New Roman" w:hAnsi="Times New Roman" w:cs="Times New Roman"/>
          <w:b/>
          <w:sz w:val="24"/>
          <w:szCs w:val="24"/>
          <w:lang w:val="en-US"/>
        </w:rPr>
        <w:t>Study registration data</w:t>
      </w:r>
      <w:r w:rsidRPr="00F70225">
        <w:rPr>
          <w:rFonts w:ascii="Times New Roman" w:hAnsi="Times New Roman" w:cs="Times New Roman"/>
          <w:b/>
          <w:sz w:val="24"/>
          <w:szCs w:val="24"/>
          <w:lang w:val="en-US"/>
        </w:rPr>
        <w:t>........................................................................................................2</w:t>
      </w:r>
    </w:p>
    <w:p w:rsidR="008A351B" w:rsidRPr="00F70225" w:rsidRDefault="00F70225" w:rsidP="008A351B">
      <w:pPr>
        <w:spacing w:after="240" w:line="480" w:lineRule="auto"/>
        <w:jc w:val="both"/>
        <w:rPr>
          <w:rFonts w:ascii="Times New Roman" w:hAnsi="Times New Roman" w:cs="Times New Roman"/>
          <w:b/>
          <w:sz w:val="24"/>
          <w:szCs w:val="24"/>
          <w:lang w:val="en-US"/>
        </w:rPr>
      </w:pPr>
      <w:r w:rsidRPr="00F70225">
        <w:rPr>
          <w:rFonts w:ascii="Times New Roman" w:hAnsi="Times New Roman" w:cs="Times New Roman"/>
          <w:b/>
          <w:sz w:val="24"/>
          <w:szCs w:val="24"/>
          <w:lang w:val="en-US"/>
        </w:rPr>
        <w:t xml:space="preserve">2. </w:t>
      </w:r>
      <w:r w:rsidR="008A351B" w:rsidRPr="00F70225">
        <w:rPr>
          <w:rFonts w:ascii="Times New Roman" w:hAnsi="Times New Roman" w:cs="Times New Roman"/>
          <w:b/>
          <w:sz w:val="24"/>
          <w:szCs w:val="24"/>
          <w:lang w:val="en-US"/>
        </w:rPr>
        <w:t>Funding</w:t>
      </w:r>
      <w:r w:rsidRPr="00F70225">
        <w:rPr>
          <w:rFonts w:ascii="Times New Roman" w:hAnsi="Times New Roman" w:cs="Times New Roman"/>
          <w:b/>
          <w:sz w:val="24"/>
          <w:szCs w:val="24"/>
          <w:lang w:val="en-US"/>
        </w:rPr>
        <w:t>..................................................................................................................................2</w:t>
      </w:r>
    </w:p>
    <w:p w:rsidR="00CF36F6" w:rsidRPr="00F70225" w:rsidRDefault="00F70225" w:rsidP="008A351B">
      <w:pPr>
        <w:spacing w:after="240" w:line="480" w:lineRule="auto"/>
        <w:jc w:val="both"/>
        <w:rPr>
          <w:rFonts w:ascii="Times New Roman" w:hAnsi="Times New Roman" w:cs="Times New Roman"/>
          <w:b/>
          <w:sz w:val="24"/>
          <w:szCs w:val="24"/>
          <w:lang w:val="en-US"/>
        </w:rPr>
      </w:pPr>
      <w:r w:rsidRPr="00F70225">
        <w:rPr>
          <w:rFonts w:ascii="Times New Roman" w:hAnsi="Times New Roman" w:cs="Times New Roman"/>
          <w:b/>
          <w:sz w:val="24"/>
          <w:szCs w:val="24"/>
          <w:lang w:val="en-US"/>
        </w:rPr>
        <w:t xml:space="preserve">3. </w:t>
      </w:r>
      <w:r w:rsidR="00CF36F6" w:rsidRPr="00F70225">
        <w:rPr>
          <w:rFonts w:ascii="Times New Roman" w:hAnsi="Times New Roman" w:cs="Times New Roman"/>
          <w:b/>
          <w:sz w:val="24"/>
          <w:szCs w:val="24"/>
          <w:lang w:val="en-US"/>
        </w:rPr>
        <w:t>Inclusion and exclusion criteria</w:t>
      </w:r>
      <w:r w:rsidRPr="00F70225">
        <w:rPr>
          <w:rFonts w:ascii="Times New Roman" w:hAnsi="Times New Roman" w:cs="Times New Roman"/>
          <w:b/>
          <w:sz w:val="24"/>
          <w:szCs w:val="24"/>
          <w:lang w:val="en-US"/>
        </w:rPr>
        <w:t>..........................................................................................2</w:t>
      </w:r>
    </w:p>
    <w:p w:rsidR="000A026D" w:rsidRDefault="00F70225" w:rsidP="008A351B">
      <w:pPr>
        <w:spacing w:after="240" w:line="480" w:lineRule="auto"/>
        <w:jc w:val="both"/>
        <w:rPr>
          <w:rFonts w:ascii="Times New Roman" w:hAnsi="Times New Roman" w:cs="Times New Roman"/>
          <w:b/>
          <w:sz w:val="24"/>
          <w:szCs w:val="24"/>
          <w:lang w:val="en-US"/>
        </w:rPr>
      </w:pPr>
      <w:r w:rsidRPr="00F70225">
        <w:rPr>
          <w:rFonts w:ascii="Times New Roman" w:hAnsi="Times New Roman" w:cs="Times New Roman"/>
          <w:b/>
          <w:sz w:val="24"/>
          <w:szCs w:val="24"/>
          <w:lang w:val="en-US"/>
        </w:rPr>
        <w:t xml:space="preserve">4. </w:t>
      </w:r>
      <w:r w:rsidR="000A026D" w:rsidRPr="00F70225">
        <w:rPr>
          <w:rFonts w:ascii="Times New Roman" w:hAnsi="Times New Roman" w:cs="Times New Roman"/>
          <w:b/>
          <w:sz w:val="24"/>
          <w:szCs w:val="24"/>
          <w:lang w:val="en-US"/>
        </w:rPr>
        <w:t>Sample size calculation</w:t>
      </w:r>
      <w:r w:rsidRPr="00F70225">
        <w:rPr>
          <w:rFonts w:ascii="Times New Roman" w:hAnsi="Times New Roman" w:cs="Times New Roman"/>
          <w:b/>
          <w:sz w:val="24"/>
          <w:szCs w:val="24"/>
          <w:lang w:val="en-US"/>
        </w:rPr>
        <w:t>........................................................................................................4</w:t>
      </w:r>
    </w:p>
    <w:p w:rsidR="00F9443F" w:rsidRPr="00F70225" w:rsidRDefault="00F9443F" w:rsidP="008A351B">
      <w:pPr>
        <w:spacing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 Study conduct</w:t>
      </w:r>
      <w:r w:rsidR="00BC775A" w:rsidRPr="00F70225">
        <w:rPr>
          <w:rFonts w:ascii="Times New Roman" w:hAnsi="Times New Roman" w:cs="Times New Roman"/>
          <w:b/>
          <w:sz w:val="24"/>
          <w:szCs w:val="24"/>
          <w:lang w:val="en-US"/>
        </w:rPr>
        <w:t>.....................................</w:t>
      </w:r>
      <w:r w:rsidR="00BC775A">
        <w:rPr>
          <w:rFonts w:ascii="Times New Roman" w:hAnsi="Times New Roman" w:cs="Times New Roman"/>
          <w:b/>
          <w:sz w:val="24"/>
          <w:szCs w:val="24"/>
          <w:lang w:val="en-US"/>
        </w:rPr>
        <w:t>..............</w:t>
      </w:r>
      <w:r w:rsidR="00BC775A" w:rsidRPr="00F70225">
        <w:rPr>
          <w:rFonts w:ascii="Times New Roman" w:hAnsi="Times New Roman" w:cs="Times New Roman"/>
          <w:b/>
          <w:sz w:val="24"/>
          <w:szCs w:val="24"/>
          <w:lang w:val="en-US"/>
        </w:rPr>
        <w:t>...................................................................</w:t>
      </w:r>
      <w:r w:rsidR="00BC775A">
        <w:rPr>
          <w:rFonts w:ascii="Times New Roman" w:hAnsi="Times New Roman" w:cs="Times New Roman"/>
          <w:b/>
          <w:sz w:val="24"/>
          <w:szCs w:val="24"/>
          <w:lang w:val="en-US"/>
        </w:rPr>
        <w:t>.5</w:t>
      </w:r>
    </w:p>
    <w:p w:rsidR="0094190C" w:rsidRPr="00F70225" w:rsidRDefault="00BC775A" w:rsidP="008A351B">
      <w:pPr>
        <w:spacing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00F70225" w:rsidRPr="00F70225">
        <w:rPr>
          <w:rFonts w:ascii="Times New Roman" w:hAnsi="Times New Roman" w:cs="Times New Roman"/>
          <w:b/>
          <w:sz w:val="24"/>
          <w:szCs w:val="24"/>
          <w:lang w:val="en-US"/>
        </w:rPr>
        <w:t xml:space="preserve">. </w:t>
      </w:r>
      <w:r w:rsidR="0094190C" w:rsidRPr="00F70225">
        <w:rPr>
          <w:rFonts w:ascii="Times New Roman" w:hAnsi="Times New Roman" w:cs="Times New Roman"/>
          <w:b/>
          <w:sz w:val="24"/>
          <w:szCs w:val="24"/>
          <w:lang w:val="en-US"/>
        </w:rPr>
        <w:t>The MEDMOTION project</w:t>
      </w:r>
      <w:r w:rsidR="00F70225" w:rsidRPr="00F70225">
        <w:rPr>
          <w:rFonts w:ascii="Times New Roman" w:hAnsi="Times New Roman" w:cs="Times New Roman"/>
          <w:b/>
          <w:sz w:val="24"/>
          <w:szCs w:val="24"/>
          <w:lang w:val="en-US"/>
        </w:rPr>
        <w:t>................................................................................................</w:t>
      </w:r>
      <w:r>
        <w:rPr>
          <w:rFonts w:ascii="Times New Roman" w:hAnsi="Times New Roman" w:cs="Times New Roman"/>
          <w:b/>
          <w:sz w:val="24"/>
          <w:szCs w:val="24"/>
          <w:lang w:val="en-US"/>
        </w:rPr>
        <w:t>6</w:t>
      </w:r>
    </w:p>
    <w:p w:rsidR="00CF36F6" w:rsidRPr="00F70225" w:rsidRDefault="00BC775A" w:rsidP="008A351B">
      <w:pPr>
        <w:spacing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7</w:t>
      </w:r>
      <w:r w:rsidR="00F70225" w:rsidRPr="00F70225">
        <w:rPr>
          <w:rFonts w:ascii="Times New Roman" w:hAnsi="Times New Roman" w:cs="Times New Roman"/>
          <w:b/>
          <w:sz w:val="24"/>
          <w:szCs w:val="24"/>
          <w:lang w:val="en-US"/>
        </w:rPr>
        <w:t xml:space="preserve">. </w:t>
      </w:r>
      <w:r w:rsidR="00CF36F6" w:rsidRPr="00F70225">
        <w:rPr>
          <w:rFonts w:ascii="Times New Roman" w:hAnsi="Times New Roman" w:cs="Times New Roman"/>
          <w:b/>
          <w:sz w:val="24"/>
          <w:szCs w:val="24"/>
          <w:lang w:val="en-US"/>
        </w:rPr>
        <w:t>References</w:t>
      </w:r>
      <w:r w:rsidR="00F70225" w:rsidRPr="00F70225">
        <w:rPr>
          <w:rFonts w:ascii="Times New Roman" w:hAnsi="Times New Roman" w:cs="Times New Roman"/>
          <w:b/>
          <w:sz w:val="24"/>
          <w:szCs w:val="24"/>
          <w:lang w:val="en-US"/>
        </w:rPr>
        <w:t>....</w:t>
      </w:r>
      <w:r w:rsidR="00F70225">
        <w:rPr>
          <w:rFonts w:ascii="Times New Roman" w:hAnsi="Times New Roman" w:cs="Times New Roman"/>
          <w:sz w:val="24"/>
          <w:szCs w:val="24"/>
          <w:lang w:val="en-US"/>
        </w:rPr>
        <w:t>.............................................</w:t>
      </w:r>
      <w:r w:rsidR="00F70225" w:rsidRPr="00F70225">
        <w:rPr>
          <w:rFonts w:ascii="Times New Roman" w:hAnsi="Times New Roman" w:cs="Times New Roman"/>
          <w:sz w:val="24"/>
          <w:szCs w:val="24"/>
          <w:lang w:val="en-US"/>
        </w:rPr>
        <w:t xml:space="preserve"> </w:t>
      </w:r>
      <w:r w:rsidR="00F70225">
        <w:rPr>
          <w:rFonts w:ascii="Times New Roman" w:hAnsi="Times New Roman" w:cs="Times New Roman"/>
          <w:sz w:val="24"/>
          <w:szCs w:val="24"/>
          <w:lang w:val="en-US"/>
        </w:rPr>
        <w:t>.......................................................................</w:t>
      </w:r>
      <w:r w:rsidR="00F70225" w:rsidRPr="00F70225">
        <w:rPr>
          <w:rFonts w:ascii="Times New Roman" w:hAnsi="Times New Roman" w:cs="Times New Roman"/>
          <w:b/>
          <w:sz w:val="24"/>
          <w:szCs w:val="24"/>
          <w:lang w:val="en-US"/>
        </w:rPr>
        <w:t>...6</w:t>
      </w:r>
    </w:p>
    <w:p w:rsidR="008A351B" w:rsidRPr="00D528E0" w:rsidRDefault="008A351B" w:rsidP="008A351B">
      <w:pPr>
        <w:spacing w:after="240" w:line="480" w:lineRule="auto"/>
        <w:jc w:val="center"/>
        <w:rPr>
          <w:rFonts w:ascii="Times New Roman" w:hAnsi="Times New Roman" w:cs="Times New Roman"/>
          <w:sz w:val="24"/>
          <w:szCs w:val="24"/>
          <w:lang w:val="en-US"/>
        </w:rPr>
      </w:pPr>
    </w:p>
    <w:p w:rsidR="008A351B" w:rsidRPr="00D528E0" w:rsidRDefault="008A351B" w:rsidP="008A351B">
      <w:pPr>
        <w:spacing w:after="240" w:line="480" w:lineRule="auto"/>
        <w:jc w:val="center"/>
        <w:rPr>
          <w:rFonts w:ascii="Times New Roman" w:hAnsi="Times New Roman" w:cs="Times New Roman"/>
          <w:sz w:val="24"/>
          <w:szCs w:val="24"/>
          <w:lang w:val="en-US"/>
        </w:rPr>
      </w:pPr>
    </w:p>
    <w:p w:rsidR="008A351B" w:rsidRPr="00D528E0" w:rsidRDefault="00F70225" w:rsidP="008A351B">
      <w:pPr>
        <w:spacing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 </w:t>
      </w:r>
      <w:r w:rsidR="008A351B" w:rsidRPr="00D528E0">
        <w:rPr>
          <w:rFonts w:ascii="Times New Roman" w:hAnsi="Times New Roman" w:cs="Times New Roman"/>
          <w:b/>
          <w:sz w:val="24"/>
          <w:szCs w:val="24"/>
          <w:lang w:val="en-US"/>
        </w:rPr>
        <w:t>Study registration data</w:t>
      </w:r>
    </w:p>
    <w:p w:rsidR="008A351B" w:rsidRPr="00D528E0" w:rsidRDefault="008A351B" w:rsidP="008A351B">
      <w:pPr>
        <w:pStyle w:val="Akapitzlist"/>
        <w:numPr>
          <w:ilvl w:val="0"/>
          <w:numId w:val="1"/>
        </w:numPr>
        <w:spacing w:after="240" w:line="480" w:lineRule="auto"/>
        <w:ind w:left="284" w:hanging="284"/>
        <w:jc w:val="both"/>
        <w:rPr>
          <w:rFonts w:ascii="Times New Roman" w:hAnsi="Times New Roman" w:cs="Times New Roman"/>
          <w:sz w:val="24"/>
          <w:szCs w:val="24"/>
          <w:lang w:val="en-US"/>
        </w:rPr>
      </w:pPr>
      <w:r w:rsidRPr="00D528E0">
        <w:rPr>
          <w:rFonts w:ascii="Times New Roman" w:hAnsi="Times New Roman" w:cs="Times New Roman"/>
          <w:sz w:val="24"/>
          <w:szCs w:val="24"/>
          <w:lang w:val="en-US"/>
        </w:rPr>
        <w:t xml:space="preserve">Study approval reference number </w:t>
      </w:r>
      <w:r w:rsidRPr="00F70225">
        <w:rPr>
          <w:rFonts w:ascii="Times New Roman" w:hAnsi="Times New Roman" w:cs="Times New Roman"/>
          <w:sz w:val="24"/>
          <w:szCs w:val="24"/>
          <w:u w:val="single"/>
          <w:lang w:val="en-US"/>
        </w:rPr>
        <w:t>KB 379/2020</w:t>
      </w:r>
      <w:r w:rsidRPr="00D528E0">
        <w:rPr>
          <w:rFonts w:ascii="Times New Roman" w:hAnsi="Times New Roman" w:cs="Times New Roman"/>
          <w:sz w:val="24"/>
          <w:szCs w:val="24"/>
          <w:lang w:val="en-US"/>
        </w:rPr>
        <w:t xml:space="preserve"> issued by the Ethics Committee of Collegium Medicum of Nicolaus Copernicus, Bydgoszcz, Poland (</w:t>
      </w:r>
      <w:proofErr w:type="spellStart"/>
      <w:r w:rsidRPr="00D528E0">
        <w:rPr>
          <w:rFonts w:ascii="Times New Roman" w:hAnsi="Times New Roman" w:cs="Times New Roman"/>
          <w:sz w:val="24"/>
          <w:szCs w:val="24"/>
          <w:lang w:val="en-US"/>
        </w:rPr>
        <w:t>Komisja</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Bioetyczna</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Uniwersytetu</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Mikołaja</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Kopernika</w:t>
      </w:r>
      <w:proofErr w:type="spellEnd"/>
      <w:r w:rsidRPr="00D528E0">
        <w:rPr>
          <w:rFonts w:ascii="Times New Roman" w:hAnsi="Times New Roman" w:cs="Times New Roman"/>
          <w:sz w:val="24"/>
          <w:szCs w:val="24"/>
          <w:lang w:val="en-US"/>
        </w:rPr>
        <w:t xml:space="preserve"> w </w:t>
      </w:r>
      <w:proofErr w:type="spellStart"/>
      <w:r w:rsidRPr="00D528E0">
        <w:rPr>
          <w:rFonts w:ascii="Times New Roman" w:hAnsi="Times New Roman" w:cs="Times New Roman"/>
          <w:sz w:val="24"/>
          <w:szCs w:val="24"/>
          <w:lang w:val="en-US"/>
        </w:rPr>
        <w:t>Toruniu</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przy</w:t>
      </w:r>
      <w:proofErr w:type="spellEnd"/>
      <w:r w:rsidRPr="00D528E0">
        <w:rPr>
          <w:rFonts w:ascii="Times New Roman" w:hAnsi="Times New Roman" w:cs="Times New Roman"/>
          <w:sz w:val="24"/>
          <w:szCs w:val="24"/>
          <w:lang w:val="en-US"/>
        </w:rPr>
        <w:t xml:space="preserve"> Collegium Medicum </w:t>
      </w:r>
      <w:proofErr w:type="spellStart"/>
      <w:r w:rsidRPr="00D528E0">
        <w:rPr>
          <w:rFonts w:ascii="Times New Roman" w:hAnsi="Times New Roman" w:cs="Times New Roman"/>
          <w:sz w:val="24"/>
          <w:szCs w:val="24"/>
          <w:lang w:val="en-US"/>
        </w:rPr>
        <w:t>im</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Ludwika</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Rydygiera</w:t>
      </w:r>
      <w:proofErr w:type="spellEnd"/>
      <w:r w:rsidRPr="00D528E0">
        <w:rPr>
          <w:rFonts w:ascii="Times New Roman" w:hAnsi="Times New Roman" w:cs="Times New Roman"/>
          <w:sz w:val="24"/>
          <w:szCs w:val="24"/>
          <w:lang w:val="en-US"/>
        </w:rPr>
        <w:t xml:space="preserve"> w </w:t>
      </w:r>
      <w:proofErr w:type="spellStart"/>
      <w:r w:rsidRPr="00D528E0">
        <w:rPr>
          <w:rFonts w:ascii="Times New Roman" w:hAnsi="Times New Roman" w:cs="Times New Roman"/>
          <w:sz w:val="24"/>
          <w:szCs w:val="24"/>
          <w:lang w:val="en-US"/>
        </w:rPr>
        <w:t>Bydgoszczy</w:t>
      </w:r>
      <w:proofErr w:type="spellEnd"/>
      <w:r w:rsidRPr="00D528E0">
        <w:rPr>
          <w:rFonts w:ascii="Times New Roman" w:hAnsi="Times New Roman" w:cs="Times New Roman"/>
          <w:sz w:val="24"/>
          <w:szCs w:val="24"/>
          <w:lang w:val="en-US"/>
        </w:rPr>
        <w:t xml:space="preserve">, </w:t>
      </w:r>
      <w:proofErr w:type="spellStart"/>
      <w:r w:rsidRPr="00D528E0">
        <w:rPr>
          <w:rFonts w:ascii="Times New Roman" w:hAnsi="Times New Roman" w:cs="Times New Roman"/>
          <w:sz w:val="24"/>
          <w:szCs w:val="24"/>
          <w:lang w:val="en-US"/>
        </w:rPr>
        <w:t>ul</w:t>
      </w:r>
      <w:proofErr w:type="spellEnd"/>
      <w:r w:rsidRPr="00D528E0">
        <w:rPr>
          <w:rFonts w:ascii="Times New Roman" w:hAnsi="Times New Roman" w:cs="Times New Roman"/>
          <w:sz w:val="24"/>
          <w:szCs w:val="24"/>
          <w:lang w:val="en-US"/>
        </w:rPr>
        <w:t>. M. Curie Skłodowskiej 9, 85-094 Bydgoszcz)</w:t>
      </w:r>
    </w:p>
    <w:p w:rsidR="008A351B" w:rsidRPr="00D528E0" w:rsidRDefault="008A351B" w:rsidP="008A351B">
      <w:pPr>
        <w:pStyle w:val="Akapitzlist"/>
        <w:numPr>
          <w:ilvl w:val="0"/>
          <w:numId w:val="1"/>
        </w:numPr>
        <w:spacing w:after="240" w:line="480" w:lineRule="auto"/>
        <w:ind w:left="284" w:hanging="284"/>
        <w:jc w:val="both"/>
        <w:rPr>
          <w:rFonts w:ascii="Times New Roman" w:hAnsi="Times New Roman" w:cs="Times New Roman"/>
          <w:color w:val="2D2D2D"/>
          <w:sz w:val="24"/>
          <w:szCs w:val="24"/>
          <w:shd w:val="clear" w:color="auto" w:fill="FFFFFF"/>
          <w:lang w:val="en-US"/>
        </w:rPr>
      </w:pPr>
      <w:proofErr w:type="spellStart"/>
      <w:r w:rsidRPr="00D528E0">
        <w:rPr>
          <w:rFonts w:ascii="Times New Roman" w:hAnsi="Times New Roman" w:cs="Times New Roman"/>
          <w:color w:val="2D2D2D"/>
          <w:sz w:val="24"/>
          <w:szCs w:val="24"/>
          <w:shd w:val="clear" w:color="auto" w:fill="FFFFFF"/>
          <w:lang w:val="en-US"/>
        </w:rPr>
        <w:t>EudraCT</w:t>
      </w:r>
      <w:proofErr w:type="spellEnd"/>
      <w:r w:rsidRPr="00D528E0">
        <w:rPr>
          <w:rFonts w:ascii="Times New Roman" w:hAnsi="Times New Roman" w:cs="Times New Roman"/>
          <w:color w:val="2D2D2D"/>
          <w:sz w:val="24"/>
          <w:szCs w:val="24"/>
          <w:shd w:val="clear" w:color="auto" w:fill="FFFFFF"/>
          <w:lang w:val="en-US"/>
        </w:rPr>
        <w:t xml:space="preserve"> number: 2020-005130-15</w:t>
      </w:r>
    </w:p>
    <w:p w:rsidR="00CF36F6" w:rsidRDefault="00CF36F6" w:rsidP="00CF36F6">
      <w:pPr>
        <w:pStyle w:val="Akapitzlist"/>
        <w:numPr>
          <w:ilvl w:val="0"/>
          <w:numId w:val="1"/>
        </w:numPr>
        <w:spacing w:after="240" w:line="480" w:lineRule="auto"/>
        <w:ind w:left="284" w:hanging="284"/>
        <w:jc w:val="both"/>
        <w:rPr>
          <w:rFonts w:ascii="Times New Roman" w:hAnsi="Times New Roman" w:cs="Times New Roman"/>
          <w:color w:val="2D2D2D"/>
          <w:sz w:val="24"/>
          <w:szCs w:val="24"/>
          <w:shd w:val="clear" w:color="auto" w:fill="FFFFFF"/>
          <w:lang w:val="en-US"/>
        </w:rPr>
      </w:pPr>
      <w:r w:rsidRPr="00D528E0">
        <w:rPr>
          <w:rFonts w:ascii="Times New Roman" w:hAnsi="Times New Roman" w:cs="Times New Roman"/>
          <w:sz w:val="24"/>
          <w:szCs w:val="24"/>
          <w:lang w:val="en-US"/>
        </w:rPr>
        <w:t xml:space="preserve">ClinicalTrials.gov Identifier: </w:t>
      </w:r>
      <w:r w:rsidRPr="00D528E0">
        <w:rPr>
          <w:rFonts w:ascii="Times New Roman" w:hAnsi="Times New Roman" w:cs="Times New Roman"/>
          <w:color w:val="2D2D2D"/>
          <w:sz w:val="24"/>
          <w:szCs w:val="24"/>
          <w:shd w:val="clear" w:color="auto" w:fill="FFFFFF"/>
          <w:lang w:val="en-US"/>
        </w:rPr>
        <w:t>NCT04718025</w:t>
      </w:r>
    </w:p>
    <w:p w:rsidR="00F70225" w:rsidRPr="00D528E0" w:rsidRDefault="00F70225" w:rsidP="00F70225">
      <w:pPr>
        <w:pStyle w:val="Akapitzlist"/>
        <w:spacing w:after="240" w:line="480" w:lineRule="auto"/>
        <w:ind w:left="284"/>
        <w:jc w:val="both"/>
        <w:rPr>
          <w:rFonts w:ascii="Times New Roman" w:hAnsi="Times New Roman" w:cs="Times New Roman"/>
          <w:color w:val="2D2D2D"/>
          <w:sz w:val="24"/>
          <w:szCs w:val="24"/>
          <w:shd w:val="clear" w:color="auto" w:fill="FFFFFF"/>
          <w:lang w:val="en-US"/>
        </w:rPr>
      </w:pPr>
    </w:p>
    <w:p w:rsidR="008A351B" w:rsidRPr="00D528E0" w:rsidRDefault="00F70225" w:rsidP="008A351B">
      <w:pPr>
        <w:pStyle w:val="Akapitzlist"/>
        <w:spacing w:after="240" w:line="480" w:lineRule="auto"/>
        <w:ind w:left="0"/>
        <w:jc w:val="both"/>
        <w:rPr>
          <w:rFonts w:ascii="Times New Roman" w:hAnsi="Times New Roman" w:cs="Times New Roman"/>
          <w:b/>
          <w:color w:val="2D2D2D"/>
          <w:sz w:val="24"/>
          <w:szCs w:val="24"/>
          <w:shd w:val="clear" w:color="auto" w:fill="FFFFFF"/>
          <w:lang w:val="en-US"/>
        </w:rPr>
      </w:pPr>
      <w:r>
        <w:rPr>
          <w:rFonts w:ascii="Times New Roman" w:hAnsi="Times New Roman" w:cs="Times New Roman"/>
          <w:b/>
          <w:color w:val="2D2D2D"/>
          <w:sz w:val="24"/>
          <w:szCs w:val="24"/>
          <w:shd w:val="clear" w:color="auto" w:fill="FFFFFF"/>
          <w:lang w:val="en-US"/>
        </w:rPr>
        <w:t xml:space="preserve">2. </w:t>
      </w:r>
      <w:r w:rsidR="008A351B" w:rsidRPr="00D528E0">
        <w:rPr>
          <w:rFonts w:ascii="Times New Roman" w:hAnsi="Times New Roman" w:cs="Times New Roman"/>
          <w:b/>
          <w:color w:val="2D2D2D"/>
          <w:sz w:val="24"/>
          <w:szCs w:val="24"/>
          <w:shd w:val="clear" w:color="auto" w:fill="FFFFFF"/>
          <w:lang w:val="en-US"/>
        </w:rPr>
        <w:t>Funding</w:t>
      </w:r>
    </w:p>
    <w:p w:rsidR="008A351B" w:rsidRDefault="008A351B" w:rsidP="008A351B">
      <w:pPr>
        <w:pStyle w:val="Akapitzlist"/>
        <w:spacing w:after="240" w:line="480" w:lineRule="auto"/>
        <w:ind w:left="0"/>
        <w:jc w:val="both"/>
        <w:rPr>
          <w:rFonts w:ascii="Times New Roman" w:hAnsi="Times New Roman" w:cs="Times New Roman"/>
          <w:sz w:val="24"/>
          <w:szCs w:val="24"/>
          <w:lang w:val="en-US"/>
        </w:rPr>
      </w:pPr>
      <w:r w:rsidRPr="00D528E0">
        <w:rPr>
          <w:rFonts w:ascii="Times New Roman" w:hAnsi="Times New Roman" w:cs="Times New Roman"/>
          <w:color w:val="2D2D2D"/>
          <w:sz w:val="24"/>
          <w:szCs w:val="24"/>
          <w:shd w:val="clear" w:color="auto" w:fill="FFFFFF"/>
          <w:lang w:val="en-US"/>
        </w:rPr>
        <w:t xml:space="preserve">The study is entirely </w:t>
      </w:r>
      <w:r w:rsidR="00CF36F6" w:rsidRPr="00D528E0">
        <w:rPr>
          <w:rFonts w:ascii="Times New Roman" w:hAnsi="Times New Roman" w:cs="Times New Roman"/>
          <w:color w:val="2D2D2D"/>
          <w:sz w:val="24"/>
          <w:szCs w:val="24"/>
          <w:shd w:val="clear" w:color="auto" w:fill="FFFFFF"/>
          <w:lang w:val="en-US"/>
        </w:rPr>
        <w:t xml:space="preserve">and solely </w:t>
      </w:r>
      <w:r w:rsidRPr="00D528E0">
        <w:rPr>
          <w:rFonts w:ascii="Times New Roman" w:hAnsi="Times New Roman" w:cs="Times New Roman"/>
          <w:color w:val="2D2D2D"/>
          <w:sz w:val="24"/>
          <w:szCs w:val="24"/>
          <w:shd w:val="clear" w:color="auto" w:fill="FFFFFF"/>
          <w:lang w:val="en-US"/>
        </w:rPr>
        <w:t xml:space="preserve">funded by the </w:t>
      </w:r>
      <w:r w:rsidRPr="00D528E0">
        <w:rPr>
          <w:rFonts w:ascii="Times New Roman" w:hAnsi="Times New Roman" w:cs="Times New Roman"/>
          <w:spacing w:val="5"/>
          <w:sz w:val="24"/>
          <w:szCs w:val="24"/>
          <w:lang w:val="en-US"/>
        </w:rPr>
        <w:t xml:space="preserve">Medical Research Agency, Poland, through Project no. </w:t>
      </w:r>
      <w:r w:rsidRPr="00D528E0">
        <w:rPr>
          <w:rFonts w:ascii="Times New Roman" w:hAnsi="Times New Roman" w:cs="Times New Roman"/>
          <w:sz w:val="24"/>
          <w:szCs w:val="24"/>
          <w:lang w:val="en-US"/>
        </w:rPr>
        <w:t>2019/ABM/01/00009 (</w:t>
      </w:r>
      <w:r w:rsidRPr="00D528E0">
        <w:rPr>
          <w:rFonts w:ascii="Times New Roman" w:hAnsi="Times New Roman" w:cs="Times New Roman"/>
          <w:sz w:val="24"/>
          <w:szCs w:val="24"/>
          <w:u w:val="single"/>
          <w:lang w:val="en-US"/>
        </w:rPr>
        <w:t xml:space="preserve">total amount of </w:t>
      </w:r>
      <w:r w:rsidR="00CF36F6" w:rsidRPr="00D528E0">
        <w:rPr>
          <w:rFonts w:ascii="Times New Roman" w:hAnsi="Times New Roman" w:cs="Times New Roman"/>
          <w:sz w:val="24"/>
          <w:szCs w:val="24"/>
          <w:u w:val="single"/>
          <w:lang w:val="en-US"/>
        </w:rPr>
        <w:t>subsidy: 18,822,037.50 PLN</w:t>
      </w:r>
      <w:r w:rsidR="00CF36F6" w:rsidRPr="00D528E0">
        <w:rPr>
          <w:rFonts w:ascii="Times New Roman" w:hAnsi="Times New Roman" w:cs="Times New Roman"/>
          <w:sz w:val="24"/>
          <w:szCs w:val="24"/>
          <w:lang w:val="en-US"/>
        </w:rPr>
        <w:t>).</w:t>
      </w:r>
    </w:p>
    <w:p w:rsidR="00F70225" w:rsidRPr="00D528E0" w:rsidRDefault="00F70225" w:rsidP="008A351B">
      <w:pPr>
        <w:pStyle w:val="Akapitzlist"/>
        <w:spacing w:after="240" w:line="480" w:lineRule="auto"/>
        <w:ind w:left="0"/>
        <w:jc w:val="both"/>
        <w:rPr>
          <w:rFonts w:ascii="Times New Roman" w:hAnsi="Times New Roman" w:cs="Times New Roman"/>
          <w:color w:val="2D2D2D"/>
          <w:sz w:val="24"/>
          <w:szCs w:val="24"/>
          <w:shd w:val="clear" w:color="auto" w:fill="FFFFFF"/>
          <w:lang w:val="en-US"/>
        </w:rPr>
      </w:pPr>
    </w:p>
    <w:p w:rsidR="00F32EB1" w:rsidRPr="00D528E0" w:rsidRDefault="00F70225">
      <w:pPr>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CF36F6" w:rsidRPr="00D528E0">
        <w:rPr>
          <w:rFonts w:ascii="Times New Roman" w:hAnsi="Times New Roman" w:cs="Times New Roman"/>
          <w:b/>
          <w:sz w:val="24"/>
          <w:szCs w:val="24"/>
          <w:lang w:val="en-US"/>
        </w:rPr>
        <w:t>Inclusion and exclusion criteria</w:t>
      </w:r>
    </w:p>
    <w:p w:rsidR="00CF36F6" w:rsidRPr="00D528E0" w:rsidRDefault="00CF36F6"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The study population will include patients admitted to the study centers due to acute coronary syndrome, including ST-elevation myocardial infarction (STEMI), non-ST-elevation myocardial infarction (NSTEMI) and unstable angina (UA)</w:t>
      </w:r>
      <w:r w:rsidRPr="00D528E0">
        <w:rPr>
          <w:rFonts w:ascii="Times New Roman" w:hAnsi="Times New Roman" w:cs="Times New Roman"/>
          <w:sz w:val="24"/>
          <w:szCs w:val="24"/>
          <w:lang w:val="en-US"/>
        </w:rPr>
        <w:t xml:space="preserve">. </w:t>
      </w:r>
      <w:r w:rsidRPr="00D528E0">
        <w:rPr>
          <w:rStyle w:val="xforms-label"/>
          <w:rFonts w:ascii="Times New Roman" w:hAnsi="Times New Roman" w:cs="Times New Roman"/>
          <w:sz w:val="24"/>
          <w:szCs w:val="24"/>
          <w:lang w:val="en-US"/>
        </w:rPr>
        <w:t xml:space="preserve">The diagnosis of STEMI and NSTEMI will be made according to the Fourth Universal Definition of Myocardial Infarction [S1], and UA will be diagnosed according to the 2020 European Society of Cardiology (ESC) guidelines for the management of non-ST-segment elevation ACS (NSTE-ACS) [S2]. </w:t>
      </w:r>
    </w:p>
    <w:p w:rsidR="00CF36F6" w:rsidRPr="00D528E0" w:rsidRDefault="0057129A" w:rsidP="00F70225">
      <w:pPr>
        <w:spacing w:line="480" w:lineRule="auto"/>
        <w:jc w:val="both"/>
        <w:rPr>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For patients with </w:t>
      </w:r>
      <w:r w:rsidRPr="00F70225">
        <w:rPr>
          <w:rStyle w:val="xforms-label"/>
          <w:rFonts w:ascii="Times New Roman" w:hAnsi="Times New Roman" w:cs="Times New Roman"/>
          <w:sz w:val="24"/>
          <w:szCs w:val="24"/>
          <w:u w:val="single"/>
          <w:lang w:val="en-US"/>
        </w:rPr>
        <w:t>STEMI</w:t>
      </w:r>
      <w:r w:rsidRPr="00D528E0">
        <w:rPr>
          <w:rStyle w:val="xforms-label"/>
          <w:rFonts w:ascii="Times New Roman" w:hAnsi="Times New Roman" w:cs="Times New Roman"/>
          <w:sz w:val="24"/>
          <w:szCs w:val="24"/>
          <w:lang w:val="en-US"/>
        </w:rPr>
        <w:t>, the following three inclusion criteria will have to be met:</w:t>
      </w:r>
    </w:p>
    <w:p w:rsidR="00CF36F6"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1) new ST-elevation at the J-point in two contiguous leads with the cut-point ≥1 mm in all leads other than leads V2–V3, where the following cut-points apply: ≥2mm in men ≥40 years; ≥2.5 mm in men &lt;40 years, or ≥1.5 mm in women regardless of age; or a</w:t>
      </w:r>
      <w:r w:rsidR="00CF36F6" w:rsidRPr="00D528E0">
        <w:rPr>
          <w:rStyle w:val="xforms-label"/>
          <w:rFonts w:ascii="Times New Roman" w:hAnsi="Times New Roman" w:cs="Times New Roman"/>
          <w:sz w:val="24"/>
          <w:szCs w:val="24"/>
          <w:lang w:val="en-US"/>
        </w:rPr>
        <w:t xml:space="preserve"> new left bundle-branch block;</w:t>
      </w:r>
    </w:p>
    <w:p w:rsidR="00CF36F6"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lastRenderedPageBreak/>
        <w:t>2) the intention to perform primary PCI</w:t>
      </w:r>
      <w:r w:rsidR="00CF36F6" w:rsidRPr="00D528E0">
        <w:rPr>
          <w:rStyle w:val="xforms-label"/>
          <w:rFonts w:ascii="Times New Roman" w:hAnsi="Times New Roman" w:cs="Times New Roman"/>
          <w:sz w:val="24"/>
          <w:szCs w:val="24"/>
          <w:lang w:val="en-US"/>
        </w:rPr>
        <w:t>;</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3) detection of a rise and/or fall of cardiac troponin values with at least one value above the 99th percentile upper reference limit.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For </w:t>
      </w:r>
      <w:r w:rsidRPr="00F70225">
        <w:rPr>
          <w:rStyle w:val="xforms-label"/>
          <w:rFonts w:ascii="Times New Roman" w:hAnsi="Times New Roman" w:cs="Times New Roman"/>
          <w:sz w:val="24"/>
          <w:szCs w:val="24"/>
          <w:u w:val="single"/>
          <w:lang w:val="en-US"/>
        </w:rPr>
        <w:t>NSTE-ACS</w:t>
      </w:r>
      <w:r w:rsidRPr="00D528E0">
        <w:rPr>
          <w:rStyle w:val="xforms-label"/>
          <w:rFonts w:ascii="Times New Roman" w:hAnsi="Times New Roman" w:cs="Times New Roman"/>
          <w:sz w:val="24"/>
          <w:szCs w:val="24"/>
          <w:lang w:val="en-US"/>
        </w:rPr>
        <w:t xml:space="preserve">, at least two of the following three criteria will have to be met: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1) symptoms indicating myocardial ischaemia;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2) ST-segment changes on electrocardiography indicating myocardial ischaemia;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3) detection of a rise and/or fall of cardiac troponin values with at least one value above the 99th percentile upper reference limit;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in addition to at least one of the following: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1) ≥60 years of age;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2) previous MI or coronary artery by-pass grafting;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3) ≥50% stenosis in ≥2 coronary arteries;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4) previous ischaemic stroke or transient ischaemic attack;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5) ≥50% carotid stenosis or cerebral revasculari</w:t>
      </w:r>
      <w:r w:rsidR="00D407BC">
        <w:rPr>
          <w:rStyle w:val="xforms-label"/>
          <w:rFonts w:ascii="Times New Roman" w:hAnsi="Times New Roman" w:cs="Times New Roman"/>
          <w:sz w:val="24"/>
          <w:szCs w:val="24"/>
          <w:lang w:val="en-US"/>
        </w:rPr>
        <w:t>z</w:t>
      </w:r>
      <w:r w:rsidRPr="00D528E0">
        <w:rPr>
          <w:rStyle w:val="xforms-label"/>
          <w:rFonts w:ascii="Times New Roman" w:hAnsi="Times New Roman" w:cs="Times New Roman"/>
          <w:sz w:val="24"/>
          <w:szCs w:val="24"/>
          <w:lang w:val="en-US"/>
        </w:rPr>
        <w:t xml:space="preserve">ation;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6) diabetes mellitus; </w:t>
      </w:r>
    </w:p>
    <w:p w:rsidR="000A026D"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 xml:space="preserve">7) peripheral artery disease; </w:t>
      </w:r>
    </w:p>
    <w:p w:rsidR="0057129A" w:rsidRPr="00D528E0" w:rsidRDefault="0057129A" w:rsidP="00F70225">
      <w:pPr>
        <w:spacing w:line="480" w:lineRule="auto"/>
        <w:jc w:val="both"/>
        <w:rPr>
          <w:rStyle w:val="xforms-label"/>
          <w:rFonts w:ascii="Times New Roman" w:hAnsi="Times New Roman" w:cs="Times New Roman"/>
          <w:sz w:val="24"/>
          <w:szCs w:val="24"/>
          <w:lang w:val="en-US"/>
        </w:rPr>
      </w:pPr>
      <w:r w:rsidRPr="00D528E0">
        <w:rPr>
          <w:rStyle w:val="xforms-label"/>
          <w:rFonts w:ascii="Times New Roman" w:hAnsi="Times New Roman" w:cs="Times New Roman"/>
          <w:sz w:val="24"/>
          <w:szCs w:val="24"/>
          <w:lang w:val="en-US"/>
        </w:rPr>
        <w:t>8) chronic kidney disease with glomerular filtration rate &lt;60 mL/min.</w:t>
      </w:r>
    </w:p>
    <w:p w:rsidR="000A026D" w:rsidRPr="00D528E0" w:rsidRDefault="006419B1" w:rsidP="00F70225">
      <w:pPr>
        <w:pStyle w:val="NormalnyWeb"/>
        <w:spacing w:line="480" w:lineRule="auto"/>
        <w:jc w:val="both"/>
        <w:rPr>
          <w:rStyle w:val="xforms-label"/>
          <w:lang w:val="en-US"/>
        </w:rPr>
      </w:pPr>
      <w:r w:rsidRPr="00D528E0">
        <w:rPr>
          <w:rStyle w:val="xforms-label"/>
          <w:lang w:val="en-US"/>
        </w:rPr>
        <w:t xml:space="preserve">The exclusion criteria include: </w:t>
      </w:r>
    </w:p>
    <w:p w:rsidR="000A026D" w:rsidRPr="00D528E0" w:rsidRDefault="006419B1" w:rsidP="00F70225">
      <w:pPr>
        <w:pStyle w:val="NormalnyWeb"/>
        <w:spacing w:line="480" w:lineRule="auto"/>
        <w:jc w:val="both"/>
        <w:rPr>
          <w:rStyle w:val="xforms-label"/>
          <w:lang w:val="en-US"/>
        </w:rPr>
      </w:pPr>
      <w:r w:rsidRPr="00D528E0">
        <w:rPr>
          <w:rStyle w:val="xforms-label"/>
          <w:lang w:val="en-US"/>
        </w:rPr>
        <w:t xml:space="preserve">1) contraindications to ticagrelor or/and aspirin; </w:t>
      </w:r>
    </w:p>
    <w:p w:rsidR="000A026D" w:rsidRPr="00D528E0" w:rsidRDefault="006419B1" w:rsidP="00F70225">
      <w:pPr>
        <w:pStyle w:val="NormalnyWeb"/>
        <w:spacing w:line="480" w:lineRule="auto"/>
        <w:jc w:val="both"/>
        <w:rPr>
          <w:rStyle w:val="xforms-label"/>
          <w:lang w:val="en-US"/>
        </w:rPr>
      </w:pPr>
      <w:r w:rsidRPr="00D528E0">
        <w:rPr>
          <w:rStyle w:val="xforms-label"/>
          <w:lang w:val="en-US"/>
        </w:rPr>
        <w:lastRenderedPageBreak/>
        <w:t xml:space="preserve">2) a need for oral anticoagulation therapy; </w:t>
      </w:r>
    </w:p>
    <w:p w:rsidR="000A026D" w:rsidRPr="00D528E0" w:rsidRDefault="006419B1" w:rsidP="00F70225">
      <w:pPr>
        <w:pStyle w:val="NormalnyWeb"/>
        <w:spacing w:line="480" w:lineRule="auto"/>
        <w:jc w:val="both"/>
        <w:rPr>
          <w:rStyle w:val="xforms-label"/>
          <w:lang w:val="en-US"/>
        </w:rPr>
      </w:pPr>
      <w:r w:rsidRPr="00D528E0">
        <w:rPr>
          <w:rStyle w:val="xforms-label"/>
          <w:lang w:val="en-US"/>
        </w:rPr>
        <w:t xml:space="preserve">3) second or third grade atrio-ventricular block; </w:t>
      </w:r>
    </w:p>
    <w:p w:rsidR="000A026D" w:rsidRPr="00D528E0" w:rsidRDefault="006419B1" w:rsidP="00F70225">
      <w:pPr>
        <w:pStyle w:val="NormalnyWeb"/>
        <w:spacing w:line="480" w:lineRule="auto"/>
        <w:jc w:val="both"/>
        <w:rPr>
          <w:rStyle w:val="xforms-label"/>
          <w:lang w:val="en-US"/>
        </w:rPr>
      </w:pPr>
      <w:r w:rsidRPr="00D528E0">
        <w:rPr>
          <w:rStyle w:val="xforms-label"/>
          <w:lang w:val="en-US"/>
        </w:rPr>
        <w:t xml:space="preserve">4) previous stent thrombosis on treatment with ticagrelor; </w:t>
      </w:r>
    </w:p>
    <w:p w:rsidR="000A026D" w:rsidRPr="00D528E0" w:rsidRDefault="006419B1" w:rsidP="00F70225">
      <w:pPr>
        <w:pStyle w:val="NormalnyWeb"/>
        <w:spacing w:line="480" w:lineRule="auto"/>
        <w:jc w:val="both"/>
        <w:rPr>
          <w:rStyle w:val="xforms-label"/>
          <w:lang w:val="en-US"/>
        </w:rPr>
      </w:pPr>
      <w:r w:rsidRPr="00D528E0">
        <w:rPr>
          <w:rStyle w:val="xforms-label"/>
          <w:lang w:val="en-US"/>
        </w:rPr>
        <w:t xml:space="preserve">5) end stage kidney disease with glomerular filtration rate &lt;15 mL/min or on </w:t>
      </w:r>
      <w:r w:rsidR="000A026D" w:rsidRPr="00D528E0">
        <w:rPr>
          <w:rStyle w:val="xforms-label"/>
          <w:lang w:val="en-US"/>
        </w:rPr>
        <w:t>dialysis</w:t>
      </w:r>
      <w:r w:rsidRPr="00D528E0">
        <w:rPr>
          <w:rStyle w:val="xforms-label"/>
          <w:lang w:val="en-US"/>
        </w:rPr>
        <w:t xml:space="preserve">; </w:t>
      </w:r>
    </w:p>
    <w:p w:rsidR="006419B1" w:rsidRPr="00D528E0" w:rsidRDefault="006419B1" w:rsidP="00F70225">
      <w:pPr>
        <w:pStyle w:val="NormalnyWeb"/>
        <w:spacing w:line="480" w:lineRule="auto"/>
        <w:jc w:val="both"/>
        <w:rPr>
          <w:rStyle w:val="xforms-label"/>
          <w:lang w:val="en-US"/>
        </w:rPr>
      </w:pPr>
      <w:r w:rsidRPr="00D528E0">
        <w:rPr>
          <w:rStyle w:val="xforms-label"/>
          <w:lang w:val="en-US"/>
        </w:rPr>
        <w:t>6) administration of pr</w:t>
      </w:r>
      <w:r w:rsidR="000A026D" w:rsidRPr="00D528E0">
        <w:rPr>
          <w:rStyle w:val="xforms-label"/>
          <w:lang w:val="en-US"/>
        </w:rPr>
        <w:t>asugrel during the index event;</w:t>
      </w:r>
    </w:p>
    <w:p w:rsidR="000A026D" w:rsidRPr="00D528E0" w:rsidRDefault="000A026D" w:rsidP="00F70225">
      <w:pPr>
        <w:pStyle w:val="NormalnyWeb"/>
        <w:spacing w:line="480" w:lineRule="auto"/>
        <w:jc w:val="both"/>
        <w:rPr>
          <w:rStyle w:val="xforms-label"/>
          <w:lang w:val="en-US"/>
        </w:rPr>
      </w:pPr>
      <w:r w:rsidRPr="00D528E0">
        <w:rPr>
          <w:rStyle w:val="xforms-label"/>
          <w:lang w:val="en-US"/>
        </w:rPr>
        <w:t>7) pregnancy;</w:t>
      </w:r>
    </w:p>
    <w:p w:rsidR="00F70225" w:rsidRDefault="000A026D" w:rsidP="00F70225">
      <w:pPr>
        <w:pStyle w:val="NormalnyWeb"/>
        <w:spacing w:before="0" w:beforeAutospacing="0" w:after="0" w:afterAutospacing="0" w:line="480" w:lineRule="auto"/>
        <w:jc w:val="both"/>
        <w:rPr>
          <w:rStyle w:val="xforms-label"/>
          <w:lang w:val="en-US"/>
        </w:rPr>
      </w:pPr>
      <w:r w:rsidRPr="00D528E0">
        <w:rPr>
          <w:rStyle w:val="xforms-label"/>
          <w:lang w:val="en-US"/>
        </w:rPr>
        <w:t>8) the patient is not able to provide informed consent.</w:t>
      </w:r>
    </w:p>
    <w:p w:rsidR="00F70225" w:rsidRDefault="00F70225" w:rsidP="00F70225">
      <w:pPr>
        <w:pStyle w:val="NormalnyWeb"/>
        <w:spacing w:before="0" w:beforeAutospacing="0" w:line="480" w:lineRule="auto"/>
        <w:jc w:val="both"/>
        <w:rPr>
          <w:rStyle w:val="xforms-label"/>
          <w:b/>
          <w:lang w:val="en-US"/>
        </w:rPr>
      </w:pPr>
    </w:p>
    <w:p w:rsidR="009375CE" w:rsidRPr="00D528E0" w:rsidRDefault="00F70225" w:rsidP="00F70225">
      <w:pPr>
        <w:pStyle w:val="NormalnyWeb"/>
        <w:spacing w:before="0" w:beforeAutospacing="0" w:line="480" w:lineRule="auto"/>
        <w:jc w:val="both"/>
        <w:rPr>
          <w:rStyle w:val="xforms-label"/>
          <w:b/>
          <w:lang w:val="en-US"/>
        </w:rPr>
      </w:pPr>
      <w:r>
        <w:rPr>
          <w:rStyle w:val="xforms-label"/>
          <w:b/>
          <w:lang w:val="en-US"/>
        </w:rPr>
        <w:t xml:space="preserve">4. </w:t>
      </w:r>
      <w:r w:rsidR="000A026D" w:rsidRPr="00D528E0">
        <w:rPr>
          <w:rStyle w:val="xforms-label"/>
          <w:b/>
          <w:lang w:val="en-US"/>
        </w:rPr>
        <w:t>Sample size calculation</w:t>
      </w:r>
    </w:p>
    <w:p w:rsidR="00702C03" w:rsidRPr="00D528E0" w:rsidRDefault="00702C03" w:rsidP="006419B1">
      <w:pPr>
        <w:pStyle w:val="NormalnyWeb"/>
        <w:spacing w:line="480" w:lineRule="auto"/>
        <w:jc w:val="both"/>
        <w:rPr>
          <w:rStyle w:val="xforms-label"/>
          <w:lang w:val="en-US"/>
        </w:rPr>
      </w:pPr>
      <w:r w:rsidRPr="00D528E0">
        <w:rPr>
          <w:rStyle w:val="xforms-label"/>
          <w:lang w:val="en-US"/>
        </w:rPr>
        <w:tab/>
        <w:t xml:space="preserve">Sample size and power calculation were based on a superiority assumption for </w:t>
      </w:r>
      <w:r w:rsidRPr="00D528E0">
        <w:rPr>
          <w:rStyle w:val="xforms-label"/>
          <w:u w:val="single"/>
          <w:lang w:val="en-US"/>
        </w:rPr>
        <w:t>the primary safety endpoint</w:t>
      </w:r>
      <w:r w:rsidRPr="00D528E0">
        <w:rPr>
          <w:rStyle w:val="xforms-label"/>
          <w:lang w:val="en-US"/>
        </w:rPr>
        <w:t xml:space="preserve"> for </w:t>
      </w:r>
      <w:r w:rsidR="00DC4052" w:rsidRPr="00D528E0">
        <w:rPr>
          <w:lang w:val="en-US"/>
        </w:rPr>
        <w:t>low-dose ticagrelor with placebo</w:t>
      </w:r>
      <w:r w:rsidR="00DC4052" w:rsidRPr="00D528E0">
        <w:rPr>
          <w:rStyle w:val="xforms-label"/>
          <w:lang w:val="en-US"/>
        </w:rPr>
        <w:t xml:space="preserve"> (LDTP) arm </w:t>
      </w:r>
      <w:r w:rsidRPr="00D528E0">
        <w:rPr>
          <w:rStyle w:val="xforms-label"/>
          <w:lang w:val="en-US"/>
        </w:rPr>
        <w:t xml:space="preserve">vs. </w:t>
      </w:r>
      <w:r w:rsidR="00DC4052" w:rsidRPr="00D528E0">
        <w:rPr>
          <w:lang w:val="en-US"/>
        </w:rPr>
        <w:t>standard-dose ticagrelor with aspirin (</w:t>
      </w:r>
      <w:r w:rsidRPr="00D528E0">
        <w:rPr>
          <w:rStyle w:val="xforms-label"/>
          <w:lang w:val="en-US"/>
        </w:rPr>
        <w:t>SDTA</w:t>
      </w:r>
      <w:r w:rsidR="00DC4052" w:rsidRPr="00D528E0">
        <w:rPr>
          <w:rStyle w:val="xforms-label"/>
          <w:lang w:val="en-US"/>
        </w:rPr>
        <w:t>)</w:t>
      </w:r>
      <w:r w:rsidRPr="00D528E0">
        <w:rPr>
          <w:rStyle w:val="xforms-label"/>
          <w:lang w:val="en-US"/>
        </w:rPr>
        <w:t xml:space="preserve"> arm. Assuming a bleeding incidence of 7.1% at 1 year with standard dose ticagrelor plus aspirin (rate reported in the TWILIGHT study [S3]), a sample size of 1178 patients per arm is required to provide 95% power to detect 40% lower incidence of the primary safety composite endpoint in LDTP vs. SDTA group (43.6% relative reduction observed in ticagrelor monotherapy arm of the TWILIGHT trial), with a type I error rate of 0.05. Enrolment of a total of 4500 patients (1500 in each arm) is planned to compensate the potential drop-out from the study up to 20%. This broad margin has been chosen as the time between randomization and actual onset of the investigated strategies is 1 and 3 months for experimental LDTA and LDTP strategies, respectively, which may increase the risk of drop-out before the beginning of the allocated regimen.</w:t>
      </w:r>
    </w:p>
    <w:p w:rsidR="009375CE" w:rsidRDefault="00702C03" w:rsidP="00F70225">
      <w:pPr>
        <w:pStyle w:val="NormalnyWeb"/>
        <w:spacing w:before="0" w:beforeAutospacing="0" w:line="480" w:lineRule="auto"/>
        <w:jc w:val="both"/>
        <w:rPr>
          <w:rStyle w:val="xforms-label"/>
          <w:lang w:val="en-US"/>
        </w:rPr>
      </w:pPr>
      <w:r w:rsidRPr="00D528E0">
        <w:rPr>
          <w:rStyle w:val="xforms-label"/>
          <w:lang w:val="en-US"/>
        </w:rPr>
        <w:lastRenderedPageBreak/>
        <w:tab/>
      </w:r>
      <w:r w:rsidR="009375CE" w:rsidRPr="00D528E0">
        <w:rPr>
          <w:rStyle w:val="xforms-label"/>
          <w:u w:val="single"/>
          <w:lang w:val="en-US"/>
        </w:rPr>
        <w:t>The primary efficacy endpoint</w:t>
      </w:r>
      <w:r w:rsidR="009375CE" w:rsidRPr="00D528E0">
        <w:rPr>
          <w:rStyle w:val="xforms-label"/>
          <w:lang w:val="en-US"/>
        </w:rPr>
        <w:t xml:space="preserve"> (composite of death from any cause, nonfatal myocardial infarction, or nonfatal stroke) will be evaluated with the use of a prespecified </w:t>
      </w:r>
      <w:proofErr w:type="spellStart"/>
      <w:r w:rsidR="009375CE" w:rsidRPr="00D528E0">
        <w:rPr>
          <w:rStyle w:val="xforms-label"/>
          <w:lang w:val="en-US"/>
        </w:rPr>
        <w:t>noninferiority</w:t>
      </w:r>
      <w:proofErr w:type="spellEnd"/>
      <w:r w:rsidR="009375CE" w:rsidRPr="00D528E0">
        <w:rPr>
          <w:rStyle w:val="xforms-label"/>
          <w:lang w:val="en-US"/>
        </w:rPr>
        <w:t xml:space="preserve"> hypothesis (LDTP vs. SDTA). Under the assumption of an incidence of 10.2% (occurrence rate reported for this endpoint in the PLATO study [</w:t>
      </w:r>
      <w:r w:rsidRPr="00D528E0">
        <w:rPr>
          <w:rStyle w:val="xforms-label"/>
          <w:lang w:val="en-US"/>
        </w:rPr>
        <w:t>S</w:t>
      </w:r>
      <w:r w:rsidR="009375CE" w:rsidRPr="00D528E0">
        <w:rPr>
          <w:rStyle w:val="xforms-label"/>
          <w:lang w:val="en-US"/>
        </w:rPr>
        <w:t>4] at 1 year in the SDTA, a sample size of 1204 patients per arm is needed to provide 90% power to rule out an absolute difference in risk of 1.6 percentage points, with a one-sided type I error rate of 0.025 (assumption made for the sample size calculations in the TWILIGHT study).</w:t>
      </w:r>
    </w:p>
    <w:p w:rsidR="00F70225" w:rsidRDefault="00F9443F" w:rsidP="00F7022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 Study conduct</w:t>
      </w:r>
    </w:p>
    <w:p w:rsidR="00F9443F" w:rsidRDefault="00F9443F" w:rsidP="00F9443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9443F">
        <w:rPr>
          <w:rFonts w:ascii="Times New Roman" w:hAnsi="Times New Roman" w:cs="Times New Roman"/>
          <w:sz w:val="24"/>
          <w:szCs w:val="24"/>
          <w:lang w:val="en-US"/>
        </w:rPr>
        <w:t>The current project is planned as a multicentre study</w:t>
      </w:r>
      <w:r>
        <w:rPr>
          <w:rFonts w:ascii="Times New Roman" w:hAnsi="Times New Roman" w:cs="Times New Roman"/>
          <w:sz w:val="24"/>
          <w:szCs w:val="24"/>
          <w:lang w:val="en-US"/>
        </w:rPr>
        <w:t xml:space="preserve"> including up to 35 Polish </w:t>
      </w:r>
      <w:r w:rsidRPr="00F9443F">
        <w:rPr>
          <w:rFonts w:ascii="Times New Roman" w:hAnsi="Times New Roman" w:cs="Times New Roman"/>
          <w:sz w:val="24"/>
          <w:szCs w:val="24"/>
          <w:lang w:val="en-US"/>
        </w:rPr>
        <w:t>regional cardiovascular centers</w:t>
      </w:r>
      <w:r>
        <w:rPr>
          <w:rFonts w:ascii="Times New Roman" w:hAnsi="Times New Roman" w:cs="Times New Roman"/>
          <w:sz w:val="24"/>
          <w:szCs w:val="24"/>
          <w:lang w:val="en-US"/>
        </w:rPr>
        <w:t>. The trial was initially planned to be international and include sites from at least 6 European countries, however due to the funding body (</w:t>
      </w:r>
      <w:r w:rsidRPr="00D528E0">
        <w:rPr>
          <w:rFonts w:ascii="Times New Roman" w:hAnsi="Times New Roman" w:cs="Times New Roman"/>
          <w:spacing w:val="5"/>
          <w:sz w:val="24"/>
          <w:szCs w:val="24"/>
          <w:lang w:val="en-US"/>
        </w:rPr>
        <w:t>Medical Research Agency, Poland</w:t>
      </w:r>
      <w:r>
        <w:rPr>
          <w:rFonts w:ascii="Times New Roman" w:hAnsi="Times New Roman" w:cs="Times New Roman"/>
          <w:spacing w:val="5"/>
          <w:sz w:val="24"/>
          <w:szCs w:val="24"/>
          <w:lang w:val="en-US"/>
        </w:rPr>
        <w:t xml:space="preserve">) grant regulations only enrolment of patients in clinical sites located in Poland was allowed. </w:t>
      </w:r>
    </w:p>
    <w:p w:rsidR="00F9443F" w:rsidRDefault="00F9443F" w:rsidP="00F9443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maintenance phase of the trial (enrolment and follow-up) is planned for 36 months, however due to potential </w:t>
      </w:r>
      <w:r w:rsidR="00D407BC">
        <w:rPr>
          <w:rFonts w:ascii="Times New Roman" w:hAnsi="Times New Roman" w:cs="Times New Roman"/>
          <w:sz w:val="24"/>
          <w:szCs w:val="24"/>
          <w:lang w:val="en-US"/>
        </w:rPr>
        <w:t>difficulties</w:t>
      </w:r>
      <w:r>
        <w:rPr>
          <w:rFonts w:ascii="Times New Roman" w:hAnsi="Times New Roman" w:cs="Times New Roman"/>
          <w:sz w:val="24"/>
          <w:szCs w:val="24"/>
          <w:lang w:val="en-US"/>
        </w:rPr>
        <w:t xml:space="preserve"> with conduct of the study related to the SARS-CoV-2 pandemic, the prolongation of the study active phase might be considered. </w:t>
      </w:r>
    </w:p>
    <w:p w:rsidR="00120F70" w:rsidRDefault="00120F70" w:rsidP="00F9443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325170">
        <w:rPr>
          <w:rFonts w:ascii="Times New Roman" w:hAnsi="Times New Roman" w:cs="Times New Roman"/>
          <w:sz w:val="24"/>
          <w:szCs w:val="24"/>
          <w:lang w:val="en-US"/>
        </w:rPr>
        <w:t>A</w:t>
      </w:r>
      <w:r>
        <w:rPr>
          <w:rFonts w:ascii="Times New Roman" w:hAnsi="Times New Roman" w:cs="Times New Roman"/>
          <w:sz w:val="24"/>
          <w:szCs w:val="24"/>
          <w:lang w:val="en-US"/>
        </w:rPr>
        <w:t xml:space="preserve">ll study participants will be provided with blinded packages containing the antiplatelet medications (ticagrelor 60 mg or 90 mg, and aspirin 100 mg or placebo) </w:t>
      </w:r>
      <w:r w:rsidR="00325170">
        <w:rPr>
          <w:rFonts w:ascii="Times New Roman" w:hAnsi="Times New Roman" w:cs="Times New Roman"/>
          <w:sz w:val="24"/>
          <w:szCs w:val="24"/>
          <w:lang w:val="en-US"/>
        </w:rPr>
        <w:t xml:space="preserve">according to the randomized allocation. The dispended medications will be free of charge and will be sufficient to cover the whole period (12 months) of each patient in the study. </w:t>
      </w:r>
    </w:p>
    <w:p w:rsidR="006419B1" w:rsidRPr="00F9443F" w:rsidRDefault="00BC775A" w:rsidP="00F7022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00F70225" w:rsidRPr="00F9443F">
        <w:rPr>
          <w:rFonts w:ascii="Times New Roman" w:hAnsi="Times New Roman" w:cs="Times New Roman"/>
          <w:b/>
          <w:sz w:val="24"/>
          <w:szCs w:val="24"/>
          <w:lang w:val="en-US"/>
        </w:rPr>
        <w:t xml:space="preserve">. </w:t>
      </w:r>
      <w:r w:rsidR="0094190C" w:rsidRPr="00F9443F">
        <w:rPr>
          <w:rFonts w:ascii="Times New Roman" w:hAnsi="Times New Roman" w:cs="Times New Roman"/>
          <w:b/>
          <w:sz w:val="24"/>
          <w:szCs w:val="24"/>
          <w:lang w:val="en-US"/>
        </w:rPr>
        <w:t>The MEDMOTION project</w:t>
      </w:r>
    </w:p>
    <w:p w:rsidR="0094190C" w:rsidRPr="00D528E0" w:rsidRDefault="0094190C" w:rsidP="00F70225">
      <w:pPr>
        <w:spacing w:line="480" w:lineRule="auto"/>
        <w:jc w:val="both"/>
        <w:rPr>
          <w:rFonts w:ascii="Times New Roman" w:eastAsia="Times New Roman" w:hAnsi="Times New Roman" w:cs="Times New Roman"/>
          <w:b/>
          <w:sz w:val="24"/>
          <w:szCs w:val="24"/>
          <w:lang w:val="en-GB"/>
        </w:rPr>
      </w:pPr>
      <w:r w:rsidRPr="00D528E0">
        <w:rPr>
          <w:rStyle w:val="xforms-label"/>
          <w:rFonts w:ascii="Times New Roman" w:hAnsi="Times New Roman" w:cs="Times New Roman"/>
          <w:sz w:val="24"/>
          <w:szCs w:val="24"/>
          <w:lang w:val="en-GB"/>
        </w:rPr>
        <w:tab/>
        <w:t>In the ELECTRA-SIRIO 2 a s</w:t>
      </w:r>
      <w:r w:rsidRPr="00D528E0">
        <w:rPr>
          <w:rFonts w:ascii="Times New Roman" w:hAnsi="Times New Roman" w:cs="Times New Roman"/>
          <w:sz w:val="24"/>
          <w:szCs w:val="24"/>
          <w:lang w:val="en-GB"/>
        </w:rPr>
        <w:t>pecial care will be</w:t>
      </w:r>
      <w:r w:rsidRPr="00D528E0">
        <w:rPr>
          <w:rFonts w:ascii="Times New Roman" w:eastAsia="Times New Roman" w:hAnsi="Times New Roman" w:cs="Times New Roman"/>
          <w:sz w:val="24"/>
          <w:szCs w:val="24"/>
          <w:lang w:val="en-GB"/>
        </w:rPr>
        <w:t xml:space="preserve"> </w:t>
      </w:r>
      <w:r w:rsidRPr="00D528E0">
        <w:rPr>
          <w:rFonts w:ascii="Times New Roman" w:hAnsi="Times New Roman" w:cs="Times New Roman"/>
          <w:sz w:val="24"/>
          <w:szCs w:val="24"/>
          <w:lang w:val="en-GB"/>
        </w:rPr>
        <w:t>applied with regard to adherence to the study treatment (tablets</w:t>
      </w:r>
      <w:r w:rsidRPr="00D528E0">
        <w:rPr>
          <w:rFonts w:ascii="Times New Roman" w:eastAsia="Times New Roman" w:hAnsi="Times New Roman" w:cs="Times New Roman"/>
          <w:sz w:val="24"/>
          <w:szCs w:val="24"/>
          <w:lang w:val="en-GB"/>
        </w:rPr>
        <w:t xml:space="preserve"> </w:t>
      </w:r>
      <w:r w:rsidRPr="00D528E0">
        <w:rPr>
          <w:rFonts w:ascii="Times New Roman" w:hAnsi="Times New Roman" w:cs="Times New Roman"/>
          <w:sz w:val="24"/>
          <w:szCs w:val="24"/>
          <w:lang w:val="en-GB"/>
        </w:rPr>
        <w:t xml:space="preserve">counting at follow-up visits, and evaluation with use of the </w:t>
      </w:r>
      <w:r w:rsidRPr="00D528E0">
        <w:rPr>
          <w:rFonts w:ascii="Times New Roman" w:hAnsi="Times New Roman" w:cs="Times New Roman"/>
          <w:sz w:val="24"/>
          <w:szCs w:val="24"/>
          <w:lang w:val="en-GB"/>
        </w:rPr>
        <w:lastRenderedPageBreak/>
        <w:t>Adherence in</w:t>
      </w:r>
      <w:r w:rsidRPr="00D528E0">
        <w:rPr>
          <w:rFonts w:ascii="Times New Roman" w:eastAsia="Times New Roman" w:hAnsi="Times New Roman" w:cs="Times New Roman"/>
          <w:sz w:val="24"/>
          <w:szCs w:val="24"/>
          <w:lang w:val="en-GB"/>
        </w:rPr>
        <w:t xml:space="preserve"> </w:t>
      </w:r>
      <w:r w:rsidRPr="00D528E0">
        <w:rPr>
          <w:rFonts w:ascii="Times New Roman" w:hAnsi="Times New Roman" w:cs="Times New Roman"/>
          <w:sz w:val="24"/>
          <w:szCs w:val="24"/>
          <w:lang w:val="en-GB"/>
        </w:rPr>
        <w:t xml:space="preserve">Chronic Diseases Scale - ACDS) [S5]. </w:t>
      </w:r>
      <w:r w:rsidRPr="00D528E0">
        <w:rPr>
          <w:rFonts w:ascii="Times New Roman" w:eastAsia="Times New Roman" w:hAnsi="Times New Roman" w:cs="Times New Roman"/>
          <w:sz w:val="24"/>
          <w:szCs w:val="24"/>
          <w:lang w:val="en-GB"/>
        </w:rPr>
        <w:t>To increase adherence to treatment</w:t>
      </w:r>
      <w:r w:rsidRPr="00D528E0">
        <w:rPr>
          <w:rFonts w:ascii="Times New Roman" w:hAnsi="Times New Roman" w:cs="Times New Roman"/>
          <w:sz w:val="24"/>
          <w:szCs w:val="24"/>
          <w:lang w:val="en-GB"/>
        </w:rPr>
        <w:t xml:space="preserve"> all patients will undergo continuous multilevel educational and motivational interventions according to the Multilevel Educational and Motivational Intervention in Patients After Myocardial Infarction (MEDMOTION) project, including assessment with the Readiness for Hospital Discharge after Myocardial Infarction Scale (RHD-MIS) at the end of hospitalization, and with the Functioning in Chronic Illness Scale (FCIS) during follow-ups [S6].</w:t>
      </w:r>
    </w:p>
    <w:p w:rsidR="00CF36F6" w:rsidRPr="00D528E0" w:rsidRDefault="00BC775A" w:rsidP="00F7022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7</w:t>
      </w:r>
      <w:r w:rsidR="00F70225">
        <w:rPr>
          <w:rFonts w:ascii="Times New Roman" w:hAnsi="Times New Roman" w:cs="Times New Roman"/>
          <w:b/>
          <w:sz w:val="24"/>
          <w:szCs w:val="24"/>
          <w:lang w:val="en-US"/>
        </w:rPr>
        <w:t xml:space="preserve">. </w:t>
      </w:r>
      <w:r w:rsidR="00CF36F6" w:rsidRPr="00D528E0">
        <w:rPr>
          <w:rFonts w:ascii="Times New Roman" w:hAnsi="Times New Roman" w:cs="Times New Roman"/>
          <w:b/>
          <w:sz w:val="24"/>
          <w:szCs w:val="24"/>
          <w:lang w:val="en-US"/>
        </w:rPr>
        <w:t>References</w:t>
      </w:r>
    </w:p>
    <w:p w:rsidR="00CF36F6" w:rsidRPr="00D528E0" w:rsidRDefault="00CF36F6" w:rsidP="00F70225">
      <w:pPr>
        <w:spacing w:line="480" w:lineRule="auto"/>
        <w:jc w:val="both"/>
        <w:rPr>
          <w:rFonts w:ascii="Times New Roman" w:hAnsi="Times New Roman" w:cs="Times New Roman"/>
          <w:sz w:val="24"/>
          <w:szCs w:val="24"/>
          <w:lang w:val="en-GB"/>
        </w:rPr>
      </w:pPr>
      <w:r w:rsidRPr="00D528E0">
        <w:rPr>
          <w:rFonts w:ascii="Times New Roman" w:hAnsi="Times New Roman" w:cs="Times New Roman"/>
          <w:sz w:val="24"/>
          <w:szCs w:val="24"/>
          <w:lang w:val="en-US"/>
        </w:rPr>
        <w:t xml:space="preserve">S1. </w:t>
      </w:r>
      <w:proofErr w:type="spellStart"/>
      <w:r w:rsidRPr="00D528E0">
        <w:rPr>
          <w:rFonts w:ascii="Times New Roman" w:hAnsi="Times New Roman" w:cs="Times New Roman"/>
          <w:sz w:val="24"/>
          <w:szCs w:val="24"/>
          <w:lang w:val="en-GB"/>
        </w:rPr>
        <w:t>Thygesen</w:t>
      </w:r>
      <w:proofErr w:type="spellEnd"/>
      <w:r w:rsidRPr="00D528E0">
        <w:rPr>
          <w:rFonts w:ascii="Times New Roman" w:hAnsi="Times New Roman" w:cs="Times New Roman"/>
          <w:sz w:val="24"/>
          <w:szCs w:val="24"/>
          <w:lang w:val="en-GB"/>
        </w:rPr>
        <w:t xml:space="preserve"> K, Alpert JS, Jaffe AS, </w:t>
      </w:r>
      <w:proofErr w:type="spellStart"/>
      <w:r w:rsidRPr="00D528E0">
        <w:rPr>
          <w:rFonts w:ascii="Times New Roman" w:hAnsi="Times New Roman" w:cs="Times New Roman"/>
          <w:sz w:val="24"/>
          <w:szCs w:val="24"/>
          <w:lang w:val="en-GB"/>
        </w:rPr>
        <w:t>Chaitman</w:t>
      </w:r>
      <w:proofErr w:type="spellEnd"/>
      <w:r w:rsidRPr="00D528E0">
        <w:rPr>
          <w:rFonts w:ascii="Times New Roman" w:hAnsi="Times New Roman" w:cs="Times New Roman"/>
          <w:sz w:val="24"/>
          <w:szCs w:val="24"/>
          <w:lang w:val="en-GB"/>
        </w:rPr>
        <w:t xml:space="preserve"> BR, </w:t>
      </w:r>
      <w:proofErr w:type="spellStart"/>
      <w:r w:rsidRPr="00D528E0">
        <w:rPr>
          <w:rFonts w:ascii="Times New Roman" w:hAnsi="Times New Roman" w:cs="Times New Roman"/>
          <w:sz w:val="24"/>
          <w:szCs w:val="24"/>
          <w:lang w:val="en-GB"/>
        </w:rPr>
        <w:t>Bax</w:t>
      </w:r>
      <w:proofErr w:type="spellEnd"/>
      <w:r w:rsidRPr="00D528E0">
        <w:rPr>
          <w:rFonts w:ascii="Times New Roman" w:hAnsi="Times New Roman" w:cs="Times New Roman"/>
          <w:sz w:val="24"/>
          <w:szCs w:val="24"/>
          <w:lang w:val="en-GB"/>
        </w:rPr>
        <w:t xml:space="preserve"> JJ, Morrow DA, White HD; ESC Scientific Document Group. Fourth universal definition of myocardial infarction (2018). </w:t>
      </w:r>
      <w:proofErr w:type="spellStart"/>
      <w:r w:rsidRPr="00D528E0">
        <w:rPr>
          <w:rFonts w:ascii="Times New Roman" w:hAnsi="Times New Roman" w:cs="Times New Roman"/>
          <w:i/>
          <w:sz w:val="24"/>
          <w:szCs w:val="24"/>
          <w:lang w:val="en-GB"/>
        </w:rPr>
        <w:t>Eur</w:t>
      </w:r>
      <w:proofErr w:type="spellEnd"/>
      <w:r w:rsidRPr="00D528E0">
        <w:rPr>
          <w:rFonts w:ascii="Times New Roman" w:hAnsi="Times New Roman" w:cs="Times New Roman"/>
          <w:i/>
          <w:sz w:val="24"/>
          <w:szCs w:val="24"/>
          <w:lang w:val="en-GB"/>
        </w:rPr>
        <w:t xml:space="preserve"> Heart J </w:t>
      </w:r>
      <w:r w:rsidRPr="00D528E0">
        <w:rPr>
          <w:rFonts w:ascii="Times New Roman" w:hAnsi="Times New Roman" w:cs="Times New Roman"/>
          <w:sz w:val="24"/>
          <w:szCs w:val="24"/>
          <w:lang w:val="en-GB"/>
        </w:rPr>
        <w:t>2019;</w:t>
      </w:r>
      <w:r w:rsidRPr="00D528E0">
        <w:rPr>
          <w:rFonts w:ascii="Times New Roman" w:hAnsi="Times New Roman" w:cs="Times New Roman"/>
          <w:b/>
          <w:sz w:val="24"/>
          <w:szCs w:val="24"/>
          <w:lang w:val="en-GB"/>
        </w:rPr>
        <w:t>40</w:t>
      </w:r>
      <w:r w:rsidRPr="00D528E0">
        <w:rPr>
          <w:rFonts w:ascii="Times New Roman" w:hAnsi="Times New Roman" w:cs="Times New Roman"/>
          <w:sz w:val="24"/>
          <w:szCs w:val="24"/>
          <w:lang w:val="en-GB"/>
        </w:rPr>
        <w:t>:237-269.</w:t>
      </w:r>
    </w:p>
    <w:p w:rsidR="00CF36F6" w:rsidRPr="00D528E0" w:rsidRDefault="00CF36F6" w:rsidP="00F70225">
      <w:pPr>
        <w:spacing w:line="480" w:lineRule="auto"/>
        <w:jc w:val="both"/>
        <w:rPr>
          <w:rFonts w:ascii="Times New Roman" w:hAnsi="Times New Roman" w:cs="Times New Roman"/>
          <w:sz w:val="24"/>
          <w:szCs w:val="24"/>
          <w:lang w:val="en-GB"/>
        </w:rPr>
      </w:pPr>
      <w:r w:rsidRPr="00D528E0">
        <w:rPr>
          <w:rFonts w:ascii="Times New Roman" w:hAnsi="Times New Roman" w:cs="Times New Roman"/>
          <w:sz w:val="24"/>
          <w:szCs w:val="24"/>
          <w:lang w:val="en-GB"/>
        </w:rPr>
        <w:t xml:space="preserve">S2. </w:t>
      </w:r>
      <w:proofErr w:type="spellStart"/>
      <w:r w:rsidRPr="00D528E0">
        <w:rPr>
          <w:rFonts w:ascii="Times New Roman" w:hAnsi="Times New Roman" w:cs="Times New Roman"/>
          <w:sz w:val="24"/>
          <w:szCs w:val="24"/>
          <w:lang w:val="en-GB"/>
        </w:rPr>
        <w:t>Collet</w:t>
      </w:r>
      <w:proofErr w:type="spellEnd"/>
      <w:r w:rsidRPr="00D528E0">
        <w:rPr>
          <w:rFonts w:ascii="Times New Roman" w:hAnsi="Times New Roman" w:cs="Times New Roman"/>
          <w:sz w:val="24"/>
          <w:szCs w:val="24"/>
          <w:lang w:val="en-GB"/>
        </w:rPr>
        <w:t xml:space="preserve"> JP, Thiele H, </w:t>
      </w:r>
      <w:proofErr w:type="spellStart"/>
      <w:r w:rsidRPr="00D528E0">
        <w:rPr>
          <w:rFonts w:ascii="Times New Roman" w:hAnsi="Times New Roman" w:cs="Times New Roman"/>
          <w:sz w:val="24"/>
          <w:szCs w:val="24"/>
          <w:lang w:val="en-GB"/>
        </w:rPr>
        <w:t>Barbato</w:t>
      </w:r>
      <w:proofErr w:type="spellEnd"/>
      <w:r w:rsidRPr="00D528E0">
        <w:rPr>
          <w:rFonts w:ascii="Times New Roman" w:hAnsi="Times New Roman" w:cs="Times New Roman"/>
          <w:sz w:val="24"/>
          <w:szCs w:val="24"/>
          <w:lang w:val="en-GB"/>
        </w:rPr>
        <w:t xml:space="preserve"> E, </w:t>
      </w:r>
      <w:proofErr w:type="spellStart"/>
      <w:r w:rsidRPr="00D528E0">
        <w:rPr>
          <w:rFonts w:ascii="Times New Roman" w:hAnsi="Times New Roman" w:cs="Times New Roman"/>
          <w:sz w:val="24"/>
          <w:szCs w:val="24"/>
          <w:lang w:val="en-GB"/>
        </w:rPr>
        <w:t>Barthélémy</w:t>
      </w:r>
      <w:proofErr w:type="spellEnd"/>
      <w:r w:rsidRPr="00D528E0">
        <w:rPr>
          <w:rFonts w:ascii="Times New Roman" w:hAnsi="Times New Roman" w:cs="Times New Roman"/>
          <w:sz w:val="24"/>
          <w:szCs w:val="24"/>
          <w:lang w:val="en-GB"/>
        </w:rPr>
        <w:t xml:space="preserve"> O, </w:t>
      </w:r>
      <w:proofErr w:type="spellStart"/>
      <w:r w:rsidRPr="00D528E0">
        <w:rPr>
          <w:rFonts w:ascii="Times New Roman" w:hAnsi="Times New Roman" w:cs="Times New Roman"/>
          <w:sz w:val="24"/>
          <w:szCs w:val="24"/>
          <w:lang w:val="en-GB"/>
        </w:rPr>
        <w:t>Bauersachs</w:t>
      </w:r>
      <w:proofErr w:type="spellEnd"/>
      <w:r w:rsidRPr="00D528E0">
        <w:rPr>
          <w:rFonts w:ascii="Times New Roman" w:hAnsi="Times New Roman" w:cs="Times New Roman"/>
          <w:sz w:val="24"/>
          <w:szCs w:val="24"/>
          <w:lang w:val="en-GB"/>
        </w:rPr>
        <w:t xml:space="preserve"> J, Bhatt DL, </w:t>
      </w:r>
      <w:proofErr w:type="spellStart"/>
      <w:r w:rsidRPr="00D528E0">
        <w:rPr>
          <w:rFonts w:ascii="Times New Roman" w:hAnsi="Times New Roman" w:cs="Times New Roman"/>
          <w:sz w:val="24"/>
          <w:szCs w:val="24"/>
          <w:lang w:val="en-GB"/>
        </w:rPr>
        <w:t>Dendale</w:t>
      </w:r>
      <w:proofErr w:type="spellEnd"/>
      <w:r w:rsidRPr="00D528E0">
        <w:rPr>
          <w:rFonts w:ascii="Times New Roman" w:hAnsi="Times New Roman" w:cs="Times New Roman"/>
          <w:sz w:val="24"/>
          <w:szCs w:val="24"/>
          <w:lang w:val="en-GB"/>
        </w:rPr>
        <w:t xml:space="preserve"> P, </w:t>
      </w:r>
      <w:proofErr w:type="spellStart"/>
      <w:r w:rsidRPr="00D528E0">
        <w:rPr>
          <w:rFonts w:ascii="Times New Roman" w:hAnsi="Times New Roman" w:cs="Times New Roman"/>
          <w:sz w:val="24"/>
          <w:szCs w:val="24"/>
          <w:lang w:val="en-GB"/>
        </w:rPr>
        <w:t>Dorobantu</w:t>
      </w:r>
      <w:proofErr w:type="spellEnd"/>
      <w:r w:rsidRPr="00D528E0">
        <w:rPr>
          <w:rFonts w:ascii="Times New Roman" w:hAnsi="Times New Roman" w:cs="Times New Roman"/>
          <w:sz w:val="24"/>
          <w:szCs w:val="24"/>
          <w:lang w:val="en-GB"/>
        </w:rPr>
        <w:t xml:space="preserve"> M, </w:t>
      </w:r>
      <w:proofErr w:type="spellStart"/>
      <w:r w:rsidRPr="00D528E0">
        <w:rPr>
          <w:rFonts w:ascii="Times New Roman" w:hAnsi="Times New Roman" w:cs="Times New Roman"/>
          <w:sz w:val="24"/>
          <w:szCs w:val="24"/>
          <w:lang w:val="en-GB"/>
        </w:rPr>
        <w:t>Edvardsen</w:t>
      </w:r>
      <w:proofErr w:type="spellEnd"/>
      <w:r w:rsidRPr="00D528E0">
        <w:rPr>
          <w:rFonts w:ascii="Times New Roman" w:hAnsi="Times New Roman" w:cs="Times New Roman"/>
          <w:sz w:val="24"/>
          <w:szCs w:val="24"/>
          <w:lang w:val="en-GB"/>
        </w:rPr>
        <w:t xml:space="preserve"> T, </w:t>
      </w:r>
      <w:proofErr w:type="spellStart"/>
      <w:r w:rsidRPr="00D528E0">
        <w:rPr>
          <w:rFonts w:ascii="Times New Roman" w:hAnsi="Times New Roman" w:cs="Times New Roman"/>
          <w:sz w:val="24"/>
          <w:szCs w:val="24"/>
          <w:lang w:val="en-GB"/>
        </w:rPr>
        <w:t>Folliguet</w:t>
      </w:r>
      <w:proofErr w:type="spellEnd"/>
      <w:r w:rsidRPr="00D528E0">
        <w:rPr>
          <w:rFonts w:ascii="Times New Roman" w:hAnsi="Times New Roman" w:cs="Times New Roman"/>
          <w:sz w:val="24"/>
          <w:szCs w:val="24"/>
          <w:lang w:val="en-GB"/>
        </w:rPr>
        <w:t xml:space="preserve"> T, Gale CP, </w:t>
      </w:r>
      <w:proofErr w:type="spellStart"/>
      <w:r w:rsidRPr="00D528E0">
        <w:rPr>
          <w:rFonts w:ascii="Times New Roman" w:hAnsi="Times New Roman" w:cs="Times New Roman"/>
          <w:sz w:val="24"/>
          <w:szCs w:val="24"/>
          <w:lang w:val="en-GB"/>
        </w:rPr>
        <w:t>Gilard</w:t>
      </w:r>
      <w:proofErr w:type="spellEnd"/>
      <w:r w:rsidRPr="00D528E0">
        <w:rPr>
          <w:rFonts w:ascii="Times New Roman" w:hAnsi="Times New Roman" w:cs="Times New Roman"/>
          <w:sz w:val="24"/>
          <w:szCs w:val="24"/>
          <w:lang w:val="en-GB"/>
        </w:rPr>
        <w:t xml:space="preserve"> M, Jobs A, </w:t>
      </w:r>
      <w:proofErr w:type="spellStart"/>
      <w:r w:rsidRPr="00D528E0">
        <w:rPr>
          <w:rFonts w:ascii="Times New Roman" w:hAnsi="Times New Roman" w:cs="Times New Roman"/>
          <w:sz w:val="24"/>
          <w:szCs w:val="24"/>
          <w:lang w:val="en-GB"/>
        </w:rPr>
        <w:t>Jüni</w:t>
      </w:r>
      <w:proofErr w:type="spellEnd"/>
      <w:r w:rsidRPr="00D528E0">
        <w:rPr>
          <w:rFonts w:ascii="Times New Roman" w:hAnsi="Times New Roman" w:cs="Times New Roman"/>
          <w:sz w:val="24"/>
          <w:szCs w:val="24"/>
          <w:lang w:val="en-GB"/>
        </w:rPr>
        <w:t xml:space="preserve"> P, </w:t>
      </w:r>
      <w:proofErr w:type="spellStart"/>
      <w:r w:rsidRPr="00D528E0">
        <w:rPr>
          <w:rFonts w:ascii="Times New Roman" w:hAnsi="Times New Roman" w:cs="Times New Roman"/>
          <w:sz w:val="24"/>
          <w:szCs w:val="24"/>
          <w:lang w:val="en-GB"/>
        </w:rPr>
        <w:t>Lambrinou</w:t>
      </w:r>
      <w:proofErr w:type="spellEnd"/>
      <w:r w:rsidRPr="00D528E0">
        <w:rPr>
          <w:rFonts w:ascii="Times New Roman" w:hAnsi="Times New Roman" w:cs="Times New Roman"/>
          <w:sz w:val="24"/>
          <w:szCs w:val="24"/>
          <w:lang w:val="en-GB"/>
        </w:rPr>
        <w:t xml:space="preserve"> E, Lewis BS, </w:t>
      </w:r>
      <w:proofErr w:type="spellStart"/>
      <w:r w:rsidRPr="00D528E0">
        <w:rPr>
          <w:rFonts w:ascii="Times New Roman" w:hAnsi="Times New Roman" w:cs="Times New Roman"/>
          <w:sz w:val="24"/>
          <w:szCs w:val="24"/>
          <w:lang w:val="en-GB"/>
        </w:rPr>
        <w:t>Mehilli</w:t>
      </w:r>
      <w:proofErr w:type="spellEnd"/>
      <w:r w:rsidRPr="00D528E0">
        <w:rPr>
          <w:rFonts w:ascii="Times New Roman" w:hAnsi="Times New Roman" w:cs="Times New Roman"/>
          <w:sz w:val="24"/>
          <w:szCs w:val="24"/>
          <w:lang w:val="en-GB"/>
        </w:rPr>
        <w:t xml:space="preserve"> J, </w:t>
      </w:r>
      <w:proofErr w:type="spellStart"/>
      <w:r w:rsidRPr="00D528E0">
        <w:rPr>
          <w:rFonts w:ascii="Times New Roman" w:hAnsi="Times New Roman" w:cs="Times New Roman"/>
          <w:sz w:val="24"/>
          <w:szCs w:val="24"/>
          <w:lang w:val="en-GB"/>
        </w:rPr>
        <w:t>Meliga</w:t>
      </w:r>
      <w:proofErr w:type="spellEnd"/>
      <w:r w:rsidRPr="00D528E0">
        <w:rPr>
          <w:rFonts w:ascii="Times New Roman" w:hAnsi="Times New Roman" w:cs="Times New Roman"/>
          <w:sz w:val="24"/>
          <w:szCs w:val="24"/>
          <w:lang w:val="en-GB"/>
        </w:rPr>
        <w:t xml:space="preserve"> E, </w:t>
      </w:r>
      <w:proofErr w:type="spellStart"/>
      <w:r w:rsidRPr="00D528E0">
        <w:rPr>
          <w:rFonts w:ascii="Times New Roman" w:hAnsi="Times New Roman" w:cs="Times New Roman"/>
          <w:sz w:val="24"/>
          <w:szCs w:val="24"/>
          <w:lang w:val="en-GB"/>
        </w:rPr>
        <w:t>Merkely</w:t>
      </w:r>
      <w:proofErr w:type="spellEnd"/>
      <w:r w:rsidRPr="00D528E0">
        <w:rPr>
          <w:rFonts w:ascii="Times New Roman" w:hAnsi="Times New Roman" w:cs="Times New Roman"/>
          <w:sz w:val="24"/>
          <w:szCs w:val="24"/>
          <w:lang w:val="en-GB"/>
        </w:rPr>
        <w:t xml:space="preserve"> B, Mueller C, </w:t>
      </w:r>
      <w:proofErr w:type="spellStart"/>
      <w:r w:rsidRPr="00D528E0">
        <w:rPr>
          <w:rFonts w:ascii="Times New Roman" w:hAnsi="Times New Roman" w:cs="Times New Roman"/>
          <w:sz w:val="24"/>
          <w:szCs w:val="24"/>
          <w:lang w:val="en-GB"/>
        </w:rPr>
        <w:t>Roffi</w:t>
      </w:r>
      <w:proofErr w:type="spellEnd"/>
      <w:r w:rsidRPr="00D528E0">
        <w:rPr>
          <w:rFonts w:ascii="Times New Roman" w:hAnsi="Times New Roman" w:cs="Times New Roman"/>
          <w:sz w:val="24"/>
          <w:szCs w:val="24"/>
          <w:lang w:val="en-GB"/>
        </w:rPr>
        <w:t xml:space="preserve"> M, </w:t>
      </w:r>
      <w:proofErr w:type="spellStart"/>
      <w:r w:rsidRPr="00D528E0">
        <w:rPr>
          <w:rFonts w:ascii="Times New Roman" w:hAnsi="Times New Roman" w:cs="Times New Roman"/>
          <w:sz w:val="24"/>
          <w:szCs w:val="24"/>
          <w:lang w:val="en-GB"/>
        </w:rPr>
        <w:t>Rutten</w:t>
      </w:r>
      <w:proofErr w:type="spellEnd"/>
      <w:r w:rsidRPr="00D528E0">
        <w:rPr>
          <w:rFonts w:ascii="Times New Roman" w:hAnsi="Times New Roman" w:cs="Times New Roman"/>
          <w:sz w:val="24"/>
          <w:szCs w:val="24"/>
          <w:lang w:val="en-GB"/>
        </w:rPr>
        <w:t xml:space="preserve"> FH, </w:t>
      </w:r>
      <w:proofErr w:type="spellStart"/>
      <w:r w:rsidRPr="00D528E0">
        <w:rPr>
          <w:rFonts w:ascii="Times New Roman" w:hAnsi="Times New Roman" w:cs="Times New Roman"/>
          <w:sz w:val="24"/>
          <w:szCs w:val="24"/>
          <w:lang w:val="en-GB"/>
        </w:rPr>
        <w:t>Sibbing</w:t>
      </w:r>
      <w:proofErr w:type="spellEnd"/>
      <w:r w:rsidRPr="00D528E0">
        <w:rPr>
          <w:rFonts w:ascii="Times New Roman" w:hAnsi="Times New Roman" w:cs="Times New Roman"/>
          <w:sz w:val="24"/>
          <w:szCs w:val="24"/>
          <w:lang w:val="en-GB"/>
        </w:rPr>
        <w:t xml:space="preserve"> D, </w:t>
      </w:r>
      <w:proofErr w:type="spellStart"/>
      <w:r w:rsidRPr="00D528E0">
        <w:rPr>
          <w:rFonts w:ascii="Times New Roman" w:hAnsi="Times New Roman" w:cs="Times New Roman"/>
          <w:sz w:val="24"/>
          <w:szCs w:val="24"/>
          <w:lang w:val="en-GB"/>
        </w:rPr>
        <w:t>Siontis</w:t>
      </w:r>
      <w:proofErr w:type="spellEnd"/>
      <w:r w:rsidRPr="00D528E0">
        <w:rPr>
          <w:rFonts w:ascii="Times New Roman" w:hAnsi="Times New Roman" w:cs="Times New Roman"/>
          <w:sz w:val="24"/>
          <w:szCs w:val="24"/>
          <w:lang w:val="en-GB"/>
        </w:rPr>
        <w:t xml:space="preserve"> GCM; ESC Scientific Document Group. 2020 ESC Guidelines for the management of acute coronary syndromes in patients presenting without persistent ST-segment elevation. </w:t>
      </w:r>
      <w:proofErr w:type="spellStart"/>
      <w:r w:rsidRPr="00D528E0">
        <w:rPr>
          <w:rFonts w:ascii="Times New Roman" w:hAnsi="Times New Roman" w:cs="Times New Roman"/>
          <w:i/>
          <w:sz w:val="24"/>
          <w:szCs w:val="24"/>
          <w:lang w:val="en-GB"/>
        </w:rPr>
        <w:t>Eur</w:t>
      </w:r>
      <w:proofErr w:type="spellEnd"/>
      <w:r w:rsidRPr="00D528E0">
        <w:rPr>
          <w:rFonts w:ascii="Times New Roman" w:hAnsi="Times New Roman" w:cs="Times New Roman"/>
          <w:i/>
          <w:sz w:val="24"/>
          <w:szCs w:val="24"/>
          <w:lang w:val="en-GB"/>
        </w:rPr>
        <w:t xml:space="preserve"> Heart J</w:t>
      </w:r>
      <w:r w:rsidRPr="00D528E0">
        <w:rPr>
          <w:rFonts w:ascii="Times New Roman" w:hAnsi="Times New Roman" w:cs="Times New Roman"/>
          <w:sz w:val="24"/>
          <w:szCs w:val="24"/>
          <w:lang w:val="en-GB"/>
        </w:rPr>
        <w:t xml:space="preserve"> 2020; doi: 10.1093/</w:t>
      </w:r>
      <w:proofErr w:type="spellStart"/>
      <w:r w:rsidRPr="00D528E0">
        <w:rPr>
          <w:rFonts w:ascii="Times New Roman" w:hAnsi="Times New Roman" w:cs="Times New Roman"/>
          <w:sz w:val="24"/>
          <w:szCs w:val="24"/>
          <w:lang w:val="en-GB"/>
        </w:rPr>
        <w:t>eurheartj</w:t>
      </w:r>
      <w:proofErr w:type="spellEnd"/>
      <w:r w:rsidRPr="00D528E0">
        <w:rPr>
          <w:rFonts w:ascii="Times New Roman" w:hAnsi="Times New Roman" w:cs="Times New Roman"/>
          <w:sz w:val="24"/>
          <w:szCs w:val="24"/>
          <w:lang w:val="en-GB"/>
        </w:rPr>
        <w:t>/ehaa575.</w:t>
      </w:r>
    </w:p>
    <w:p w:rsidR="00702C03" w:rsidRPr="00D528E0" w:rsidRDefault="00702C03" w:rsidP="00F70225">
      <w:pPr>
        <w:spacing w:line="480" w:lineRule="auto"/>
        <w:jc w:val="both"/>
        <w:rPr>
          <w:rFonts w:ascii="Times New Roman" w:hAnsi="Times New Roman" w:cs="Times New Roman"/>
          <w:sz w:val="24"/>
          <w:szCs w:val="24"/>
          <w:lang w:val="en-GB"/>
        </w:rPr>
      </w:pPr>
      <w:r w:rsidRPr="00D528E0">
        <w:rPr>
          <w:rFonts w:ascii="Times New Roman" w:hAnsi="Times New Roman" w:cs="Times New Roman"/>
          <w:sz w:val="24"/>
          <w:szCs w:val="24"/>
          <w:lang w:val="en-GB"/>
        </w:rPr>
        <w:t xml:space="preserve">S3. </w:t>
      </w:r>
      <w:proofErr w:type="spellStart"/>
      <w:r w:rsidRPr="00D528E0">
        <w:rPr>
          <w:rFonts w:ascii="Times New Roman" w:hAnsi="Times New Roman" w:cs="Times New Roman"/>
          <w:sz w:val="24"/>
          <w:szCs w:val="24"/>
          <w:lang w:val="en-GB"/>
        </w:rPr>
        <w:t>Mehran</w:t>
      </w:r>
      <w:proofErr w:type="spellEnd"/>
      <w:r w:rsidRPr="00D528E0">
        <w:rPr>
          <w:rFonts w:ascii="Times New Roman" w:hAnsi="Times New Roman" w:cs="Times New Roman"/>
          <w:sz w:val="24"/>
          <w:szCs w:val="24"/>
          <w:lang w:val="en-GB"/>
        </w:rPr>
        <w:t xml:space="preserve"> R, Baber U, Sharma SK, Cohen DJ, </w:t>
      </w:r>
      <w:proofErr w:type="spellStart"/>
      <w:r w:rsidRPr="00D528E0">
        <w:rPr>
          <w:rFonts w:ascii="Times New Roman" w:hAnsi="Times New Roman" w:cs="Times New Roman"/>
          <w:sz w:val="24"/>
          <w:szCs w:val="24"/>
          <w:lang w:val="en-GB"/>
        </w:rPr>
        <w:t>Angiolillo</w:t>
      </w:r>
      <w:proofErr w:type="spellEnd"/>
      <w:r w:rsidRPr="00D528E0">
        <w:rPr>
          <w:rFonts w:ascii="Times New Roman" w:hAnsi="Times New Roman" w:cs="Times New Roman"/>
          <w:sz w:val="24"/>
          <w:szCs w:val="24"/>
          <w:lang w:val="en-GB"/>
        </w:rPr>
        <w:t xml:space="preserve"> DJ, </w:t>
      </w:r>
      <w:proofErr w:type="spellStart"/>
      <w:r w:rsidRPr="00D528E0">
        <w:rPr>
          <w:rFonts w:ascii="Times New Roman" w:hAnsi="Times New Roman" w:cs="Times New Roman"/>
          <w:sz w:val="24"/>
          <w:szCs w:val="24"/>
          <w:lang w:val="en-GB"/>
        </w:rPr>
        <w:t>Briguori</w:t>
      </w:r>
      <w:proofErr w:type="spellEnd"/>
      <w:r w:rsidRPr="00D528E0">
        <w:rPr>
          <w:rFonts w:ascii="Times New Roman" w:hAnsi="Times New Roman" w:cs="Times New Roman"/>
          <w:sz w:val="24"/>
          <w:szCs w:val="24"/>
          <w:lang w:val="en-GB"/>
        </w:rPr>
        <w:t xml:space="preserve"> C, Cha JY, Collier T, </w:t>
      </w:r>
      <w:proofErr w:type="spellStart"/>
      <w:r w:rsidRPr="00D528E0">
        <w:rPr>
          <w:rFonts w:ascii="Times New Roman" w:hAnsi="Times New Roman" w:cs="Times New Roman"/>
          <w:sz w:val="24"/>
          <w:szCs w:val="24"/>
          <w:lang w:val="en-GB"/>
        </w:rPr>
        <w:t>Dangas</w:t>
      </w:r>
      <w:proofErr w:type="spellEnd"/>
      <w:r w:rsidRPr="00D528E0">
        <w:rPr>
          <w:rFonts w:ascii="Times New Roman" w:hAnsi="Times New Roman" w:cs="Times New Roman"/>
          <w:sz w:val="24"/>
          <w:szCs w:val="24"/>
          <w:lang w:val="en-GB"/>
        </w:rPr>
        <w:t xml:space="preserve"> G, </w:t>
      </w:r>
      <w:proofErr w:type="spellStart"/>
      <w:r w:rsidRPr="00D528E0">
        <w:rPr>
          <w:rFonts w:ascii="Times New Roman" w:hAnsi="Times New Roman" w:cs="Times New Roman"/>
          <w:sz w:val="24"/>
          <w:szCs w:val="24"/>
          <w:lang w:val="en-GB"/>
        </w:rPr>
        <w:t>Dudek</w:t>
      </w:r>
      <w:proofErr w:type="spellEnd"/>
      <w:r w:rsidRPr="00D528E0">
        <w:rPr>
          <w:rFonts w:ascii="Times New Roman" w:hAnsi="Times New Roman" w:cs="Times New Roman"/>
          <w:sz w:val="24"/>
          <w:szCs w:val="24"/>
          <w:lang w:val="en-GB"/>
        </w:rPr>
        <w:t xml:space="preserve"> D, </w:t>
      </w:r>
      <w:proofErr w:type="spellStart"/>
      <w:r w:rsidRPr="00D528E0">
        <w:rPr>
          <w:rFonts w:ascii="Times New Roman" w:hAnsi="Times New Roman" w:cs="Times New Roman"/>
          <w:sz w:val="24"/>
          <w:szCs w:val="24"/>
          <w:lang w:val="en-GB"/>
        </w:rPr>
        <w:t>Džavík</w:t>
      </w:r>
      <w:proofErr w:type="spellEnd"/>
      <w:r w:rsidRPr="00D528E0">
        <w:rPr>
          <w:rFonts w:ascii="Times New Roman" w:hAnsi="Times New Roman" w:cs="Times New Roman"/>
          <w:sz w:val="24"/>
          <w:szCs w:val="24"/>
          <w:lang w:val="en-GB"/>
        </w:rPr>
        <w:t xml:space="preserve"> V, </w:t>
      </w:r>
      <w:proofErr w:type="spellStart"/>
      <w:r w:rsidRPr="00D528E0">
        <w:rPr>
          <w:rFonts w:ascii="Times New Roman" w:hAnsi="Times New Roman" w:cs="Times New Roman"/>
          <w:sz w:val="24"/>
          <w:szCs w:val="24"/>
          <w:lang w:val="en-GB"/>
        </w:rPr>
        <w:t>Escaned</w:t>
      </w:r>
      <w:proofErr w:type="spellEnd"/>
      <w:r w:rsidRPr="00D528E0">
        <w:rPr>
          <w:rFonts w:ascii="Times New Roman" w:hAnsi="Times New Roman" w:cs="Times New Roman"/>
          <w:sz w:val="24"/>
          <w:szCs w:val="24"/>
          <w:lang w:val="en-GB"/>
        </w:rPr>
        <w:t xml:space="preserve"> J, Gil R, </w:t>
      </w:r>
      <w:proofErr w:type="spellStart"/>
      <w:r w:rsidRPr="00D528E0">
        <w:rPr>
          <w:rFonts w:ascii="Times New Roman" w:hAnsi="Times New Roman" w:cs="Times New Roman"/>
          <w:sz w:val="24"/>
          <w:szCs w:val="24"/>
          <w:lang w:val="en-GB"/>
        </w:rPr>
        <w:t>Gurbel</w:t>
      </w:r>
      <w:proofErr w:type="spellEnd"/>
      <w:r w:rsidRPr="00D528E0">
        <w:rPr>
          <w:rFonts w:ascii="Times New Roman" w:hAnsi="Times New Roman" w:cs="Times New Roman"/>
          <w:sz w:val="24"/>
          <w:szCs w:val="24"/>
          <w:lang w:val="en-GB"/>
        </w:rPr>
        <w:t xml:space="preserve"> P, Hamm CW, Henry T, Huber K, </w:t>
      </w:r>
      <w:proofErr w:type="spellStart"/>
      <w:r w:rsidRPr="00D528E0">
        <w:rPr>
          <w:rFonts w:ascii="Times New Roman" w:hAnsi="Times New Roman" w:cs="Times New Roman"/>
          <w:sz w:val="24"/>
          <w:szCs w:val="24"/>
          <w:lang w:val="en-GB"/>
        </w:rPr>
        <w:t>Kastrati</w:t>
      </w:r>
      <w:proofErr w:type="spellEnd"/>
      <w:r w:rsidRPr="00D528E0">
        <w:rPr>
          <w:rFonts w:ascii="Times New Roman" w:hAnsi="Times New Roman" w:cs="Times New Roman"/>
          <w:sz w:val="24"/>
          <w:szCs w:val="24"/>
          <w:lang w:val="en-GB"/>
        </w:rPr>
        <w:t xml:space="preserve"> A, </w:t>
      </w:r>
      <w:proofErr w:type="spellStart"/>
      <w:r w:rsidRPr="00D528E0">
        <w:rPr>
          <w:rFonts w:ascii="Times New Roman" w:hAnsi="Times New Roman" w:cs="Times New Roman"/>
          <w:sz w:val="24"/>
          <w:szCs w:val="24"/>
          <w:lang w:val="en-GB"/>
        </w:rPr>
        <w:t>Kaul</w:t>
      </w:r>
      <w:proofErr w:type="spellEnd"/>
      <w:r w:rsidRPr="00D528E0">
        <w:rPr>
          <w:rFonts w:ascii="Times New Roman" w:hAnsi="Times New Roman" w:cs="Times New Roman"/>
          <w:sz w:val="24"/>
          <w:szCs w:val="24"/>
          <w:lang w:val="en-GB"/>
        </w:rPr>
        <w:t xml:space="preserve"> U, </w:t>
      </w:r>
      <w:proofErr w:type="spellStart"/>
      <w:r w:rsidRPr="00D528E0">
        <w:rPr>
          <w:rFonts w:ascii="Times New Roman" w:hAnsi="Times New Roman" w:cs="Times New Roman"/>
          <w:sz w:val="24"/>
          <w:szCs w:val="24"/>
          <w:lang w:val="en-GB"/>
        </w:rPr>
        <w:t>Kornowski</w:t>
      </w:r>
      <w:proofErr w:type="spellEnd"/>
      <w:r w:rsidRPr="00D528E0">
        <w:rPr>
          <w:rFonts w:ascii="Times New Roman" w:hAnsi="Times New Roman" w:cs="Times New Roman"/>
          <w:sz w:val="24"/>
          <w:szCs w:val="24"/>
          <w:lang w:val="en-GB"/>
        </w:rPr>
        <w:t xml:space="preserve"> R, </w:t>
      </w:r>
      <w:proofErr w:type="spellStart"/>
      <w:r w:rsidRPr="00D528E0">
        <w:rPr>
          <w:rFonts w:ascii="Times New Roman" w:hAnsi="Times New Roman" w:cs="Times New Roman"/>
          <w:sz w:val="24"/>
          <w:szCs w:val="24"/>
          <w:lang w:val="en-GB"/>
        </w:rPr>
        <w:t>Krucoff</w:t>
      </w:r>
      <w:proofErr w:type="spellEnd"/>
      <w:r w:rsidRPr="00D528E0">
        <w:rPr>
          <w:rFonts w:ascii="Times New Roman" w:hAnsi="Times New Roman" w:cs="Times New Roman"/>
          <w:sz w:val="24"/>
          <w:szCs w:val="24"/>
          <w:lang w:val="en-GB"/>
        </w:rPr>
        <w:t xml:space="preserve"> M, </w:t>
      </w:r>
      <w:proofErr w:type="spellStart"/>
      <w:r w:rsidRPr="00D528E0">
        <w:rPr>
          <w:rFonts w:ascii="Times New Roman" w:hAnsi="Times New Roman" w:cs="Times New Roman"/>
          <w:sz w:val="24"/>
          <w:szCs w:val="24"/>
          <w:lang w:val="en-GB"/>
        </w:rPr>
        <w:t>Kunadian</w:t>
      </w:r>
      <w:proofErr w:type="spellEnd"/>
      <w:r w:rsidRPr="00D528E0">
        <w:rPr>
          <w:rFonts w:ascii="Times New Roman" w:hAnsi="Times New Roman" w:cs="Times New Roman"/>
          <w:sz w:val="24"/>
          <w:szCs w:val="24"/>
          <w:lang w:val="en-GB"/>
        </w:rPr>
        <w:t xml:space="preserve"> V, Marx SO, Mehta SR, </w:t>
      </w:r>
      <w:proofErr w:type="spellStart"/>
      <w:r w:rsidRPr="00D528E0">
        <w:rPr>
          <w:rFonts w:ascii="Times New Roman" w:hAnsi="Times New Roman" w:cs="Times New Roman"/>
          <w:sz w:val="24"/>
          <w:szCs w:val="24"/>
          <w:lang w:val="en-GB"/>
        </w:rPr>
        <w:t>Moliterno</w:t>
      </w:r>
      <w:proofErr w:type="spellEnd"/>
      <w:r w:rsidRPr="00D528E0">
        <w:rPr>
          <w:rFonts w:ascii="Times New Roman" w:hAnsi="Times New Roman" w:cs="Times New Roman"/>
          <w:sz w:val="24"/>
          <w:szCs w:val="24"/>
          <w:lang w:val="en-GB"/>
        </w:rPr>
        <w:t xml:space="preserve"> D, </w:t>
      </w:r>
      <w:proofErr w:type="spellStart"/>
      <w:r w:rsidRPr="00D528E0">
        <w:rPr>
          <w:rFonts w:ascii="Times New Roman" w:hAnsi="Times New Roman" w:cs="Times New Roman"/>
          <w:sz w:val="24"/>
          <w:szCs w:val="24"/>
          <w:lang w:val="en-GB"/>
        </w:rPr>
        <w:t>Ohman</w:t>
      </w:r>
      <w:proofErr w:type="spellEnd"/>
      <w:r w:rsidRPr="00D528E0">
        <w:rPr>
          <w:rFonts w:ascii="Times New Roman" w:hAnsi="Times New Roman" w:cs="Times New Roman"/>
          <w:sz w:val="24"/>
          <w:szCs w:val="24"/>
          <w:lang w:val="en-GB"/>
        </w:rPr>
        <w:t xml:space="preserve"> EM, </w:t>
      </w:r>
      <w:proofErr w:type="spellStart"/>
      <w:r w:rsidRPr="00D528E0">
        <w:rPr>
          <w:rFonts w:ascii="Times New Roman" w:hAnsi="Times New Roman" w:cs="Times New Roman"/>
          <w:sz w:val="24"/>
          <w:szCs w:val="24"/>
          <w:lang w:val="en-GB"/>
        </w:rPr>
        <w:t>Oldroyd</w:t>
      </w:r>
      <w:proofErr w:type="spellEnd"/>
      <w:r w:rsidRPr="00D528E0">
        <w:rPr>
          <w:rFonts w:ascii="Times New Roman" w:hAnsi="Times New Roman" w:cs="Times New Roman"/>
          <w:sz w:val="24"/>
          <w:szCs w:val="24"/>
          <w:lang w:val="en-GB"/>
        </w:rPr>
        <w:t xml:space="preserve"> K, </w:t>
      </w:r>
      <w:proofErr w:type="spellStart"/>
      <w:r w:rsidRPr="00D528E0">
        <w:rPr>
          <w:rFonts w:ascii="Times New Roman" w:hAnsi="Times New Roman" w:cs="Times New Roman"/>
          <w:sz w:val="24"/>
          <w:szCs w:val="24"/>
          <w:lang w:val="en-GB"/>
        </w:rPr>
        <w:t>Sardella</w:t>
      </w:r>
      <w:proofErr w:type="spellEnd"/>
      <w:r w:rsidRPr="00D528E0">
        <w:rPr>
          <w:rFonts w:ascii="Times New Roman" w:hAnsi="Times New Roman" w:cs="Times New Roman"/>
          <w:sz w:val="24"/>
          <w:szCs w:val="24"/>
          <w:lang w:val="en-GB"/>
        </w:rPr>
        <w:t xml:space="preserve"> G, </w:t>
      </w:r>
      <w:proofErr w:type="spellStart"/>
      <w:r w:rsidRPr="00D528E0">
        <w:rPr>
          <w:rFonts w:ascii="Times New Roman" w:hAnsi="Times New Roman" w:cs="Times New Roman"/>
          <w:sz w:val="24"/>
          <w:szCs w:val="24"/>
          <w:lang w:val="en-GB"/>
        </w:rPr>
        <w:t>Sartori</w:t>
      </w:r>
      <w:proofErr w:type="spellEnd"/>
      <w:r w:rsidRPr="00D528E0">
        <w:rPr>
          <w:rFonts w:ascii="Times New Roman" w:hAnsi="Times New Roman" w:cs="Times New Roman"/>
          <w:sz w:val="24"/>
          <w:szCs w:val="24"/>
          <w:lang w:val="en-GB"/>
        </w:rPr>
        <w:t xml:space="preserve"> S, </w:t>
      </w:r>
      <w:proofErr w:type="spellStart"/>
      <w:r w:rsidRPr="00D528E0">
        <w:rPr>
          <w:rFonts w:ascii="Times New Roman" w:hAnsi="Times New Roman" w:cs="Times New Roman"/>
          <w:sz w:val="24"/>
          <w:szCs w:val="24"/>
          <w:lang w:val="en-GB"/>
        </w:rPr>
        <w:t>Shlofmitz</w:t>
      </w:r>
      <w:proofErr w:type="spellEnd"/>
      <w:r w:rsidRPr="00D528E0">
        <w:rPr>
          <w:rFonts w:ascii="Times New Roman" w:hAnsi="Times New Roman" w:cs="Times New Roman"/>
          <w:sz w:val="24"/>
          <w:szCs w:val="24"/>
          <w:lang w:val="en-GB"/>
        </w:rPr>
        <w:t xml:space="preserve"> R, </w:t>
      </w:r>
      <w:proofErr w:type="spellStart"/>
      <w:r w:rsidRPr="00D528E0">
        <w:rPr>
          <w:rFonts w:ascii="Times New Roman" w:hAnsi="Times New Roman" w:cs="Times New Roman"/>
          <w:sz w:val="24"/>
          <w:szCs w:val="24"/>
          <w:lang w:val="en-GB"/>
        </w:rPr>
        <w:t>Steg</w:t>
      </w:r>
      <w:proofErr w:type="spellEnd"/>
      <w:r w:rsidRPr="00D528E0">
        <w:rPr>
          <w:rFonts w:ascii="Times New Roman" w:hAnsi="Times New Roman" w:cs="Times New Roman"/>
          <w:sz w:val="24"/>
          <w:szCs w:val="24"/>
          <w:lang w:val="en-GB"/>
        </w:rPr>
        <w:t xml:space="preserve"> PG, </w:t>
      </w:r>
      <w:proofErr w:type="spellStart"/>
      <w:r w:rsidRPr="00D528E0">
        <w:rPr>
          <w:rFonts w:ascii="Times New Roman" w:hAnsi="Times New Roman" w:cs="Times New Roman"/>
          <w:sz w:val="24"/>
          <w:szCs w:val="24"/>
          <w:lang w:val="en-GB"/>
        </w:rPr>
        <w:t>Weisz</w:t>
      </w:r>
      <w:proofErr w:type="spellEnd"/>
      <w:r w:rsidRPr="00D528E0">
        <w:rPr>
          <w:rFonts w:ascii="Times New Roman" w:hAnsi="Times New Roman" w:cs="Times New Roman"/>
          <w:sz w:val="24"/>
          <w:szCs w:val="24"/>
          <w:lang w:val="en-GB"/>
        </w:rPr>
        <w:t xml:space="preserve"> G, </w:t>
      </w:r>
      <w:proofErr w:type="spellStart"/>
      <w:r w:rsidRPr="00D528E0">
        <w:rPr>
          <w:rFonts w:ascii="Times New Roman" w:hAnsi="Times New Roman" w:cs="Times New Roman"/>
          <w:sz w:val="24"/>
          <w:szCs w:val="24"/>
          <w:lang w:val="en-GB"/>
        </w:rPr>
        <w:t>Witzenbichler</w:t>
      </w:r>
      <w:proofErr w:type="spellEnd"/>
      <w:r w:rsidRPr="00D528E0">
        <w:rPr>
          <w:rFonts w:ascii="Times New Roman" w:hAnsi="Times New Roman" w:cs="Times New Roman"/>
          <w:sz w:val="24"/>
          <w:szCs w:val="24"/>
          <w:lang w:val="en-GB"/>
        </w:rPr>
        <w:t xml:space="preserve"> B, Han YL, </w:t>
      </w:r>
      <w:proofErr w:type="spellStart"/>
      <w:r w:rsidRPr="00D528E0">
        <w:rPr>
          <w:rFonts w:ascii="Times New Roman" w:hAnsi="Times New Roman" w:cs="Times New Roman"/>
          <w:sz w:val="24"/>
          <w:szCs w:val="24"/>
          <w:lang w:val="en-GB"/>
        </w:rPr>
        <w:t>Pocock</w:t>
      </w:r>
      <w:proofErr w:type="spellEnd"/>
      <w:r w:rsidRPr="00D528E0">
        <w:rPr>
          <w:rFonts w:ascii="Times New Roman" w:hAnsi="Times New Roman" w:cs="Times New Roman"/>
          <w:sz w:val="24"/>
          <w:szCs w:val="24"/>
          <w:lang w:val="en-GB"/>
        </w:rPr>
        <w:t xml:space="preserve"> S, Gibson CM. </w:t>
      </w:r>
      <w:r w:rsidRPr="00D528E0">
        <w:rPr>
          <w:rFonts w:ascii="Times New Roman" w:hAnsi="Times New Roman" w:cs="Times New Roman"/>
          <w:i/>
          <w:sz w:val="24"/>
          <w:szCs w:val="24"/>
          <w:lang w:val="en-GB"/>
        </w:rPr>
        <w:t xml:space="preserve">N </w:t>
      </w:r>
      <w:proofErr w:type="spellStart"/>
      <w:r w:rsidRPr="00D528E0">
        <w:rPr>
          <w:rFonts w:ascii="Times New Roman" w:hAnsi="Times New Roman" w:cs="Times New Roman"/>
          <w:i/>
          <w:sz w:val="24"/>
          <w:szCs w:val="24"/>
          <w:lang w:val="en-GB"/>
        </w:rPr>
        <w:t>Engl</w:t>
      </w:r>
      <w:proofErr w:type="spellEnd"/>
      <w:r w:rsidRPr="00D528E0">
        <w:rPr>
          <w:rFonts w:ascii="Times New Roman" w:hAnsi="Times New Roman" w:cs="Times New Roman"/>
          <w:i/>
          <w:sz w:val="24"/>
          <w:szCs w:val="24"/>
          <w:lang w:val="en-GB"/>
        </w:rPr>
        <w:t xml:space="preserve"> J Med</w:t>
      </w:r>
      <w:r w:rsidRPr="00D528E0">
        <w:rPr>
          <w:rFonts w:ascii="Times New Roman" w:hAnsi="Times New Roman" w:cs="Times New Roman"/>
          <w:sz w:val="24"/>
          <w:szCs w:val="24"/>
          <w:lang w:val="en-GB"/>
        </w:rPr>
        <w:t xml:space="preserve"> 2019;</w:t>
      </w:r>
      <w:r w:rsidRPr="00D528E0">
        <w:rPr>
          <w:rFonts w:ascii="Times New Roman" w:hAnsi="Times New Roman" w:cs="Times New Roman"/>
          <w:b/>
          <w:sz w:val="24"/>
          <w:szCs w:val="24"/>
          <w:lang w:val="en-GB"/>
        </w:rPr>
        <w:t>381</w:t>
      </w:r>
      <w:r w:rsidRPr="00D528E0">
        <w:rPr>
          <w:rFonts w:ascii="Times New Roman" w:hAnsi="Times New Roman" w:cs="Times New Roman"/>
          <w:sz w:val="24"/>
          <w:szCs w:val="24"/>
          <w:lang w:val="en-GB"/>
        </w:rPr>
        <w:t>:2032-2042.</w:t>
      </w:r>
    </w:p>
    <w:p w:rsidR="0094190C" w:rsidRPr="00D528E0" w:rsidRDefault="00702C03" w:rsidP="00F70225">
      <w:pPr>
        <w:spacing w:line="480" w:lineRule="auto"/>
        <w:jc w:val="both"/>
        <w:rPr>
          <w:rFonts w:ascii="Times New Roman" w:hAnsi="Times New Roman" w:cs="Times New Roman"/>
          <w:sz w:val="24"/>
          <w:szCs w:val="24"/>
          <w:lang w:val="en-GB"/>
        </w:rPr>
      </w:pPr>
      <w:r w:rsidRPr="00D528E0">
        <w:rPr>
          <w:rFonts w:ascii="Times New Roman" w:hAnsi="Times New Roman" w:cs="Times New Roman"/>
          <w:sz w:val="24"/>
          <w:szCs w:val="24"/>
          <w:lang w:val="en-GB"/>
        </w:rPr>
        <w:t xml:space="preserve">S4. </w:t>
      </w:r>
      <w:proofErr w:type="spellStart"/>
      <w:r w:rsidRPr="00D528E0">
        <w:rPr>
          <w:rFonts w:ascii="Times New Roman" w:hAnsi="Times New Roman" w:cs="Times New Roman"/>
          <w:sz w:val="24"/>
          <w:szCs w:val="24"/>
          <w:lang w:val="en-GB"/>
        </w:rPr>
        <w:t>Wallentin</w:t>
      </w:r>
      <w:proofErr w:type="spellEnd"/>
      <w:r w:rsidRPr="00D528E0">
        <w:rPr>
          <w:rFonts w:ascii="Times New Roman" w:hAnsi="Times New Roman" w:cs="Times New Roman"/>
          <w:sz w:val="24"/>
          <w:szCs w:val="24"/>
          <w:lang w:val="en-GB"/>
        </w:rPr>
        <w:t xml:space="preserve"> L, Becker RC, </w:t>
      </w:r>
      <w:proofErr w:type="spellStart"/>
      <w:r w:rsidRPr="00D528E0">
        <w:rPr>
          <w:rFonts w:ascii="Times New Roman" w:hAnsi="Times New Roman" w:cs="Times New Roman"/>
          <w:sz w:val="24"/>
          <w:szCs w:val="24"/>
          <w:lang w:val="en-GB"/>
        </w:rPr>
        <w:t>Budaj</w:t>
      </w:r>
      <w:proofErr w:type="spellEnd"/>
      <w:r w:rsidRPr="00D528E0">
        <w:rPr>
          <w:rFonts w:ascii="Times New Roman" w:hAnsi="Times New Roman" w:cs="Times New Roman"/>
          <w:sz w:val="24"/>
          <w:szCs w:val="24"/>
          <w:lang w:val="en-GB"/>
        </w:rPr>
        <w:t xml:space="preserve"> A, Cannon CP, </w:t>
      </w:r>
      <w:proofErr w:type="spellStart"/>
      <w:r w:rsidRPr="00D528E0">
        <w:rPr>
          <w:rFonts w:ascii="Times New Roman" w:hAnsi="Times New Roman" w:cs="Times New Roman"/>
          <w:sz w:val="24"/>
          <w:szCs w:val="24"/>
          <w:lang w:val="en-GB"/>
        </w:rPr>
        <w:t>Emanuelsson</w:t>
      </w:r>
      <w:proofErr w:type="spellEnd"/>
      <w:r w:rsidRPr="00D528E0">
        <w:rPr>
          <w:rFonts w:ascii="Times New Roman" w:hAnsi="Times New Roman" w:cs="Times New Roman"/>
          <w:sz w:val="24"/>
          <w:szCs w:val="24"/>
          <w:lang w:val="en-GB"/>
        </w:rPr>
        <w:t xml:space="preserve"> H, Held C, </w:t>
      </w:r>
      <w:proofErr w:type="spellStart"/>
      <w:r w:rsidRPr="00D528E0">
        <w:rPr>
          <w:rFonts w:ascii="Times New Roman" w:hAnsi="Times New Roman" w:cs="Times New Roman"/>
          <w:sz w:val="24"/>
          <w:szCs w:val="24"/>
          <w:lang w:val="en-GB"/>
        </w:rPr>
        <w:t>Horrow</w:t>
      </w:r>
      <w:proofErr w:type="spellEnd"/>
      <w:r w:rsidRPr="00D528E0">
        <w:rPr>
          <w:rFonts w:ascii="Times New Roman" w:hAnsi="Times New Roman" w:cs="Times New Roman"/>
          <w:sz w:val="24"/>
          <w:szCs w:val="24"/>
          <w:lang w:val="en-GB"/>
        </w:rPr>
        <w:t xml:space="preserve"> J, Husted S, James S, </w:t>
      </w:r>
      <w:proofErr w:type="spellStart"/>
      <w:r w:rsidRPr="00D528E0">
        <w:rPr>
          <w:rFonts w:ascii="Times New Roman" w:hAnsi="Times New Roman" w:cs="Times New Roman"/>
          <w:sz w:val="24"/>
          <w:szCs w:val="24"/>
          <w:lang w:val="en-GB"/>
        </w:rPr>
        <w:t>Katus</w:t>
      </w:r>
      <w:proofErr w:type="spellEnd"/>
      <w:r w:rsidRPr="00D528E0">
        <w:rPr>
          <w:rFonts w:ascii="Times New Roman" w:hAnsi="Times New Roman" w:cs="Times New Roman"/>
          <w:sz w:val="24"/>
          <w:szCs w:val="24"/>
          <w:lang w:val="en-GB"/>
        </w:rPr>
        <w:t xml:space="preserve"> H, Mahaffey KW, </w:t>
      </w:r>
      <w:proofErr w:type="spellStart"/>
      <w:r w:rsidRPr="00D528E0">
        <w:rPr>
          <w:rFonts w:ascii="Times New Roman" w:hAnsi="Times New Roman" w:cs="Times New Roman"/>
          <w:sz w:val="24"/>
          <w:szCs w:val="24"/>
          <w:lang w:val="en-GB"/>
        </w:rPr>
        <w:t>Scirica</w:t>
      </w:r>
      <w:proofErr w:type="spellEnd"/>
      <w:r w:rsidRPr="00D528E0">
        <w:rPr>
          <w:rFonts w:ascii="Times New Roman" w:hAnsi="Times New Roman" w:cs="Times New Roman"/>
          <w:sz w:val="24"/>
          <w:szCs w:val="24"/>
          <w:lang w:val="en-GB"/>
        </w:rPr>
        <w:t xml:space="preserve"> BM, </w:t>
      </w:r>
      <w:proofErr w:type="spellStart"/>
      <w:r w:rsidRPr="00D528E0">
        <w:rPr>
          <w:rFonts w:ascii="Times New Roman" w:hAnsi="Times New Roman" w:cs="Times New Roman"/>
          <w:sz w:val="24"/>
          <w:szCs w:val="24"/>
          <w:lang w:val="en-GB"/>
        </w:rPr>
        <w:t>Skene</w:t>
      </w:r>
      <w:proofErr w:type="spellEnd"/>
      <w:r w:rsidRPr="00D528E0">
        <w:rPr>
          <w:rFonts w:ascii="Times New Roman" w:hAnsi="Times New Roman" w:cs="Times New Roman"/>
          <w:sz w:val="24"/>
          <w:szCs w:val="24"/>
          <w:lang w:val="en-GB"/>
        </w:rPr>
        <w:t xml:space="preserve"> A, </w:t>
      </w:r>
      <w:proofErr w:type="spellStart"/>
      <w:r w:rsidRPr="00D528E0">
        <w:rPr>
          <w:rFonts w:ascii="Times New Roman" w:hAnsi="Times New Roman" w:cs="Times New Roman"/>
          <w:sz w:val="24"/>
          <w:szCs w:val="24"/>
          <w:lang w:val="en-GB"/>
        </w:rPr>
        <w:t>Steg</w:t>
      </w:r>
      <w:proofErr w:type="spellEnd"/>
      <w:r w:rsidRPr="00D528E0">
        <w:rPr>
          <w:rFonts w:ascii="Times New Roman" w:hAnsi="Times New Roman" w:cs="Times New Roman"/>
          <w:sz w:val="24"/>
          <w:szCs w:val="24"/>
          <w:lang w:val="en-GB"/>
        </w:rPr>
        <w:t xml:space="preserve"> PG, Storey RF, </w:t>
      </w:r>
      <w:r w:rsidRPr="00D528E0">
        <w:rPr>
          <w:rFonts w:ascii="Times New Roman" w:hAnsi="Times New Roman" w:cs="Times New Roman"/>
          <w:sz w:val="24"/>
          <w:szCs w:val="24"/>
          <w:lang w:val="en-GB"/>
        </w:rPr>
        <w:lastRenderedPageBreak/>
        <w:t xml:space="preserve">Harrington RA, </w:t>
      </w:r>
      <w:proofErr w:type="spellStart"/>
      <w:r w:rsidRPr="00D528E0">
        <w:rPr>
          <w:rFonts w:ascii="Times New Roman" w:hAnsi="Times New Roman" w:cs="Times New Roman"/>
          <w:sz w:val="24"/>
          <w:szCs w:val="24"/>
          <w:lang w:val="en-GB"/>
        </w:rPr>
        <w:t>Freij</w:t>
      </w:r>
      <w:proofErr w:type="spellEnd"/>
      <w:r w:rsidRPr="00D528E0">
        <w:rPr>
          <w:rFonts w:ascii="Times New Roman" w:hAnsi="Times New Roman" w:cs="Times New Roman"/>
          <w:sz w:val="24"/>
          <w:szCs w:val="24"/>
          <w:lang w:val="en-GB"/>
        </w:rPr>
        <w:t xml:space="preserve"> A, </w:t>
      </w:r>
      <w:proofErr w:type="spellStart"/>
      <w:r w:rsidR="00D407BC" w:rsidRPr="00D407BC">
        <w:rPr>
          <w:rFonts w:ascii="Times New Roman" w:hAnsi="Times New Roman" w:cs="Times New Roman"/>
          <w:sz w:val="24"/>
          <w:szCs w:val="24"/>
          <w:lang w:val="en-GB"/>
        </w:rPr>
        <w:t>Thorsén</w:t>
      </w:r>
      <w:proofErr w:type="spellEnd"/>
      <w:r w:rsidRPr="00D528E0">
        <w:rPr>
          <w:rFonts w:ascii="Times New Roman" w:hAnsi="Times New Roman" w:cs="Times New Roman"/>
          <w:sz w:val="24"/>
          <w:szCs w:val="24"/>
          <w:lang w:val="en-GB"/>
        </w:rPr>
        <w:t xml:space="preserve"> M. Ticagrelor versus clopidogrel in patients with acute coronary syndromes. </w:t>
      </w:r>
      <w:r w:rsidRPr="00D528E0">
        <w:rPr>
          <w:rFonts w:ascii="Times New Roman" w:hAnsi="Times New Roman" w:cs="Times New Roman"/>
          <w:i/>
          <w:sz w:val="24"/>
          <w:szCs w:val="24"/>
          <w:lang w:val="en-GB"/>
        </w:rPr>
        <w:t xml:space="preserve">N </w:t>
      </w:r>
      <w:proofErr w:type="spellStart"/>
      <w:r w:rsidRPr="00D528E0">
        <w:rPr>
          <w:rFonts w:ascii="Times New Roman" w:hAnsi="Times New Roman" w:cs="Times New Roman"/>
          <w:i/>
          <w:sz w:val="24"/>
          <w:szCs w:val="24"/>
          <w:lang w:val="en-GB"/>
        </w:rPr>
        <w:t>Engl</w:t>
      </w:r>
      <w:proofErr w:type="spellEnd"/>
      <w:r w:rsidRPr="00D528E0">
        <w:rPr>
          <w:rFonts w:ascii="Times New Roman" w:hAnsi="Times New Roman" w:cs="Times New Roman"/>
          <w:i/>
          <w:sz w:val="24"/>
          <w:szCs w:val="24"/>
          <w:lang w:val="en-GB"/>
        </w:rPr>
        <w:t xml:space="preserve"> J Med</w:t>
      </w:r>
      <w:r w:rsidRPr="00D528E0">
        <w:rPr>
          <w:rFonts w:ascii="Times New Roman" w:hAnsi="Times New Roman" w:cs="Times New Roman"/>
          <w:sz w:val="24"/>
          <w:szCs w:val="24"/>
          <w:lang w:val="en-GB"/>
        </w:rPr>
        <w:t xml:space="preserve"> 2009;</w:t>
      </w:r>
      <w:r w:rsidRPr="00D528E0">
        <w:rPr>
          <w:rFonts w:ascii="Times New Roman" w:hAnsi="Times New Roman" w:cs="Times New Roman"/>
          <w:b/>
          <w:sz w:val="24"/>
          <w:szCs w:val="24"/>
          <w:lang w:val="en-GB"/>
        </w:rPr>
        <w:t>361</w:t>
      </w:r>
      <w:r w:rsidRPr="00D528E0">
        <w:rPr>
          <w:rFonts w:ascii="Times New Roman" w:hAnsi="Times New Roman" w:cs="Times New Roman"/>
          <w:sz w:val="24"/>
          <w:szCs w:val="24"/>
          <w:lang w:val="en-GB"/>
        </w:rPr>
        <w:t>:1045-1057.</w:t>
      </w:r>
    </w:p>
    <w:p w:rsidR="00DC4052" w:rsidRPr="00D528E0" w:rsidRDefault="0094190C" w:rsidP="00F70225">
      <w:pPr>
        <w:spacing w:line="480" w:lineRule="auto"/>
        <w:jc w:val="both"/>
        <w:rPr>
          <w:rFonts w:ascii="Times New Roman" w:hAnsi="Times New Roman" w:cs="Times New Roman"/>
          <w:sz w:val="24"/>
          <w:szCs w:val="24"/>
          <w:lang w:val="en-GB"/>
        </w:rPr>
      </w:pPr>
      <w:r w:rsidRPr="00D528E0">
        <w:rPr>
          <w:rFonts w:ascii="Times New Roman" w:hAnsi="Times New Roman" w:cs="Times New Roman"/>
          <w:sz w:val="24"/>
          <w:szCs w:val="24"/>
          <w:lang w:val="en-GB"/>
        </w:rPr>
        <w:t xml:space="preserve">S5. </w:t>
      </w:r>
      <w:proofErr w:type="spellStart"/>
      <w:r w:rsidRPr="00D528E0">
        <w:rPr>
          <w:rFonts w:ascii="Times New Roman" w:hAnsi="Times New Roman" w:cs="Times New Roman"/>
          <w:sz w:val="24"/>
          <w:szCs w:val="24"/>
          <w:lang w:val="en-GB"/>
        </w:rPr>
        <w:t>Buszko</w:t>
      </w:r>
      <w:proofErr w:type="spellEnd"/>
      <w:r w:rsidRPr="00D528E0">
        <w:rPr>
          <w:rFonts w:ascii="Times New Roman" w:hAnsi="Times New Roman" w:cs="Times New Roman"/>
          <w:sz w:val="24"/>
          <w:szCs w:val="24"/>
          <w:lang w:val="en-GB"/>
        </w:rPr>
        <w:t xml:space="preserve"> K, Obońska K, </w:t>
      </w:r>
      <w:proofErr w:type="spellStart"/>
      <w:r w:rsidRPr="00D528E0">
        <w:rPr>
          <w:rFonts w:ascii="Times New Roman" w:hAnsi="Times New Roman" w:cs="Times New Roman"/>
          <w:sz w:val="24"/>
          <w:szCs w:val="24"/>
          <w:lang w:val="en-GB"/>
        </w:rPr>
        <w:t>Michalski</w:t>
      </w:r>
      <w:proofErr w:type="spellEnd"/>
      <w:r w:rsidRPr="00D528E0">
        <w:rPr>
          <w:rFonts w:ascii="Times New Roman" w:hAnsi="Times New Roman" w:cs="Times New Roman"/>
          <w:sz w:val="24"/>
          <w:szCs w:val="24"/>
          <w:lang w:val="en-GB"/>
        </w:rPr>
        <w:t xml:space="preserve"> P, </w:t>
      </w:r>
      <w:proofErr w:type="spellStart"/>
      <w:r w:rsidRPr="00D528E0">
        <w:rPr>
          <w:rFonts w:ascii="Times New Roman" w:hAnsi="Times New Roman" w:cs="Times New Roman"/>
          <w:sz w:val="24"/>
          <w:szCs w:val="24"/>
          <w:lang w:val="en-GB"/>
        </w:rPr>
        <w:t>Kosobucka</w:t>
      </w:r>
      <w:proofErr w:type="spellEnd"/>
      <w:r w:rsidRPr="00D528E0">
        <w:rPr>
          <w:rFonts w:ascii="Times New Roman" w:hAnsi="Times New Roman" w:cs="Times New Roman"/>
          <w:sz w:val="24"/>
          <w:szCs w:val="24"/>
          <w:lang w:val="en-GB"/>
        </w:rPr>
        <w:t xml:space="preserve"> A, </w:t>
      </w:r>
      <w:proofErr w:type="spellStart"/>
      <w:r w:rsidRPr="00D528E0">
        <w:rPr>
          <w:rFonts w:ascii="Times New Roman" w:hAnsi="Times New Roman" w:cs="Times New Roman"/>
          <w:sz w:val="24"/>
          <w:szCs w:val="24"/>
          <w:lang w:val="en-GB"/>
        </w:rPr>
        <w:t>Jurek</w:t>
      </w:r>
      <w:proofErr w:type="spellEnd"/>
      <w:r w:rsidRPr="00D528E0">
        <w:rPr>
          <w:rFonts w:ascii="Times New Roman" w:hAnsi="Times New Roman" w:cs="Times New Roman"/>
          <w:sz w:val="24"/>
          <w:szCs w:val="24"/>
          <w:lang w:val="en-GB"/>
        </w:rPr>
        <w:t xml:space="preserve"> A, </w:t>
      </w:r>
      <w:proofErr w:type="spellStart"/>
      <w:r w:rsidRPr="00D528E0">
        <w:rPr>
          <w:rFonts w:ascii="Times New Roman" w:hAnsi="Times New Roman" w:cs="Times New Roman"/>
          <w:sz w:val="24"/>
          <w:szCs w:val="24"/>
          <w:lang w:val="en-GB"/>
        </w:rPr>
        <w:t>Wawrzyniak</w:t>
      </w:r>
      <w:proofErr w:type="spellEnd"/>
      <w:r w:rsidRPr="00D528E0">
        <w:rPr>
          <w:rFonts w:ascii="Times New Roman" w:hAnsi="Times New Roman" w:cs="Times New Roman"/>
          <w:sz w:val="24"/>
          <w:szCs w:val="24"/>
          <w:lang w:val="en-GB"/>
        </w:rPr>
        <w:t xml:space="preserve"> M, </w:t>
      </w:r>
      <w:proofErr w:type="spellStart"/>
      <w:r w:rsidRPr="00D528E0">
        <w:rPr>
          <w:rFonts w:ascii="Times New Roman" w:hAnsi="Times New Roman" w:cs="Times New Roman"/>
          <w:sz w:val="24"/>
          <w:szCs w:val="24"/>
          <w:lang w:val="en-GB"/>
        </w:rPr>
        <w:t>Stolarek</w:t>
      </w:r>
      <w:proofErr w:type="spellEnd"/>
      <w:r w:rsidRPr="00D528E0">
        <w:rPr>
          <w:rFonts w:ascii="Times New Roman" w:hAnsi="Times New Roman" w:cs="Times New Roman"/>
          <w:sz w:val="24"/>
          <w:szCs w:val="24"/>
          <w:lang w:val="en-GB"/>
        </w:rPr>
        <w:t xml:space="preserve"> w, </w:t>
      </w:r>
      <w:proofErr w:type="spellStart"/>
      <w:r w:rsidRPr="00D528E0">
        <w:rPr>
          <w:rFonts w:ascii="Times New Roman" w:hAnsi="Times New Roman" w:cs="Times New Roman"/>
          <w:sz w:val="24"/>
          <w:szCs w:val="24"/>
          <w:lang w:val="en-GB"/>
        </w:rPr>
        <w:t>Pietrzykowski</w:t>
      </w:r>
      <w:proofErr w:type="spellEnd"/>
      <w:r w:rsidRPr="00D528E0">
        <w:rPr>
          <w:rFonts w:ascii="Times New Roman" w:hAnsi="Times New Roman" w:cs="Times New Roman"/>
          <w:sz w:val="24"/>
          <w:szCs w:val="24"/>
          <w:lang w:val="en-GB"/>
        </w:rPr>
        <w:t xml:space="preserve"> Ł, </w:t>
      </w:r>
      <w:proofErr w:type="spellStart"/>
      <w:r w:rsidRPr="00D528E0">
        <w:rPr>
          <w:rFonts w:ascii="Times New Roman" w:hAnsi="Times New Roman" w:cs="Times New Roman"/>
          <w:sz w:val="24"/>
          <w:szCs w:val="24"/>
          <w:lang w:val="en-GB"/>
        </w:rPr>
        <w:t>Andruszkiewicz</w:t>
      </w:r>
      <w:proofErr w:type="spellEnd"/>
      <w:r w:rsidRPr="00D528E0">
        <w:rPr>
          <w:rFonts w:ascii="Times New Roman" w:hAnsi="Times New Roman" w:cs="Times New Roman"/>
          <w:sz w:val="24"/>
          <w:szCs w:val="24"/>
          <w:lang w:val="en-GB"/>
        </w:rPr>
        <w:t xml:space="preserve"> A, </w:t>
      </w:r>
      <w:proofErr w:type="spellStart"/>
      <w:r w:rsidRPr="00D528E0">
        <w:rPr>
          <w:rFonts w:ascii="Times New Roman" w:hAnsi="Times New Roman" w:cs="Times New Roman"/>
          <w:sz w:val="24"/>
          <w:szCs w:val="24"/>
          <w:lang w:val="en-GB"/>
        </w:rPr>
        <w:t>Kubica</w:t>
      </w:r>
      <w:proofErr w:type="spellEnd"/>
      <w:r w:rsidRPr="00D528E0">
        <w:rPr>
          <w:rFonts w:ascii="Times New Roman" w:hAnsi="Times New Roman" w:cs="Times New Roman"/>
          <w:sz w:val="24"/>
          <w:szCs w:val="24"/>
          <w:lang w:val="en-GB"/>
        </w:rPr>
        <w:t xml:space="preserve"> A. The Adherence Scale in Chronic Diseases (ASCD). </w:t>
      </w:r>
      <w:r w:rsidRPr="00D528E0">
        <w:rPr>
          <w:rFonts w:ascii="Times New Roman" w:hAnsi="Times New Roman" w:cs="Times New Roman"/>
          <w:sz w:val="24"/>
          <w:szCs w:val="24"/>
          <w:lang w:val="en-US"/>
        </w:rPr>
        <w:t xml:space="preserve">The power of knowledge: the key to successful patient — health care provider cooperation. </w:t>
      </w:r>
      <w:r w:rsidRPr="00D528E0">
        <w:rPr>
          <w:rFonts w:ascii="Times New Roman" w:hAnsi="Times New Roman" w:cs="Times New Roman"/>
          <w:i/>
          <w:sz w:val="24"/>
          <w:szCs w:val="24"/>
          <w:lang w:val="en-US"/>
        </w:rPr>
        <w:t>Med Res J</w:t>
      </w:r>
      <w:r w:rsidRPr="00D528E0">
        <w:rPr>
          <w:rFonts w:ascii="Times New Roman" w:hAnsi="Times New Roman" w:cs="Times New Roman"/>
          <w:sz w:val="24"/>
          <w:szCs w:val="24"/>
          <w:lang w:val="en-US"/>
        </w:rPr>
        <w:t xml:space="preserve"> 2016;</w:t>
      </w:r>
      <w:r w:rsidRPr="00D528E0">
        <w:rPr>
          <w:rFonts w:ascii="Times New Roman" w:hAnsi="Times New Roman" w:cs="Times New Roman"/>
          <w:b/>
          <w:sz w:val="24"/>
          <w:szCs w:val="24"/>
          <w:lang w:val="en-US"/>
        </w:rPr>
        <w:t>1</w:t>
      </w:r>
      <w:r w:rsidRPr="00D528E0">
        <w:rPr>
          <w:rFonts w:ascii="Times New Roman" w:hAnsi="Times New Roman" w:cs="Times New Roman"/>
          <w:sz w:val="24"/>
          <w:szCs w:val="24"/>
          <w:lang w:val="en-US"/>
        </w:rPr>
        <w:t>:37-42.</w:t>
      </w:r>
    </w:p>
    <w:p w:rsidR="00DC4052" w:rsidRPr="00D528E0" w:rsidRDefault="0094190C" w:rsidP="00F70225">
      <w:pPr>
        <w:spacing w:line="480" w:lineRule="auto"/>
        <w:jc w:val="both"/>
        <w:rPr>
          <w:rFonts w:ascii="Times New Roman" w:hAnsi="Times New Roman" w:cs="Times New Roman"/>
          <w:sz w:val="24"/>
          <w:szCs w:val="24"/>
          <w:lang w:val="en-US"/>
        </w:rPr>
      </w:pPr>
      <w:r w:rsidRPr="00D528E0">
        <w:rPr>
          <w:rFonts w:ascii="Times New Roman" w:hAnsi="Times New Roman" w:cs="Times New Roman"/>
          <w:sz w:val="24"/>
          <w:szCs w:val="24"/>
          <w:lang w:val="en-US"/>
        </w:rPr>
        <w:t xml:space="preserve">S6. </w:t>
      </w:r>
      <w:proofErr w:type="spellStart"/>
      <w:r w:rsidRPr="00D528E0">
        <w:rPr>
          <w:rFonts w:ascii="Times New Roman" w:hAnsi="Times New Roman" w:cs="Times New Roman"/>
          <w:sz w:val="24"/>
          <w:szCs w:val="24"/>
          <w:lang w:val="en-US"/>
        </w:rPr>
        <w:t>Kubica</w:t>
      </w:r>
      <w:proofErr w:type="spellEnd"/>
      <w:r w:rsidRPr="00D528E0">
        <w:rPr>
          <w:rFonts w:ascii="Times New Roman" w:hAnsi="Times New Roman" w:cs="Times New Roman"/>
          <w:sz w:val="24"/>
          <w:szCs w:val="24"/>
          <w:lang w:val="en-US"/>
        </w:rPr>
        <w:t xml:space="preserve"> A, Adamski P, </w:t>
      </w:r>
      <w:proofErr w:type="spellStart"/>
      <w:r w:rsidRPr="00D528E0">
        <w:rPr>
          <w:rFonts w:ascii="Times New Roman" w:hAnsi="Times New Roman" w:cs="Times New Roman"/>
          <w:sz w:val="24"/>
          <w:szCs w:val="24"/>
          <w:lang w:val="en-US"/>
        </w:rPr>
        <w:t>Bączkowska</w:t>
      </w:r>
      <w:proofErr w:type="spellEnd"/>
      <w:r w:rsidRPr="00D528E0">
        <w:rPr>
          <w:rFonts w:ascii="Times New Roman" w:hAnsi="Times New Roman" w:cs="Times New Roman"/>
          <w:sz w:val="24"/>
          <w:szCs w:val="24"/>
          <w:lang w:val="en-US"/>
        </w:rPr>
        <w:t xml:space="preserve"> A, </w:t>
      </w:r>
      <w:proofErr w:type="spellStart"/>
      <w:r w:rsidRPr="00D528E0">
        <w:rPr>
          <w:rFonts w:ascii="Times New Roman" w:hAnsi="Times New Roman" w:cs="Times New Roman"/>
          <w:sz w:val="24"/>
          <w:szCs w:val="24"/>
          <w:lang w:val="en-US"/>
        </w:rPr>
        <w:t>Czarnecki</w:t>
      </w:r>
      <w:proofErr w:type="spellEnd"/>
      <w:r w:rsidRPr="00D528E0">
        <w:rPr>
          <w:rFonts w:ascii="Times New Roman" w:hAnsi="Times New Roman" w:cs="Times New Roman"/>
          <w:sz w:val="24"/>
          <w:szCs w:val="24"/>
          <w:lang w:val="en-US"/>
        </w:rPr>
        <w:t xml:space="preserve"> D, </w:t>
      </w:r>
      <w:proofErr w:type="spellStart"/>
      <w:r w:rsidRPr="00D528E0">
        <w:rPr>
          <w:rFonts w:ascii="Times New Roman" w:hAnsi="Times New Roman" w:cs="Times New Roman"/>
          <w:sz w:val="24"/>
          <w:szCs w:val="24"/>
          <w:lang w:val="en-US"/>
        </w:rPr>
        <w:t>Derewiecki</w:t>
      </w:r>
      <w:proofErr w:type="spellEnd"/>
      <w:r w:rsidRPr="00D528E0">
        <w:rPr>
          <w:rFonts w:ascii="Times New Roman" w:hAnsi="Times New Roman" w:cs="Times New Roman"/>
          <w:sz w:val="24"/>
          <w:szCs w:val="24"/>
          <w:lang w:val="en-US"/>
        </w:rPr>
        <w:t xml:space="preserve"> T, </w:t>
      </w:r>
      <w:proofErr w:type="spellStart"/>
      <w:r w:rsidRPr="00D528E0">
        <w:rPr>
          <w:rFonts w:ascii="Times New Roman" w:hAnsi="Times New Roman" w:cs="Times New Roman"/>
          <w:sz w:val="24"/>
          <w:szCs w:val="24"/>
          <w:lang w:val="en-US"/>
        </w:rPr>
        <w:t>Donderski</w:t>
      </w:r>
      <w:proofErr w:type="spellEnd"/>
      <w:r w:rsidRPr="00D528E0">
        <w:rPr>
          <w:rFonts w:ascii="Times New Roman" w:hAnsi="Times New Roman" w:cs="Times New Roman"/>
          <w:sz w:val="24"/>
          <w:szCs w:val="24"/>
          <w:lang w:val="en-US"/>
        </w:rPr>
        <w:t xml:space="preserve"> R, </w:t>
      </w:r>
      <w:proofErr w:type="spellStart"/>
      <w:r w:rsidRPr="00D528E0">
        <w:rPr>
          <w:rFonts w:ascii="Times New Roman" w:hAnsi="Times New Roman" w:cs="Times New Roman"/>
          <w:sz w:val="24"/>
          <w:szCs w:val="24"/>
          <w:lang w:val="en-US"/>
        </w:rPr>
        <w:t>Grzechowiak</w:t>
      </w:r>
      <w:proofErr w:type="spellEnd"/>
      <w:r w:rsidRPr="00D528E0">
        <w:rPr>
          <w:rFonts w:ascii="Times New Roman" w:hAnsi="Times New Roman" w:cs="Times New Roman"/>
          <w:sz w:val="24"/>
          <w:szCs w:val="24"/>
          <w:lang w:val="en-US"/>
        </w:rPr>
        <w:t xml:space="preserve"> E, </w:t>
      </w:r>
      <w:proofErr w:type="spellStart"/>
      <w:r w:rsidRPr="00D528E0">
        <w:rPr>
          <w:rFonts w:ascii="Times New Roman" w:hAnsi="Times New Roman" w:cs="Times New Roman"/>
          <w:sz w:val="24"/>
          <w:szCs w:val="24"/>
          <w:lang w:val="en-US"/>
        </w:rPr>
        <w:t>Jasiewicz</w:t>
      </w:r>
      <w:proofErr w:type="spellEnd"/>
      <w:r w:rsidRPr="00D528E0">
        <w:rPr>
          <w:rFonts w:ascii="Times New Roman" w:hAnsi="Times New Roman" w:cs="Times New Roman"/>
          <w:sz w:val="24"/>
          <w:szCs w:val="24"/>
          <w:lang w:val="en-US"/>
        </w:rPr>
        <w:t xml:space="preserve"> M, </w:t>
      </w:r>
      <w:proofErr w:type="spellStart"/>
      <w:r w:rsidRPr="00D528E0">
        <w:rPr>
          <w:rFonts w:ascii="Times New Roman" w:hAnsi="Times New Roman" w:cs="Times New Roman"/>
          <w:sz w:val="24"/>
          <w:szCs w:val="24"/>
          <w:lang w:val="en-US"/>
        </w:rPr>
        <w:t>Kleinrok</w:t>
      </w:r>
      <w:proofErr w:type="spellEnd"/>
      <w:r w:rsidRPr="00D528E0">
        <w:rPr>
          <w:rFonts w:ascii="Times New Roman" w:hAnsi="Times New Roman" w:cs="Times New Roman"/>
          <w:sz w:val="24"/>
          <w:szCs w:val="24"/>
          <w:lang w:val="en-US"/>
        </w:rPr>
        <w:t xml:space="preserve"> A, </w:t>
      </w:r>
      <w:proofErr w:type="spellStart"/>
      <w:r w:rsidRPr="00D528E0">
        <w:rPr>
          <w:rFonts w:ascii="Times New Roman" w:hAnsi="Times New Roman" w:cs="Times New Roman"/>
          <w:sz w:val="24"/>
          <w:szCs w:val="24"/>
          <w:lang w:val="en-US"/>
        </w:rPr>
        <w:t>Kozera</w:t>
      </w:r>
      <w:proofErr w:type="spellEnd"/>
      <w:r w:rsidRPr="00D528E0">
        <w:rPr>
          <w:rFonts w:ascii="Times New Roman" w:hAnsi="Times New Roman" w:cs="Times New Roman"/>
          <w:sz w:val="24"/>
          <w:szCs w:val="24"/>
          <w:lang w:val="en-US"/>
        </w:rPr>
        <w:t xml:space="preserve"> A, </w:t>
      </w:r>
      <w:proofErr w:type="spellStart"/>
      <w:r w:rsidRPr="00D528E0">
        <w:rPr>
          <w:rFonts w:ascii="Times New Roman" w:hAnsi="Times New Roman" w:cs="Times New Roman"/>
          <w:sz w:val="24"/>
          <w:szCs w:val="24"/>
          <w:lang w:val="en-US"/>
        </w:rPr>
        <w:t>Michalski</w:t>
      </w:r>
      <w:proofErr w:type="spellEnd"/>
      <w:r w:rsidRPr="00D528E0">
        <w:rPr>
          <w:rFonts w:ascii="Times New Roman" w:hAnsi="Times New Roman" w:cs="Times New Roman"/>
          <w:sz w:val="24"/>
          <w:szCs w:val="24"/>
          <w:lang w:val="en-US"/>
        </w:rPr>
        <w:t xml:space="preserve"> P, </w:t>
      </w:r>
      <w:proofErr w:type="spellStart"/>
      <w:r w:rsidRPr="00D528E0">
        <w:rPr>
          <w:rFonts w:ascii="Times New Roman" w:hAnsi="Times New Roman" w:cs="Times New Roman"/>
          <w:sz w:val="24"/>
          <w:szCs w:val="24"/>
          <w:lang w:val="en-US"/>
        </w:rPr>
        <w:t>Sulikowska</w:t>
      </w:r>
      <w:proofErr w:type="spellEnd"/>
      <w:r w:rsidRPr="00D528E0">
        <w:rPr>
          <w:rFonts w:ascii="Times New Roman" w:hAnsi="Times New Roman" w:cs="Times New Roman"/>
          <w:sz w:val="24"/>
          <w:szCs w:val="24"/>
          <w:lang w:val="en-US"/>
        </w:rPr>
        <w:t xml:space="preserve"> B, </w:t>
      </w:r>
      <w:proofErr w:type="spellStart"/>
      <w:r w:rsidRPr="00D528E0">
        <w:rPr>
          <w:rFonts w:ascii="Times New Roman" w:hAnsi="Times New Roman" w:cs="Times New Roman"/>
          <w:sz w:val="24"/>
          <w:szCs w:val="24"/>
          <w:lang w:val="en-US"/>
        </w:rPr>
        <w:t>Szeremeta</w:t>
      </w:r>
      <w:proofErr w:type="spellEnd"/>
      <w:r w:rsidRPr="00D528E0">
        <w:rPr>
          <w:rFonts w:ascii="Times New Roman" w:hAnsi="Times New Roman" w:cs="Times New Roman"/>
          <w:sz w:val="24"/>
          <w:szCs w:val="24"/>
          <w:lang w:val="en-US"/>
        </w:rPr>
        <w:t xml:space="preserve"> E, </w:t>
      </w:r>
      <w:proofErr w:type="spellStart"/>
      <w:r w:rsidRPr="00D528E0">
        <w:rPr>
          <w:rFonts w:ascii="Times New Roman" w:hAnsi="Times New Roman" w:cs="Times New Roman"/>
          <w:sz w:val="24"/>
          <w:szCs w:val="24"/>
          <w:lang w:val="en-US"/>
        </w:rPr>
        <w:t>Umińska</w:t>
      </w:r>
      <w:proofErr w:type="spellEnd"/>
      <w:r w:rsidRPr="00D528E0">
        <w:rPr>
          <w:rFonts w:ascii="Times New Roman" w:hAnsi="Times New Roman" w:cs="Times New Roman"/>
          <w:sz w:val="24"/>
          <w:szCs w:val="24"/>
          <w:lang w:val="en-US"/>
        </w:rPr>
        <w:t xml:space="preserve"> J, </w:t>
      </w:r>
      <w:proofErr w:type="spellStart"/>
      <w:r w:rsidRPr="00D528E0">
        <w:rPr>
          <w:rFonts w:ascii="Times New Roman" w:hAnsi="Times New Roman" w:cs="Times New Roman"/>
          <w:sz w:val="24"/>
          <w:szCs w:val="24"/>
          <w:lang w:val="en-US"/>
        </w:rPr>
        <w:t>Ulaszewska</w:t>
      </w:r>
      <w:proofErr w:type="spellEnd"/>
      <w:r w:rsidRPr="00D528E0">
        <w:rPr>
          <w:rFonts w:ascii="Times New Roman" w:hAnsi="Times New Roman" w:cs="Times New Roman"/>
          <w:sz w:val="24"/>
          <w:szCs w:val="24"/>
          <w:lang w:val="en-US"/>
        </w:rPr>
        <w:t xml:space="preserve"> K, </w:t>
      </w:r>
      <w:proofErr w:type="spellStart"/>
      <w:r w:rsidRPr="00D528E0">
        <w:rPr>
          <w:rFonts w:ascii="Times New Roman" w:hAnsi="Times New Roman" w:cs="Times New Roman"/>
          <w:sz w:val="24"/>
          <w:szCs w:val="24"/>
          <w:lang w:val="en-US"/>
        </w:rPr>
        <w:t>Ziółkowski</w:t>
      </w:r>
      <w:proofErr w:type="spellEnd"/>
      <w:r w:rsidRPr="00D528E0">
        <w:rPr>
          <w:rFonts w:ascii="Times New Roman" w:hAnsi="Times New Roman" w:cs="Times New Roman"/>
          <w:sz w:val="24"/>
          <w:szCs w:val="24"/>
          <w:lang w:val="en-US"/>
        </w:rPr>
        <w:t xml:space="preserve"> M, </w:t>
      </w:r>
      <w:proofErr w:type="spellStart"/>
      <w:r w:rsidRPr="00D528E0">
        <w:rPr>
          <w:rFonts w:ascii="Times New Roman" w:hAnsi="Times New Roman" w:cs="Times New Roman"/>
          <w:sz w:val="24"/>
          <w:szCs w:val="24"/>
          <w:lang w:val="en-US"/>
        </w:rPr>
        <w:t>Kubica</w:t>
      </w:r>
      <w:proofErr w:type="spellEnd"/>
      <w:r w:rsidRPr="00D528E0">
        <w:rPr>
          <w:rFonts w:ascii="Times New Roman" w:hAnsi="Times New Roman" w:cs="Times New Roman"/>
          <w:sz w:val="24"/>
          <w:szCs w:val="24"/>
          <w:lang w:val="en-US"/>
        </w:rPr>
        <w:t xml:space="preserve"> J. The rationale for Multilevel Educational and Motivational Intervention in Patients after Myocardial Infarction (MEDMOTION) project is to support multicentre randomized clinical trial Evaluating Safety and Efficacy of Two Ticagrelor-based De-escalation Antiplatelet Strategies in Acute Coronary Syndrome (ELECTRA – SIRIO 2). Med Res J 2020; 5(4): 244-249.</w:t>
      </w:r>
    </w:p>
    <w:sectPr w:rsidR="00DC4052" w:rsidRPr="00D528E0" w:rsidSect="0060758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6C8" w:rsidRDefault="004976C8" w:rsidP="00F70225">
      <w:pPr>
        <w:spacing w:after="0" w:line="240" w:lineRule="auto"/>
      </w:pPr>
      <w:r>
        <w:separator/>
      </w:r>
    </w:p>
  </w:endnote>
  <w:endnote w:type="continuationSeparator" w:id="0">
    <w:p w:rsidR="004976C8" w:rsidRDefault="004976C8" w:rsidP="00F70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078337"/>
      <w:docPartObj>
        <w:docPartGallery w:val="Page Numbers (Bottom of Page)"/>
        <w:docPartUnique/>
      </w:docPartObj>
    </w:sdtPr>
    <w:sdtContent>
      <w:p w:rsidR="00325170" w:rsidRDefault="00006B7C">
        <w:pPr>
          <w:pStyle w:val="Stopka"/>
          <w:jc w:val="right"/>
        </w:pPr>
        <w:fldSimple w:instr=" PAGE   \* MERGEFORMAT ">
          <w:r w:rsidR="00BD187B">
            <w:rPr>
              <w:noProof/>
            </w:rPr>
            <w:t>1</w:t>
          </w:r>
        </w:fldSimple>
      </w:p>
    </w:sdtContent>
  </w:sdt>
  <w:p w:rsidR="00325170" w:rsidRDefault="003251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6C8" w:rsidRDefault="004976C8" w:rsidP="00F70225">
      <w:pPr>
        <w:spacing w:after="0" w:line="240" w:lineRule="auto"/>
      </w:pPr>
      <w:r>
        <w:separator/>
      </w:r>
    </w:p>
  </w:footnote>
  <w:footnote w:type="continuationSeparator" w:id="0">
    <w:p w:rsidR="004976C8" w:rsidRDefault="004976C8" w:rsidP="00F702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580"/>
    <w:multiLevelType w:val="hybridMultilevel"/>
    <w:tmpl w:val="3D2A0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3F30DE"/>
    <w:multiLevelType w:val="hybridMultilevel"/>
    <w:tmpl w:val="E0C6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1011D6"/>
    <w:rsid w:val="00006B7C"/>
    <w:rsid w:val="000A026D"/>
    <w:rsid w:val="001011D6"/>
    <w:rsid w:val="00120F70"/>
    <w:rsid w:val="00145447"/>
    <w:rsid w:val="00171066"/>
    <w:rsid w:val="002B1F48"/>
    <w:rsid w:val="002C7680"/>
    <w:rsid w:val="00325170"/>
    <w:rsid w:val="0038627A"/>
    <w:rsid w:val="003F6997"/>
    <w:rsid w:val="004976C8"/>
    <w:rsid w:val="004B157B"/>
    <w:rsid w:val="0057129A"/>
    <w:rsid w:val="005B0CFA"/>
    <w:rsid w:val="00607586"/>
    <w:rsid w:val="006419B1"/>
    <w:rsid w:val="00702C03"/>
    <w:rsid w:val="007E080C"/>
    <w:rsid w:val="00816A8A"/>
    <w:rsid w:val="00841791"/>
    <w:rsid w:val="008A351B"/>
    <w:rsid w:val="009375CE"/>
    <w:rsid w:val="0094190C"/>
    <w:rsid w:val="00A83AA1"/>
    <w:rsid w:val="00BC775A"/>
    <w:rsid w:val="00BD187B"/>
    <w:rsid w:val="00CD62C8"/>
    <w:rsid w:val="00CF36F6"/>
    <w:rsid w:val="00D407BC"/>
    <w:rsid w:val="00D528E0"/>
    <w:rsid w:val="00D65299"/>
    <w:rsid w:val="00DC4052"/>
    <w:rsid w:val="00E7433A"/>
    <w:rsid w:val="00E74D63"/>
    <w:rsid w:val="00F17559"/>
    <w:rsid w:val="00F32EB1"/>
    <w:rsid w:val="00F70225"/>
    <w:rsid w:val="00F70C4C"/>
    <w:rsid w:val="00F944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7586"/>
  </w:style>
  <w:style w:type="paragraph" w:styleId="Nagwek3">
    <w:name w:val="heading 3"/>
    <w:basedOn w:val="Normalny"/>
    <w:next w:val="Normalny"/>
    <w:link w:val="Nagwek3Znak"/>
    <w:uiPriority w:val="9"/>
    <w:semiHidden/>
    <w:unhideWhenUsed/>
    <w:qFormat/>
    <w:rsid w:val="00F32EB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forms-label">
    <w:name w:val="xforms-label"/>
    <w:basedOn w:val="Domylnaczcionkaakapitu"/>
    <w:rsid w:val="0057129A"/>
  </w:style>
  <w:style w:type="paragraph" w:styleId="NormalnyWeb">
    <w:name w:val="Normal (Web)"/>
    <w:basedOn w:val="Normalny"/>
    <w:uiPriority w:val="99"/>
    <w:unhideWhenUsed/>
    <w:rsid w:val="006419B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prefix2">
    <w:name w:val="prefix_2"/>
    <w:basedOn w:val="Domylnaczcionkaakapitu"/>
    <w:rsid w:val="00F70C4C"/>
  </w:style>
  <w:style w:type="character" w:styleId="Odwoaniedokomentarza">
    <w:name w:val="annotation reference"/>
    <w:uiPriority w:val="99"/>
    <w:semiHidden/>
    <w:unhideWhenUsed/>
    <w:rsid w:val="003F6997"/>
    <w:rPr>
      <w:sz w:val="16"/>
      <w:szCs w:val="16"/>
    </w:rPr>
  </w:style>
  <w:style w:type="paragraph" w:styleId="Tekstkomentarza">
    <w:name w:val="annotation text"/>
    <w:basedOn w:val="Normalny"/>
    <w:link w:val="TekstkomentarzaZnak"/>
    <w:uiPriority w:val="99"/>
    <w:unhideWhenUsed/>
    <w:rsid w:val="003F6997"/>
    <w:pPr>
      <w:spacing w:after="0" w:line="240" w:lineRule="auto"/>
    </w:pPr>
    <w:rPr>
      <w:rFonts w:ascii="Cambria" w:eastAsia="MS Mincho" w:hAnsi="Cambria" w:cs="Times New Roman"/>
      <w:sz w:val="20"/>
      <w:szCs w:val="20"/>
      <w:lang w:eastAsia="pl-PL"/>
    </w:rPr>
  </w:style>
  <w:style w:type="character" w:customStyle="1" w:styleId="TekstkomentarzaZnak">
    <w:name w:val="Tekst komentarza Znak"/>
    <w:basedOn w:val="Domylnaczcionkaakapitu"/>
    <w:link w:val="Tekstkomentarza"/>
    <w:uiPriority w:val="99"/>
    <w:rsid w:val="003F6997"/>
    <w:rPr>
      <w:rFonts w:ascii="Cambria" w:eastAsia="MS Mincho" w:hAnsi="Cambria" w:cs="Times New Roman"/>
      <w:sz w:val="20"/>
      <w:szCs w:val="20"/>
      <w:lang w:eastAsia="pl-PL"/>
    </w:rPr>
  </w:style>
  <w:style w:type="paragraph" w:styleId="Tekstdymka">
    <w:name w:val="Balloon Text"/>
    <w:basedOn w:val="Normalny"/>
    <w:link w:val="TekstdymkaZnak"/>
    <w:uiPriority w:val="99"/>
    <w:semiHidden/>
    <w:unhideWhenUsed/>
    <w:rsid w:val="003F69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6997"/>
    <w:rPr>
      <w:rFonts w:ascii="Tahoma" w:hAnsi="Tahoma" w:cs="Tahoma"/>
      <w:sz w:val="16"/>
      <w:szCs w:val="16"/>
    </w:rPr>
  </w:style>
  <w:style w:type="character" w:customStyle="1" w:styleId="Nagwek3Znak">
    <w:name w:val="Nagłówek 3 Znak"/>
    <w:basedOn w:val="Domylnaczcionkaakapitu"/>
    <w:link w:val="Nagwek3"/>
    <w:uiPriority w:val="9"/>
    <w:semiHidden/>
    <w:rsid w:val="00F32EB1"/>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8A351B"/>
    <w:pPr>
      <w:ind w:left="720"/>
      <w:contextualSpacing/>
    </w:pPr>
  </w:style>
  <w:style w:type="character" w:customStyle="1" w:styleId="apple-converted-space">
    <w:name w:val="apple-converted-space"/>
    <w:rsid w:val="00DC4052"/>
  </w:style>
  <w:style w:type="paragraph" w:customStyle="1" w:styleId="desc">
    <w:name w:val="desc"/>
    <w:basedOn w:val="Normalny"/>
    <w:rsid w:val="00DC4052"/>
    <w:pPr>
      <w:spacing w:before="100" w:beforeAutospacing="1" w:after="100" w:afterAutospacing="1" w:line="240" w:lineRule="auto"/>
    </w:pPr>
    <w:rPr>
      <w:rFonts w:ascii="Times" w:eastAsia="MS Mincho" w:hAnsi="Times" w:cs="Times New Roman"/>
      <w:sz w:val="20"/>
      <w:szCs w:val="20"/>
      <w:lang w:val="cs-CZ" w:eastAsia="pl-PL"/>
    </w:rPr>
  </w:style>
  <w:style w:type="paragraph" w:styleId="Nagwek">
    <w:name w:val="header"/>
    <w:basedOn w:val="Normalny"/>
    <w:link w:val="NagwekZnak"/>
    <w:uiPriority w:val="99"/>
    <w:semiHidden/>
    <w:unhideWhenUsed/>
    <w:rsid w:val="00F7022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0225"/>
  </w:style>
  <w:style w:type="paragraph" w:styleId="Stopka">
    <w:name w:val="footer"/>
    <w:basedOn w:val="Normalny"/>
    <w:link w:val="StopkaZnak"/>
    <w:uiPriority w:val="99"/>
    <w:unhideWhenUsed/>
    <w:rsid w:val="00F702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02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4E301-130F-478C-8F92-F3FFF08A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1410</Words>
  <Characters>8463</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Piotrek</dc:creator>
  <cp:lastModifiedBy>Piotrek</cp:lastModifiedBy>
  <cp:revision>9</cp:revision>
  <dcterms:created xsi:type="dcterms:W3CDTF">2021-01-30T21:14:00Z</dcterms:created>
  <dcterms:modified xsi:type="dcterms:W3CDTF">2021-03-15T23:05:00Z</dcterms:modified>
</cp:coreProperties>
</file>