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2"/>
        </w:rPr>
      </w:pPr>
      <w:r>
        <w:rPr>
          <w:rFonts w:ascii="Times New Roman" w:hAnsi="Times New Roman" w:cs="Times New Roman"/>
          <w:b/>
          <w:sz w:val="24"/>
          <w:szCs w:val="22"/>
        </w:rPr>
        <w:t>Supplementary material</w:t>
      </w:r>
    </w:p>
    <w:p>
      <w:pPr>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Table S1-1 </w:t>
      </w:r>
      <w:r>
        <w:rPr>
          <w:rFonts w:ascii="Times New Roman" w:hAnsi="Times New Roman" w:cs="Times New Roman"/>
          <w:b/>
          <w:sz w:val="24"/>
          <w:szCs w:val="24"/>
        </w:rPr>
        <w:t>C</w:t>
      </w:r>
      <w:r>
        <w:rPr>
          <w:rFonts w:hint="eastAsia" w:ascii="Times New Roman" w:hAnsi="Times New Roman" w:cs="Times New Roman"/>
          <w:b/>
          <w:sz w:val="24"/>
          <w:szCs w:val="24"/>
        </w:rPr>
        <w:t>haracteristics of included studies</w:t>
      </w:r>
    </w:p>
    <w:p>
      <w:pPr>
        <w:jc w:val="center"/>
        <w:rPr>
          <w:rFonts w:ascii="Times New Roman" w:hAnsi="Times New Roman" w:cs="Times New Roman"/>
          <w:b/>
          <w:sz w:val="32"/>
          <w:szCs w:val="28"/>
        </w:rPr>
      </w:pPr>
    </w:p>
    <w:tbl>
      <w:tblPr>
        <w:tblStyle w:val="6"/>
        <w:tblW w:w="14953"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19"/>
        <w:gridCol w:w="2268"/>
        <w:gridCol w:w="1134"/>
        <w:gridCol w:w="2126"/>
        <w:gridCol w:w="1276"/>
        <w:gridCol w:w="283"/>
        <w:gridCol w:w="2127"/>
        <w:gridCol w:w="992"/>
        <w:gridCol w:w="283"/>
        <w:gridCol w:w="13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119" w:type="dxa"/>
            <w:vMerge w:val="restart"/>
            <w:vAlign w:val="center"/>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Study</w:t>
            </w:r>
          </w:p>
        </w:tc>
        <w:tc>
          <w:tcPr>
            <w:tcW w:w="2268"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 xml:space="preserve"> PCSK9 inhibitors</w:t>
            </w:r>
          </w:p>
        </w:tc>
        <w:tc>
          <w:tcPr>
            <w:tcW w:w="1134"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3402" w:type="dxa"/>
            <w:gridSpan w:val="2"/>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Mean age(years)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3119" w:type="dxa"/>
            <w:gridSpan w:val="2"/>
          </w:tcPr>
          <w:p>
            <w:pPr>
              <w:spacing w:line="300" w:lineRule="exact"/>
              <w:jc w:val="center"/>
              <w:rPr>
                <w:rFonts w:ascii="Times New Roman" w:hAnsi="Times New Roman" w:cs="Times New Roman"/>
                <w:b/>
                <w:bCs/>
                <w:sz w:val="24"/>
                <w:szCs w:val="24"/>
              </w:rPr>
            </w:pPr>
            <w:r>
              <w:rPr>
                <w:rFonts w:ascii="Times New Roman" w:hAnsi="Times New Roman" w:cs="Times New Roman"/>
                <w:b/>
                <w:sz w:val="24"/>
                <w:szCs w:val="24"/>
              </w:rPr>
              <w:t>No. of patients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1345" w:type="dxa"/>
            <w:vMerge w:val="restart"/>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 xml:space="preserve"> Follow</w:t>
            </w:r>
          </w:p>
          <w:p>
            <w:pPr>
              <w:spacing w:line="300" w:lineRule="exact"/>
              <w:jc w:val="center"/>
              <w:rPr>
                <w:rFonts w:ascii="Times New Roman" w:hAnsi="Times New Roman" w:cs="Times New Roman"/>
                <w:b/>
                <w:color w:val="000000" w:themeColor="text1" w:themeShade="BF"/>
                <w:sz w:val="24"/>
                <w:szCs w:val="24"/>
              </w:rPr>
            </w:pPr>
            <w:r>
              <w:rPr>
                <w:rFonts w:ascii="Times New Roman" w:hAnsi="Times New Roman" w:cs="Times New Roman"/>
                <w:b/>
                <w:sz w:val="24"/>
                <w:szCs w:val="24"/>
              </w:rPr>
              <w:t>up(</w:t>
            </w:r>
            <w:r>
              <w:rPr>
                <w:rFonts w:hint="eastAsia" w:ascii="Times New Roman" w:hAnsi="Times New Roman" w:cs="Times New Roman"/>
                <w:b/>
                <w:sz w:val="24"/>
                <w:szCs w:val="24"/>
              </w:rPr>
              <w:t>weeks</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119" w:type="dxa"/>
            <w:vMerge w:val="continue"/>
          </w:tcPr>
          <w:p>
            <w:pPr>
              <w:spacing w:line="300" w:lineRule="exact"/>
              <w:jc w:val="center"/>
              <w:rPr>
                <w:rFonts w:ascii="Times New Roman" w:hAnsi="Times New Roman" w:cs="Times New Roman"/>
                <w:b/>
                <w:sz w:val="24"/>
                <w:szCs w:val="24"/>
              </w:rPr>
            </w:pPr>
          </w:p>
        </w:tc>
        <w:tc>
          <w:tcPr>
            <w:tcW w:w="2268" w:type="dxa"/>
            <w:vMerge w:val="continue"/>
          </w:tcPr>
          <w:p>
            <w:pPr>
              <w:spacing w:line="300" w:lineRule="exact"/>
              <w:jc w:val="center"/>
              <w:rPr>
                <w:rFonts w:ascii="Times New Roman" w:hAnsi="Times New Roman" w:cs="Times New Roman"/>
                <w:b/>
                <w:sz w:val="24"/>
                <w:szCs w:val="24"/>
              </w:rPr>
            </w:pPr>
          </w:p>
        </w:tc>
        <w:tc>
          <w:tcPr>
            <w:tcW w:w="1134"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27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2127"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992"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1345" w:type="dxa"/>
            <w:vMerge w:val="continue"/>
          </w:tcPr>
          <w:p>
            <w:pPr>
              <w:spacing w:line="300" w:lineRule="exact"/>
              <w:jc w:val="center"/>
              <w:rPr>
                <w:rFonts w:ascii="Times New Roman" w:hAnsi="Times New Roman" w:cs="Times New Roman"/>
                <w:b/>
                <w:color w:val="000000" w:themeColor="text1"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ALTERNATIVE</w:t>
            </w:r>
            <w:r>
              <w:rPr>
                <w:rFonts w:hint="eastAsia" w:ascii="Times New Roman" w:hAnsi="Times New Roman" w:cs="Times New Roman"/>
                <w:b/>
                <w:szCs w:val="21"/>
              </w:rPr>
              <w:t xml:space="preserve"> [S1]</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 xml:space="preserve">alirocumab </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ezetimibe</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64.1±9.0</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62.8±10.1</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126</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125</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CHOICE I</w:t>
            </w:r>
            <w:r>
              <w:rPr>
                <w:rFonts w:hint="eastAsia" w:ascii="Times New Roman" w:hAnsi="Times New Roman" w:cs="Times New Roman"/>
                <w:b/>
                <w:szCs w:val="21"/>
              </w:rPr>
              <w:t xml:space="preserve"> [S2]</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alirocumab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300mg/4W</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61.6±10.0</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61.6±9.7</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312</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157</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CHOICE II</w:t>
            </w:r>
            <w:r>
              <w:rPr>
                <w:rFonts w:hint="eastAsia" w:ascii="Times New Roman" w:hAnsi="Times New Roman" w:cs="Times New Roman"/>
                <w:b/>
                <w:szCs w:val="21"/>
              </w:rPr>
              <w:t xml:space="preserve"> [S3]</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alirocumab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75mg/2W</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62.5±9.9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63.1±10.7</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116</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w:t>
            </w:r>
            <w:r>
              <w:rPr>
                <w:rFonts w:hint="eastAsia" w:ascii="Times New Roman" w:hAnsi="Times New Roman" w:cs="Times New Roman"/>
                <w:b/>
                <w:szCs w:val="21"/>
              </w:rPr>
              <w:t xml:space="preserve"> </w:t>
            </w:r>
            <w:r>
              <w:rPr>
                <w:rFonts w:ascii="Times New Roman" w:hAnsi="Times New Roman" w:cs="Times New Roman"/>
                <w:b/>
                <w:szCs w:val="21"/>
              </w:rPr>
              <w:t xml:space="preserve"> COMBO I</w:t>
            </w:r>
            <w:r>
              <w:rPr>
                <w:rFonts w:hint="eastAsia" w:ascii="Times New Roman" w:hAnsi="Times New Roman" w:cs="Times New Roman"/>
                <w:b/>
                <w:szCs w:val="21"/>
              </w:rPr>
              <w:t xml:space="preserve"> [S4]</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75mg/2W</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63.0±9.5</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63.0±8.8</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209</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107</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COMBO II</w:t>
            </w:r>
            <w:r>
              <w:rPr>
                <w:rFonts w:hint="eastAsia" w:ascii="Times New Roman" w:hAnsi="Times New Roman" w:cs="Times New Roman"/>
                <w:b/>
                <w:szCs w:val="21"/>
              </w:rPr>
              <w:t xml:space="preserve"> [S5]</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75mg/2W</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ezetimibe</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61.7±9.4</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61.3±9.2</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479</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241</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DM-DYSLIPIDEMIA</w:t>
            </w:r>
            <w:r>
              <w:rPr>
                <w:rFonts w:hint="eastAsia" w:ascii="Times New Roman" w:hAnsi="Times New Roman" w:cs="Times New Roman"/>
                <w:b/>
                <w:szCs w:val="21"/>
              </w:rPr>
              <w:t xml:space="preserve"> [S6]</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U</w:t>
            </w:r>
            <w:r>
              <w:rPr>
                <w:rFonts w:hint="eastAsia" w:ascii="Times New Roman" w:hAnsi="Times New Roman" w:cs="Times New Roman"/>
                <w:szCs w:val="21"/>
              </w:rPr>
              <w:t>sual care</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62.8±9.3</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64.1±8.8</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276</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137</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DM-INSULIN</w:t>
            </w:r>
            <w:r>
              <w:rPr>
                <w:rFonts w:hint="eastAsia" w:ascii="Times New Roman" w:hAnsi="Times New Roman" w:cs="Times New Roman"/>
                <w:b/>
                <w:szCs w:val="21"/>
              </w:rPr>
              <w:t xml:space="preserve"> [S7]</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63.9±8.9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64.0±9.4</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294</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147</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ESCAPE</w:t>
            </w:r>
            <w:r>
              <w:rPr>
                <w:rFonts w:hint="eastAsia" w:ascii="Times New Roman" w:hAnsi="Times New Roman" w:cs="Times New Roman"/>
                <w:b/>
                <w:szCs w:val="21"/>
              </w:rPr>
              <w:t xml:space="preserve"> [S8]</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59.5±9.2</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57.0±10.5</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41</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21</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FH I</w:t>
            </w:r>
            <w:r>
              <w:rPr>
                <w:rFonts w:hint="eastAsia" w:ascii="Times New Roman" w:hAnsi="Times New Roman" w:cs="Times New Roman"/>
                <w:b/>
                <w:szCs w:val="21"/>
              </w:rPr>
              <w:t xml:space="preserve"> [S9]</w:t>
            </w:r>
            <w:r>
              <w:rPr>
                <w:rFonts w:ascii="Times New Roman" w:hAnsi="Times New Roman" w:cs="Times New Roman"/>
                <w:b/>
                <w:szCs w:val="21"/>
              </w:rPr>
              <w:t xml:space="preserve"> </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52.1±12.9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51.7±12.3</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322</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163</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ascii="Times New Roman" w:hAnsi="Times New Roman" w:cs="Times New Roman"/>
                <w:b/>
                <w:szCs w:val="21"/>
              </w:rPr>
              <w:t>ODYSSEY FH II</w:t>
            </w:r>
            <w:r>
              <w:rPr>
                <w:rFonts w:hint="eastAsia" w:ascii="Times New Roman" w:hAnsi="Times New Roman" w:cs="Times New Roman"/>
                <w:b/>
                <w:szCs w:val="21"/>
              </w:rPr>
              <w:t xml:space="preserve"> [S9]</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53.2±12.9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53.2±12.5</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167</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82</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40" w:lineRule="exact"/>
              <w:jc w:val="left"/>
              <w:rPr>
                <w:rFonts w:ascii="Times New Roman" w:hAnsi="Times New Roman" w:cs="Times New Roman"/>
                <w:b/>
                <w:szCs w:val="21"/>
              </w:rPr>
            </w:pPr>
            <w:r>
              <w:rPr>
                <w:rFonts w:ascii="Times New Roman" w:hAnsi="Times New Roman" w:cs="Times New Roman"/>
                <w:b/>
                <w:szCs w:val="21"/>
              </w:rPr>
              <w:t xml:space="preserve">ODYSSEY </w:t>
            </w:r>
            <w:r>
              <w:rPr>
                <w:rFonts w:hint="eastAsia" w:ascii="Times New Roman" w:hAnsi="Times New Roman" w:cs="Times New Roman"/>
                <w:b/>
                <w:szCs w:val="21"/>
              </w:rPr>
              <w:t xml:space="preserve">HIGH </w:t>
            </w:r>
            <w:r>
              <w:rPr>
                <w:rFonts w:ascii="Times New Roman" w:hAnsi="Times New Roman" w:cs="Times New Roman"/>
                <w:b/>
                <w:szCs w:val="21"/>
              </w:rPr>
              <w:t>FH</w:t>
            </w:r>
            <w:r>
              <w:rPr>
                <w:rFonts w:hint="eastAsia" w:ascii="Times New Roman" w:hAnsi="Times New Roman" w:cs="Times New Roman"/>
                <w:b/>
                <w:szCs w:val="21"/>
              </w:rPr>
              <w:t xml:space="preserve"> [S10]</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134" w:type="dxa"/>
          </w:tcPr>
          <w:p>
            <w:pPr>
              <w:spacing w:line="34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49.8±14.2</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52.1±11.2</w:t>
            </w:r>
          </w:p>
        </w:tc>
        <w:tc>
          <w:tcPr>
            <w:tcW w:w="283" w:type="dxa"/>
          </w:tcPr>
          <w:p>
            <w:pPr>
              <w:spacing w:line="340" w:lineRule="exact"/>
              <w:jc w:val="center"/>
              <w:rPr>
                <w:rFonts w:ascii="Times New Roman" w:hAnsi="Times New Roman" w:cs="Times New Roman"/>
                <w:szCs w:val="21"/>
              </w:rPr>
            </w:pPr>
          </w:p>
        </w:tc>
        <w:tc>
          <w:tcPr>
            <w:tcW w:w="212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72</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35</w:t>
            </w:r>
          </w:p>
        </w:tc>
        <w:tc>
          <w:tcPr>
            <w:tcW w:w="283" w:type="dxa"/>
          </w:tcPr>
          <w:p>
            <w:pPr>
              <w:spacing w:line="340" w:lineRule="exact"/>
              <w:jc w:val="center"/>
              <w:rPr>
                <w:rFonts w:ascii="Times New Roman" w:hAnsi="Times New Roman" w:cs="Times New Roman"/>
                <w:szCs w:val="21"/>
              </w:rPr>
            </w:pPr>
          </w:p>
        </w:tc>
        <w:tc>
          <w:tcPr>
            <w:tcW w:w="1345"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bl>
    <w:p>
      <w:pPr>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Table S1-2 </w:t>
      </w:r>
      <w:r>
        <w:rPr>
          <w:rFonts w:ascii="Times New Roman" w:hAnsi="Times New Roman" w:cs="Times New Roman"/>
          <w:b/>
          <w:sz w:val="24"/>
          <w:szCs w:val="24"/>
        </w:rPr>
        <w:t>C</w:t>
      </w:r>
      <w:r>
        <w:rPr>
          <w:rFonts w:hint="eastAsia" w:ascii="Times New Roman" w:hAnsi="Times New Roman" w:cs="Times New Roman"/>
          <w:b/>
          <w:sz w:val="24"/>
          <w:szCs w:val="24"/>
        </w:rPr>
        <w:t>haracteristics of included studies</w:t>
      </w:r>
    </w:p>
    <w:p>
      <w:pPr>
        <w:jc w:val="center"/>
        <w:rPr>
          <w:rFonts w:ascii="Times New Roman" w:hAnsi="Times New Roman" w:cs="Times New Roman"/>
          <w:b/>
          <w:sz w:val="24"/>
          <w:szCs w:val="24"/>
        </w:rPr>
      </w:pPr>
    </w:p>
    <w:tbl>
      <w:tblPr>
        <w:tblStyle w:val="6"/>
        <w:tblW w:w="1516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19"/>
        <w:gridCol w:w="2268"/>
        <w:gridCol w:w="1276"/>
        <w:gridCol w:w="2126"/>
        <w:gridCol w:w="1276"/>
        <w:gridCol w:w="283"/>
        <w:gridCol w:w="2126"/>
        <w:gridCol w:w="993"/>
        <w:gridCol w:w="283"/>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119" w:type="dxa"/>
            <w:vMerge w:val="restart"/>
            <w:vAlign w:val="center"/>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Study</w:t>
            </w:r>
          </w:p>
        </w:tc>
        <w:tc>
          <w:tcPr>
            <w:tcW w:w="2268"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 xml:space="preserve"> PCSK9 inhibitors</w:t>
            </w:r>
          </w:p>
        </w:tc>
        <w:tc>
          <w:tcPr>
            <w:tcW w:w="1276"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3402" w:type="dxa"/>
            <w:gridSpan w:val="2"/>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Mean age(years)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3119" w:type="dxa"/>
            <w:gridSpan w:val="2"/>
          </w:tcPr>
          <w:p>
            <w:pPr>
              <w:spacing w:line="300" w:lineRule="exact"/>
              <w:jc w:val="center"/>
              <w:rPr>
                <w:rFonts w:ascii="Times New Roman" w:hAnsi="Times New Roman" w:cs="Times New Roman"/>
                <w:b/>
                <w:bCs/>
                <w:sz w:val="24"/>
                <w:szCs w:val="24"/>
              </w:rPr>
            </w:pPr>
            <w:r>
              <w:rPr>
                <w:rFonts w:ascii="Times New Roman" w:hAnsi="Times New Roman" w:cs="Times New Roman"/>
                <w:b/>
                <w:sz w:val="24"/>
                <w:szCs w:val="24"/>
              </w:rPr>
              <w:t>No. of patients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1418" w:type="dxa"/>
            <w:vMerge w:val="restart"/>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 xml:space="preserve"> Follow</w:t>
            </w:r>
          </w:p>
          <w:p>
            <w:pPr>
              <w:spacing w:line="300" w:lineRule="exact"/>
              <w:jc w:val="center"/>
              <w:rPr>
                <w:rFonts w:ascii="Times New Roman" w:hAnsi="Times New Roman" w:cs="Times New Roman"/>
                <w:b/>
                <w:color w:val="000000" w:themeColor="text1" w:themeShade="BF"/>
                <w:sz w:val="24"/>
                <w:szCs w:val="24"/>
              </w:rPr>
            </w:pPr>
            <w:r>
              <w:rPr>
                <w:rFonts w:ascii="Times New Roman" w:hAnsi="Times New Roman" w:cs="Times New Roman"/>
                <w:b/>
                <w:sz w:val="24"/>
                <w:szCs w:val="24"/>
              </w:rPr>
              <w:t>up(</w:t>
            </w:r>
            <w:r>
              <w:rPr>
                <w:rFonts w:hint="eastAsia" w:ascii="Times New Roman" w:hAnsi="Times New Roman" w:cs="Times New Roman"/>
                <w:b/>
                <w:sz w:val="24"/>
                <w:szCs w:val="24"/>
              </w:rPr>
              <w:t>weeks</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3119" w:type="dxa"/>
            <w:vMerge w:val="continue"/>
          </w:tcPr>
          <w:p>
            <w:pPr>
              <w:spacing w:line="300" w:lineRule="exact"/>
              <w:jc w:val="center"/>
              <w:rPr>
                <w:rFonts w:ascii="Times New Roman" w:hAnsi="Times New Roman" w:cs="Times New Roman"/>
                <w:b/>
                <w:sz w:val="24"/>
                <w:szCs w:val="24"/>
              </w:rPr>
            </w:pPr>
          </w:p>
        </w:tc>
        <w:tc>
          <w:tcPr>
            <w:tcW w:w="2268" w:type="dxa"/>
            <w:vMerge w:val="continue"/>
          </w:tcPr>
          <w:p>
            <w:pPr>
              <w:spacing w:line="300" w:lineRule="exact"/>
              <w:jc w:val="center"/>
              <w:rPr>
                <w:rFonts w:ascii="Times New Roman" w:hAnsi="Times New Roman" w:cs="Times New Roman"/>
                <w:b/>
                <w:sz w:val="24"/>
                <w:szCs w:val="24"/>
              </w:rPr>
            </w:pPr>
          </w:p>
        </w:tc>
        <w:tc>
          <w:tcPr>
            <w:tcW w:w="1276"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27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993"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1418" w:type="dxa"/>
            <w:vMerge w:val="continue"/>
          </w:tcPr>
          <w:p>
            <w:pPr>
              <w:spacing w:line="300" w:lineRule="exact"/>
              <w:jc w:val="center"/>
              <w:rPr>
                <w:rFonts w:ascii="Times New Roman" w:hAnsi="Times New Roman" w:cs="Times New Roman"/>
                <w:b/>
                <w:color w:val="000000" w:themeColor="text1"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JAPAN [S11]</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 xml:space="preserve">alirocumab </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60.3±9.7</w:t>
            </w:r>
          </w:p>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61.8±9.0</w:t>
            </w:r>
          </w:p>
          <w:p>
            <w:pPr>
              <w:spacing w:line="340" w:lineRule="exact"/>
              <w:jc w:val="center"/>
              <w:rPr>
                <w:rFonts w:ascii="Times New Roman" w:hAnsi="Times New Roman" w:cs="Times New Roman"/>
                <w:szCs w:val="21"/>
              </w:rPr>
            </w:pP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144</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KT [S12]</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alirocumab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61.2±10.4</w:t>
            </w:r>
          </w:p>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60.1±9.1</w:t>
            </w:r>
          </w:p>
          <w:p>
            <w:pPr>
              <w:spacing w:line="340" w:lineRule="exact"/>
              <w:jc w:val="center"/>
              <w:rPr>
                <w:rFonts w:ascii="Times New Roman" w:hAnsi="Times New Roman" w:cs="Times New Roman"/>
                <w:szCs w:val="21"/>
              </w:rPr>
            </w:pP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97</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102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LONG TERM [S13]</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alirocumab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60.4±10.4</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60.6±10.4</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1553</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788</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ascii="Times New Roman" w:hAnsi="Times New Roman" w:cs="Times New Roman"/>
                <w:color w:val="000000" w:themeColor="text1" w:themeShade="BF"/>
                <w:szCs w:val="21"/>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MONO [S14]</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75mg-150/2W</w:t>
            </w:r>
          </w:p>
        </w:tc>
        <w:tc>
          <w:tcPr>
            <w:tcW w:w="1276"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w:t>
            </w:r>
          </w:p>
          <w:p>
            <w:pPr>
              <w:spacing w:line="340" w:lineRule="exact"/>
              <w:jc w:val="center"/>
              <w:rPr>
                <w:rFonts w:ascii="Times New Roman" w:hAnsi="Times New Roman" w:cs="Times New Roman"/>
                <w:szCs w:val="21"/>
              </w:rPr>
            </w:pPr>
            <w:r>
              <w:rPr>
                <w:rFonts w:hint="eastAsia" w:ascii="Times New Roman" w:hAnsi="Times New Roman" w:cs="Times New Roman"/>
                <w:szCs w:val="21"/>
              </w:rPr>
              <w:t>10mg/d</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60.8±4.6</w:t>
            </w:r>
          </w:p>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59.6±5.3</w:t>
            </w:r>
          </w:p>
          <w:p>
            <w:pPr>
              <w:spacing w:line="340" w:lineRule="exact"/>
              <w:jc w:val="center"/>
              <w:rPr>
                <w:rFonts w:ascii="Times New Roman" w:hAnsi="Times New Roman" w:cs="Times New Roman"/>
                <w:szCs w:val="21"/>
              </w:rPr>
            </w:pP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47"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OPTIONS I [S15]</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75mg-150mg/2W</w:t>
            </w:r>
          </w:p>
        </w:tc>
        <w:tc>
          <w:tcPr>
            <w:tcW w:w="1276"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w:t>
            </w:r>
          </w:p>
          <w:p>
            <w:pPr>
              <w:spacing w:line="340" w:lineRule="exact"/>
              <w:jc w:val="center"/>
              <w:rPr>
                <w:rFonts w:ascii="Times New Roman" w:hAnsi="Times New Roman" w:cs="Times New Roman"/>
                <w:szCs w:val="21"/>
              </w:rPr>
            </w:pPr>
            <w:r>
              <w:rPr>
                <w:rFonts w:hint="eastAsia" w:ascii="Times New Roman" w:hAnsi="Times New Roman" w:cs="Times New Roman"/>
                <w:szCs w:val="21"/>
              </w:rPr>
              <w:t>10mg/d</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62.2±10.0</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65.7±9.0</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57</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55</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ODYSSEY OPTIONS II [S16]</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75mg-150mg/2W</w:t>
            </w:r>
          </w:p>
        </w:tc>
        <w:tc>
          <w:tcPr>
            <w:tcW w:w="1276"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w:t>
            </w:r>
          </w:p>
          <w:p>
            <w:pPr>
              <w:spacing w:line="340" w:lineRule="exact"/>
              <w:jc w:val="center"/>
              <w:rPr>
                <w:rFonts w:ascii="Times New Roman" w:hAnsi="Times New Roman" w:cs="Times New Roman"/>
                <w:szCs w:val="21"/>
              </w:rPr>
            </w:pPr>
            <w:r>
              <w:rPr>
                <w:rFonts w:hint="eastAsia" w:ascii="Times New Roman" w:hAnsi="Times New Roman" w:cs="Times New Roman"/>
                <w:szCs w:val="21"/>
              </w:rPr>
              <w:t>10mg/d</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62.2±11.1</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60.4±10.4</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49</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48</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ODSSEY OUTCOMES [S17]</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75mg-150mg/2W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58.5±9.3</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58.6±9.4</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9462</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9462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McKenney JM [S18]</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59.9±11.1</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53.3±8.5</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31</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31</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Teramoto T [S19]</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58.2±8.8</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58.6±9.2</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25</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25</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atLeast"/>
        </w:trPr>
        <w:tc>
          <w:tcPr>
            <w:tcW w:w="3119"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Stein EA [S20]</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56.3±10.2</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51.9±9.6</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16</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3119" w:type="dxa"/>
          </w:tcPr>
          <w:p>
            <w:pPr>
              <w:spacing w:line="340" w:lineRule="exact"/>
              <w:jc w:val="left"/>
              <w:rPr>
                <w:rFonts w:ascii="Times New Roman" w:hAnsi="Times New Roman" w:cs="Times New Roman"/>
                <w:b/>
                <w:szCs w:val="21"/>
              </w:rPr>
            </w:pPr>
            <w:r>
              <w:rPr>
                <w:rFonts w:hint="eastAsia" w:ascii="Times New Roman" w:hAnsi="Times New Roman" w:cs="Times New Roman"/>
                <w:b/>
                <w:szCs w:val="21"/>
              </w:rPr>
              <w:t>Roth EM [S21]</w:t>
            </w:r>
          </w:p>
          <w:p>
            <w:pPr>
              <w:spacing w:line="340" w:lineRule="exact"/>
              <w:jc w:val="left"/>
              <w:rPr>
                <w:rFonts w:ascii="Times New Roman" w:hAnsi="Times New Roman" w:cs="Times New Roman"/>
                <w:b/>
                <w:szCs w:val="21"/>
              </w:rPr>
            </w:pP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lirocumab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NR</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57.6±9.3</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55.3±10.3</w:t>
            </w:r>
          </w:p>
        </w:tc>
        <w:tc>
          <w:tcPr>
            <w:tcW w:w="283"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30</w:t>
            </w:r>
          </w:p>
        </w:tc>
        <w:tc>
          <w:tcPr>
            <w:tcW w:w="993"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31</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8</w:t>
            </w:r>
          </w:p>
        </w:tc>
      </w:tr>
    </w:tbl>
    <w:p>
      <w:pPr>
        <w:spacing w:line="480" w:lineRule="auto"/>
        <w:rPr>
          <w:rFonts w:ascii="Times New Roman" w:hAnsi="Times New Roman" w:cs="Times New Roman"/>
          <w:sz w:val="24"/>
          <w:szCs w:val="24"/>
        </w:rPr>
      </w:pPr>
    </w:p>
    <w:p>
      <w:pPr>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Table S1-3 </w:t>
      </w:r>
      <w:r>
        <w:rPr>
          <w:rFonts w:ascii="Times New Roman" w:hAnsi="Times New Roman" w:cs="Times New Roman"/>
          <w:b/>
          <w:sz w:val="24"/>
          <w:szCs w:val="24"/>
        </w:rPr>
        <w:t>C</w:t>
      </w:r>
      <w:r>
        <w:rPr>
          <w:rFonts w:hint="eastAsia" w:ascii="Times New Roman" w:hAnsi="Times New Roman" w:cs="Times New Roman"/>
          <w:b/>
          <w:sz w:val="24"/>
          <w:szCs w:val="24"/>
        </w:rPr>
        <w:t>haracteristics of included studies</w:t>
      </w:r>
    </w:p>
    <w:p>
      <w:pPr>
        <w:jc w:val="center"/>
        <w:rPr>
          <w:rFonts w:ascii="Times New Roman" w:hAnsi="Times New Roman" w:cs="Times New Roman"/>
          <w:b/>
          <w:sz w:val="24"/>
          <w:szCs w:val="24"/>
        </w:rPr>
      </w:pPr>
    </w:p>
    <w:tbl>
      <w:tblPr>
        <w:tblStyle w:val="6"/>
        <w:tblW w:w="1516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35"/>
        <w:gridCol w:w="2268"/>
        <w:gridCol w:w="1418"/>
        <w:gridCol w:w="2268"/>
        <w:gridCol w:w="1417"/>
        <w:gridCol w:w="284"/>
        <w:gridCol w:w="2126"/>
        <w:gridCol w:w="992"/>
        <w:gridCol w:w="284"/>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835" w:type="dxa"/>
            <w:vMerge w:val="restart"/>
            <w:vAlign w:val="center"/>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Study</w:t>
            </w:r>
          </w:p>
        </w:tc>
        <w:tc>
          <w:tcPr>
            <w:tcW w:w="2268"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418"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3685" w:type="dxa"/>
            <w:gridSpan w:val="2"/>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Mean age(years)</w:t>
            </w:r>
          </w:p>
        </w:tc>
        <w:tc>
          <w:tcPr>
            <w:tcW w:w="284"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3118" w:type="dxa"/>
            <w:gridSpan w:val="2"/>
          </w:tcPr>
          <w:p>
            <w:pPr>
              <w:spacing w:line="300" w:lineRule="exact"/>
              <w:jc w:val="center"/>
              <w:rPr>
                <w:rFonts w:ascii="Times New Roman" w:hAnsi="Times New Roman" w:cs="Times New Roman"/>
                <w:b/>
                <w:bCs/>
                <w:sz w:val="24"/>
                <w:szCs w:val="24"/>
              </w:rPr>
            </w:pPr>
            <w:r>
              <w:rPr>
                <w:rFonts w:ascii="Times New Roman" w:hAnsi="Times New Roman" w:cs="Times New Roman"/>
                <w:b/>
                <w:sz w:val="24"/>
                <w:szCs w:val="24"/>
              </w:rPr>
              <w:t>No. of patients</w:t>
            </w:r>
          </w:p>
        </w:tc>
        <w:tc>
          <w:tcPr>
            <w:tcW w:w="284"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1276" w:type="dxa"/>
            <w:vMerge w:val="restart"/>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 xml:space="preserve"> Follow</w:t>
            </w:r>
          </w:p>
          <w:p>
            <w:pPr>
              <w:spacing w:line="300" w:lineRule="exact"/>
              <w:jc w:val="center"/>
              <w:rPr>
                <w:rFonts w:ascii="Times New Roman" w:hAnsi="Times New Roman" w:cs="Times New Roman"/>
                <w:b/>
                <w:color w:val="000000" w:themeColor="text1" w:themeShade="BF"/>
                <w:sz w:val="24"/>
                <w:szCs w:val="24"/>
              </w:rPr>
            </w:pPr>
            <w:r>
              <w:rPr>
                <w:rFonts w:ascii="Times New Roman" w:hAnsi="Times New Roman" w:cs="Times New Roman"/>
                <w:b/>
                <w:sz w:val="24"/>
                <w:szCs w:val="24"/>
              </w:rPr>
              <w:t>up(</w:t>
            </w:r>
            <w:r>
              <w:rPr>
                <w:rFonts w:hint="eastAsia" w:ascii="Times New Roman" w:hAnsi="Times New Roman" w:cs="Times New Roman"/>
                <w:b/>
                <w:sz w:val="24"/>
                <w:szCs w:val="24"/>
              </w:rPr>
              <w:t>weeks</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835" w:type="dxa"/>
            <w:vMerge w:val="continue"/>
          </w:tcPr>
          <w:p>
            <w:pPr>
              <w:spacing w:line="300" w:lineRule="exact"/>
              <w:jc w:val="center"/>
              <w:rPr>
                <w:rFonts w:ascii="Times New Roman" w:hAnsi="Times New Roman" w:cs="Times New Roman"/>
                <w:b/>
                <w:sz w:val="24"/>
                <w:szCs w:val="24"/>
              </w:rPr>
            </w:pPr>
          </w:p>
        </w:tc>
        <w:tc>
          <w:tcPr>
            <w:tcW w:w="2268" w:type="dxa"/>
            <w:vMerge w:val="continue"/>
          </w:tcPr>
          <w:p>
            <w:pPr>
              <w:spacing w:line="300" w:lineRule="exact"/>
              <w:jc w:val="center"/>
              <w:rPr>
                <w:rFonts w:ascii="Times New Roman" w:hAnsi="Times New Roman" w:cs="Times New Roman"/>
                <w:b/>
                <w:sz w:val="24"/>
                <w:szCs w:val="24"/>
              </w:rPr>
            </w:pPr>
          </w:p>
        </w:tc>
        <w:tc>
          <w:tcPr>
            <w:tcW w:w="1418" w:type="dxa"/>
            <w:vMerge w:val="continue"/>
          </w:tcPr>
          <w:p>
            <w:pPr>
              <w:spacing w:line="300" w:lineRule="exact"/>
              <w:jc w:val="center"/>
              <w:rPr>
                <w:rFonts w:ascii="Times New Roman" w:hAnsi="Times New Roman" w:cs="Times New Roman"/>
                <w:b/>
                <w:sz w:val="24"/>
                <w:szCs w:val="24"/>
              </w:rPr>
            </w:pPr>
          </w:p>
        </w:tc>
        <w:tc>
          <w:tcPr>
            <w:tcW w:w="2268"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417"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4"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992"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4" w:type="dxa"/>
            <w:vMerge w:val="continue"/>
          </w:tcPr>
          <w:p>
            <w:pPr>
              <w:spacing w:line="300" w:lineRule="exact"/>
              <w:jc w:val="center"/>
              <w:rPr>
                <w:rFonts w:ascii="Times New Roman" w:hAnsi="Times New Roman" w:cs="Times New Roman"/>
                <w:b/>
                <w:sz w:val="24"/>
                <w:szCs w:val="24"/>
              </w:rPr>
            </w:pPr>
          </w:p>
        </w:tc>
        <w:tc>
          <w:tcPr>
            <w:tcW w:w="1276" w:type="dxa"/>
            <w:vMerge w:val="continue"/>
          </w:tcPr>
          <w:p>
            <w:pPr>
              <w:spacing w:line="300" w:lineRule="exact"/>
              <w:jc w:val="center"/>
              <w:rPr>
                <w:rFonts w:ascii="Times New Roman" w:hAnsi="Times New Roman" w:cs="Times New Roman"/>
                <w:b/>
                <w:color w:val="000000" w:themeColor="text1"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LAPLACE-TIMI 57 [S22]</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63.5</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61.0</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78</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78</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MENDEL [S23]</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52.8±11.6</w:t>
            </w:r>
          </w:p>
          <w:p>
            <w:pPr>
              <w:spacing w:line="340" w:lineRule="exact"/>
              <w:jc w:val="center"/>
              <w:rPr>
                <w:rFonts w:ascii="Times New Roman" w:hAnsi="Times New Roman" w:cs="Times New Roman"/>
                <w:szCs w:val="21"/>
              </w:rPr>
            </w:pP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52.5±9.8</w:t>
            </w:r>
          </w:p>
          <w:p>
            <w:pPr>
              <w:spacing w:line="340" w:lineRule="exact"/>
              <w:jc w:val="center"/>
              <w:rPr>
                <w:rFonts w:ascii="Times New Roman" w:hAnsi="Times New Roman" w:cs="Times New Roman"/>
                <w:szCs w:val="21"/>
              </w:rPr>
            </w:pP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45</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45</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DESCARTES [S24]</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420mg/4W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55.9±10.8</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56.7±10.1</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599</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302</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EBBINGHAUS [S25]</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 xml:space="preserve">volocumab 140mg/2W </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62.9±8.7</w:t>
            </w:r>
          </w:p>
          <w:p>
            <w:pPr>
              <w:spacing w:line="340" w:lineRule="exact"/>
              <w:jc w:val="center"/>
              <w:rPr>
                <w:rFonts w:ascii="Times New Roman" w:hAnsi="Times New Roman" w:cs="Times New Roman"/>
                <w:szCs w:val="21"/>
              </w:rPr>
            </w:pP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62.7±8.7</w:t>
            </w:r>
          </w:p>
          <w:p>
            <w:pPr>
              <w:spacing w:line="340" w:lineRule="exact"/>
              <w:jc w:val="center"/>
              <w:rPr>
                <w:rFonts w:ascii="Times New Roman" w:hAnsi="Times New Roman" w:cs="Times New Roman"/>
                <w:szCs w:val="21"/>
              </w:rPr>
            </w:pP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983</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990</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FOURIER [S26]</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140mg/2W or</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62.5±9.1</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62.5±8.9</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13784</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13780</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GAUSS [S27]</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62.0±7.2</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62.4±6.6</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30</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32</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GAUSS-2 [S28]</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w:t>
            </w:r>
          </w:p>
          <w:p>
            <w:pPr>
              <w:spacing w:line="340" w:lineRule="exact"/>
              <w:jc w:val="center"/>
              <w:rPr>
                <w:rFonts w:ascii="Times New Roman" w:hAnsi="Times New Roman" w:cs="Times New Roman"/>
                <w:szCs w:val="21"/>
              </w:rPr>
            </w:pPr>
            <w:r>
              <w:rPr>
                <w:rFonts w:hint="eastAsia" w:ascii="Times New Roman" w:hAnsi="Times New Roman" w:cs="Times New Roman"/>
                <w:szCs w:val="21"/>
              </w:rPr>
              <w:t>10mg/d</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61.0±10.0</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62.0±10.0</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103</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GAUSS-3 [S29]</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420mg/4W</w:t>
            </w:r>
          </w:p>
        </w:tc>
        <w:tc>
          <w:tcPr>
            <w:tcW w:w="141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w:t>
            </w:r>
          </w:p>
          <w:p>
            <w:pPr>
              <w:spacing w:line="340" w:lineRule="exact"/>
              <w:jc w:val="center"/>
              <w:rPr>
                <w:rFonts w:ascii="Times New Roman" w:hAnsi="Times New Roman" w:cs="Times New Roman"/>
                <w:szCs w:val="21"/>
              </w:rPr>
            </w:pPr>
            <w:r>
              <w:rPr>
                <w:rFonts w:hint="eastAsia" w:ascii="Times New Roman" w:hAnsi="Times New Roman" w:cs="Times New Roman"/>
                <w:szCs w:val="21"/>
              </w:rPr>
              <w:t>10mg/d</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59.0±11.1</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58.5±9.4</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145</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73</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GAUSS-4 [S30]</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 or</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zetimibe 10mg/d</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65.8±9.8</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61.8±11.9</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40</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41</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GLAGOV [31]</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420mg/4W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59.8±9.6</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59.8±8.8</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484</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484</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835" w:type="dxa"/>
          </w:tcPr>
          <w:p>
            <w:pPr>
              <w:spacing w:line="340" w:lineRule="exact"/>
              <w:jc w:val="left"/>
              <w:rPr>
                <w:rFonts w:ascii="Times New Roman" w:hAnsi="Times New Roman" w:cs="Times New Roman"/>
                <w:b/>
                <w:szCs w:val="21"/>
              </w:rPr>
            </w:pPr>
            <w:r>
              <w:rPr>
                <w:rFonts w:hint="eastAsia" w:ascii="Times New Roman" w:hAnsi="Times New Roman" w:cs="Times New Roman"/>
                <w:b/>
                <w:szCs w:val="21"/>
              </w:rPr>
              <w:t>OSLER [32]</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57.8±11.0</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58.2±10.9</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2976</w:t>
            </w:r>
          </w:p>
        </w:tc>
        <w:tc>
          <w:tcPr>
            <w:tcW w:w="992"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1489</w:t>
            </w:r>
          </w:p>
        </w:tc>
        <w:tc>
          <w:tcPr>
            <w:tcW w:w="284" w:type="dxa"/>
          </w:tcPr>
          <w:p>
            <w:pPr>
              <w:spacing w:line="340" w:lineRule="exact"/>
              <w:jc w:val="center"/>
              <w:rPr>
                <w:rFonts w:ascii="Times New Roman" w:hAnsi="Times New Roman" w:cs="Times New Roman"/>
                <w:szCs w:val="21"/>
              </w:rPr>
            </w:pPr>
          </w:p>
        </w:tc>
        <w:tc>
          <w:tcPr>
            <w:tcW w:w="1276"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48</w:t>
            </w:r>
          </w:p>
        </w:tc>
      </w:tr>
    </w:tbl>
    <w:p>
      <w:pPr>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Table S1-4 </w:t>
      </w:r>
      <w:r>
        <w:rPr>
          <w:rFonts w:ascii="Times New Roman" w:hAnsi="Times New Roman" w:cs="Times New Roman"/>
          <w:b/>
          <w:sz w:val="24"/>
          <w:szCs w:val="24"/>
        </w:rPr>
        <w:t>C</w:t>
      </w:r>
      <w:r>
        <w:rPr>
          <w:rFonts w:hint="eastAsia" w:ascii="Times New Roman" w:hAnsi="Times New Roman" w:cs="Times New Roman"/>
          <w:b/>
          <w:sz w:val="24"/>
          <w:szCs w:val="24"/>
        </w:rPr>
        <w:t>haracteristics of included studies</w:t>
      </w:r>
    </w:p>
    <w:p>
      <w:pPr>
        <w:jc w:val="center"/>
        <w:rPr>
          <w:rFonts w:ascii="Times New Roman" w:hAnsi="Times New Roman" w:cs="Times New Roman"/>
          <w:b/>
          <w:sz w:val="24"/>
          <w:szCs w:val="24"/>
        </w:rPr>
      </w:pPr>
    </w:p>
    <w:tbl>
      <w:tblPr>
        <w:tblStyle w:val="6"/>
        <w:tblW w:w="1516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2268"/>
        <w:gridCol w:w="1417"/>
        <w:gridCol w:w="2126"/>
        <w:gridCol w:w="1276"/>
        <w:gridCol w:w="284"/>
        <w:gridCol w:w="2268"/>
        <w:gridCol w:w="1134"/>
        <w:gridCol w:w="283"/>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694" w:type="dxa"/>
            <w:vMerge w:val="restart"/>
            <w:vAlign w:val="center"/>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Study</w:t>
            </w:r>
          </w:p>
        </w:tc>
        <w:tc>
          <w:tcPr>
            <w:tcW w:w="2268"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417"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3402" w:type="dxa"/>
            <w:gridSpan w:val="2"/>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Mean age(years)</w:t>
            </w:r>
          </w:p>
        </w:tc>
        <w:tc>
          <w:tcPr>
            <w:tcW w:w="284"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3402" w:type="dxa"/>
            <w:gridSpan w:val="2"/>
          </w:tcPr>
          <w:p>
            <w:pPr>
              <w:spacing w:line="300" w:lineRule="exact"/>
              <w:jc w:val="center"/>
              <w:rPr>
                <w:rFonts w:ascii="Times New Roman" w:hAnsi="Times New Roman" w:cs="Times New Roman"/>
                <w:b/>
                <w:bCs/>
                <w:sz w:val="24"/>
                <w:szCs w:val="24"/>
              </w:rPr>
            </w:pPr>
            <w:r>
              <w:rPr>
                <w:rFonts w:ascii="Times New Roman" w:hAnsi="Times New Roman" w:cs="Times New Roman"/>
                <w:b/>
                <w:sz w:val="24"/>
                <w:szCs w:val="24"/>
              </w:rPr>
              <w:t>No. of patients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1418" w:type="dxa"/>
            <w:vMerge w:val="restart"/>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 xml:space="preserve"> Follow</w:t>
            </w:r>
          </w:p>
          <w:p>
            <w:pPr>
              <w:spacing w:line="300" w:lineRule="exact"/>
              <w:jc w:val="center"/>
              <w:rPr>
                <w:rFonts w:ascii="Times New Roman" w:hAnsi="Times New Roman" w:cs="Times New Roman"/>
                <w:b/>
                <w:color w:val="000000" w:themeColor="text1" w:themeShade="BF"/>
                <w:sz w:val="24"/>
                <w:szCs w:val="24"/>
              </w:rPr>
            </w:pPr>
            <w:r>
              <w:rPr>
                <w:rFonts w:ascii="Times New Roman" w:hAnsi="Times New Roman" w:cs="Times New Roman"/>
                <w:b/>
                <w:sz w:val="24"/>
                <w:szCs w:val="24"/>
              </w:rPr>
              <w:t>up(</w:t>
            </w:r>
            <w:r>
              <w:rPr>
                <w:rFonts w:hint="eastAsia" w:ascii="Times New Roman" w:hAnsi="Times New Roman" w:cs="Times New Roman"/>
                <w:b/>
                <w:sz w:val="24"/>
                <w:szCs w:val="24"/>
              </w:rPr>
              <w:t>weeks</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694" w:type="dxa"/>
            <w:vMerge w:val="continue"/>
          </w:tcPr>
          <w:p>
            <w:pPr>
              <w:spacing w:line="300" w:lineRule="exact"/>
              <w:jc w:val="center"/>
              <w:rPr>
                <w:rFonts w:ascii="Times New Roman" w:hAnsi="Times New Roman" w:cs="Times New Roman"/>
                <w:b/>
                <w:sz w:val="24"/>
                <w:szCs w:val="24"/>
              </w:rPr>
            </w:pPr>
          </w:p>
        </w:tc>
        <w:tc>
          <w:tcPr>
            <w:tcW w:w="2268" w:type="dxa"/>
            <w:vMerge w:val="continue"/>
          </w:tcPr>
          <w:p>
            <w:pPr>
              <w:spacing w:line="300" w:lineRule="exact"/>
              <w:jc w:val="center"/>
              <w:rPr>
                <w:rFonts w:ascii="Times New Roman" w:hAnsi="Times New Roman" w:cs="Times New Roman"/>
                <w:b/>
                <w:sz w:val="24"/>
                <w:szCs w:val="24"/>
              </w:rPr>
            </w:pPr>
          </w:p>
        </w:tc>
        <w:tc>
          <w:tcPr>
            <w:tcW w:w="1417"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27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4" w:type="dxa"/>
            <w:vMerge w:val="continue"/>
          </w:tcPr>
          <w:p>
            <w:pPr>
              <w:spacing w:line="300" w:lineRule="exact"/>
              <w:jc w:val="center"/>
              <w:rPr>
                <w:rFonts w:ascii="Times New Roman" w:hAnsi="Times New Roman" w:cs="Times New Roman"/>
                <w:b/>
                <w:sz w:val="24"/>
                <w:szCs w:val="24"/>
              </w:rPr>
            </w:pPr>
          </w:p>
        </w:tc>
        <w:tc>
          <w:tcPr>
            <w:tcW w:w="2268"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134"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1418" w:type="dxa"/>
            <w:vMerge w:val="continue"/>
          </w:tcPr>
          <w:p>
            <w:pPr>
              <w:spacing w:line="300" w:lineRule="exact"/>
              <w:jc w:val="center"/>
              <w:rPr>
                <w:rFonts w:ascii="Times New Roman" w:hAnsi="Times New Roman" w:cs="Times New Roman"/>
                <w:b/>
                <w:color w:val="000000" w:themeColor="text1"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YUKAWA [S33]</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60.8±9.2</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60.2±10.1</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YUKAWA-2 [S34]</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highlight w:val="yellow"/>
              </w:rPr>
            </w:pPr>
            <w:r>
              <w:rPr>
                <w:rFonts w:hint="eastAsia" w:ascii="Times New Roman" w:hAnsi="Times New Roman" w:cs="Times New Roman"/>
                <w:szCs w:val="21"/>
              </w:rPr>
              <w:t>61.8±11.9</w:t>
            </w:r>
          </w:p>
        </w:tc>
        <w:tc>
          <w:tcPr>
            <w:tcW w:w="1276" w:type="dxa"/>
          </w:tcPr>
          <w:p>
            <w:pPr>
              <w:spacing w:line="340" w:lineRule="exact"/>
              <w:jc w:val="center"/>
              <w:rPr>
                <w:rFonts w:ascii="Times New Roman" w:hAnsi="Times New Roman" w:cs="Times New Roman"/>
                <w:szCs w:val="21"/>
                <w:highlight w:val="yellow"/>
              </w:rPr>
            </w:pPr>
            <w:r>
              <w:rPr>
                <w:rFonts w:hint="eastAsia" w:ascii="Times New Roman" w:hAnsi="Times New Roman" w:cs="Times New Roman"/>
                <w:szCs w:val="21"/>
              </w:rPr>
              <w:t>60.4±10.4</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EVOPACS [S35]</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60.5±12.0</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61.0±10.7</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155</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153</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LAPLACE-2 [S36]</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 or</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59.6±9.9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59.9±10.2</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1117</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558</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MENDEL-2 [S37]</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140mg/2W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53.0±14</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54.0±10</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153</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76</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RUTHERFORD [S38]</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420mg/4W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51.8±13</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49.3±11.3</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56</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56</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RUTHERFORD-2 [S39]</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140mg/2W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52.6±12.3</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51.1±14.2</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110</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54</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TESLA Part B [S40]</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420mg/4W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30.0±12.0</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32.0±14.0</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33</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16</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ANITSCHKOW [S41]</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420mg/4W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60.0±6.8</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60.7±7.6</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65</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64</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FLOREY [S42]</w:t>
            </w:r>
          </w:p>
        </w:tc>
        <w:tc>
          <w:tcPr>
            <w:tcW w:w="2268" w:type="dxa"/>
          </w:tcPr>
          <w:p>
            <w:pPr>
              <w:spacing w:line="340" w:lineRule="exact"/>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volocumab 420mg/2W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33.5±11.6</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33.9±12.7</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23</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22</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94" w:type="dxa"/>
          </w:tcPr>
          <w:p>
            <w:pPr>
              <w:spacing w:line="340" w:lineRule="exact"/>
              <w:jc w:val="left"/>
              <w:rPr>
                <w:rFonts w:ascii="Times New Roman" w:hAnsi="Times New Roman" w:cs="Times New Roman"/>
                <w:b/>
                <w:szCs w:val="21"/>
              </w:rPr>
            </w:pPr>
            <w:r>
              <w:rPr>
                <w:rFonts w:hint="eastAsia" w:ascii="Times New Roman" w:hAnsi="Times New Roman" w:cs="Times New Roman"/>
                <w:b/>
                <w:szCs w:val="21"/>
              </w:rPr>
              <w:t>SPIRE [S43]</w:t>
            </w:r>
          </w:p>
        </w:tc>
        <w:tc>
          <w:tcPr>
            <w:tcW w:w="2268" w:type="dxa"/>
          </w:tcPr>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340" w:lineRule="exact"/>
              <w:jc w:val="center"/>
              <w:rPr>
                <w:rFonts w:ascii="Times New Roman" w:hAnsi="Times New Roman" w:cs="Times New Roman"/>
                <w:szCs w:val="21"/>
              </w:rPr>
            </w:pPr>
            <w:r>
              <w:rPr>
                <w:rFonts w:hint="eastAsia" w:ascii="Times New Roman" w:hAnsi="Times New Roman" w:cs="Times New Roman"/>
                <w:szCs w:val="21"/>
              </w:rPr>
              <w:t>150mg/2W</w:t>
            </w:r>
          </w:p>
        </w:tc>
        <w:tc>
          <w:tcPr>
            <w:tcW w:w="1417"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62.9</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63.0</w:t>
            </w:r>
          </w:p>
        </w:tc>
        <w:tc>
          <w:tcPr>
            <w:tcW w:w="284" w:type="dxa"/>
          </w:tcPr>
          <w:p>
            <w:pPr>
              <w:spacing w:line="340" w:lineRule="exact"/>
              <w:jc w:val="center"/>
              <w:rPr>
                <w:rFonts w:ascii="Times New Roman" w:hAnsi="Times New Roman" w:cs="Times New Roman"/>
                <w:szCs w:val="21"/>
              </w:rPr>
            </w:pPr>
          </w:p>
        </w:tc>
        <w:tc>
          <w:tcPr>
            <w:tcW w:w="2268"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13720</w:t>
            </w:r>
          </w:p>
        </w:tc>
        <w:tc>
          <w:tcPr>
            <w:tcW w:w="1134"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13718</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40</w:t>
            </w:r>
          </w:p>
        </w:tc>
      </w:tr>
    </w:tbl>
    <w:p>
      <w:pPr>
        <w:spacing w:line="480" w:lineRule="auto"/>
        <w:rPr>
          <w:rFonts w:hint="eastAsia" w:ascii="Times New Roman" w:hAnsi="Times New Roman" w:cs="Times New Roman"/>
          <w:b/>
          <w:sz w:val="24"/>
          <w:szCs w:val="24"/>
        </w:rPr>
      </w:pPr>
    </w:p>
    <w:p>
      <w:pPr>
        <w:spacing w:line="480" w:lineRule="auto"/>
        <w:rPr>
          <w:rFonts w:ascii="Times New Roman" w:hAnsi="Times New Roman" w:cs="Times New Roman"/>
          <w:b/>
          <w:sz w:val="24"/>
          <w:szCs w:val="24"/>
        </w:rPr>
        <w:sectPr>
          <w:footerReference r:id="rId3" w:type="default"/>
          <w:pgSz w:w="16838" w:h="11906" w:orient="landscape"/>
          <w:pgMar w:top="1134" w:right="1134" w:bottom="1134" w:left="1134" w:header="851" w:footer="992" w:gutter="0"/>
          <w:cols w:space="425" w:num="1"/>
          <w:docGrid w:linePitch="312" w:charSpace="0"/>
        </w:sectPr>
      </w:pPr>
    </w:p>
    <w:p>
      <w:pPr>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Table S1-5 </w:t>
      </w:r>
      <w:r>
        <w:rPr>
          <w:rFonts w:ascii="Times New Roman" w:hAnsi="Times New Roman" w:cs="Times New Roman"/>
          <w:b/>
          <w:sz w:val="24"/>
          <w:szCs w:val="24"/>
        </w:rPr>
        <w:t>C</w:t>
      </w:r>
      <w:r>
        <w:rPr>
          <w:rFonts w:hint="eastAsia" w:ascii="Times New Roman" w:hAnsi="Times New Roman" w:cs="Times New Roman"/>
          <w:b/>
          <w:sz w:val="24"/>
          <w:szCs w:val="24"/>
        </w:rPr>
        <w:t>haracteristics of included studies</w:t>
      </w:r>
    </w:p>
    <w:p>
      <w:pPr>
        <w:jc w:val="center"/>
        <w:rPr>
          <w:rFonts w:ascii="Times New Roman" w:hAnsi="Times New Roman" w:cs="Times New Roman"/>
          <w:b/>
          <w:sz w:val="24"/>
          <w:szCs w:val="24"/>
        </w:rPr>
      </w:pPr>
    </w:p>
    <w:tbl>
      <w:tblPr>
        <w:tblStyle w:val="6"/>
        <w:tblpPr w:leftFromText="180" w:rightFromText="180" w:vertAnchor="text" w:tblpX="108" w:tblpY="1"/>
        <w:tblOverlap w:val="never"/>
        <w:tblW w:w="151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2126"/>
        <w:gridCol w:w="1276"/>
        <w:gridCol w:w="2126"/>
        <w:gridCol w:w="1559"/>
        <w:gridCol w:w="284"/>
        <w:gridCol w:w="2126"/>
        <w:gridCol w:w="1310"/>
        <w:gridCol w:w="283"/>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660" w:type="dxa"/>
            <w:vMerge w:val="restart"/>
            <w:vAlign w:val="center"/>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Study</w:t>
            </w:r>
          </w:p>
        </w:tc>
        <w:tc>
          <w:tcPr>
            <w:tcW w:w="2126"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276" w:type="dxa"/>
            <w:vMerge w:val="restart"/>
            <w:vAlign w:val="center"/>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3685" w:type="dxa"/>
            <w:gridSpan w:val="2"/>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Mean age(years)</w:t>
            </w:r>
          </w:p>
        </w:tc>
        <w:tc>
          <w:tcPr>
            <w:tcW w:w="284"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3436" w:type="dxa"/>
            <w:gridSpan w:val="2"/>
          </w:tcPr>
          <w:p>
            <w:pPr>
              <w:spacing w:line="300" w:lineRule="exact"/>
              <w:jc w:val="center"/>
              <w:rPr>
                <w:rFonts w:ascii="Times New Roman" w:hAnsi="Times New Roman" w:cs="Times New Roman"/>
                <w:b/>
                <w:bCs/>
                <w:sz w:val="24"/>
                <w:szCs w:val="24"/>
              </w:rPr>
            </w:pPr>
            <w:r>
              <w:rPr>
                <w:rFonts w:ascii="Times New Roman" w:hAnsi="Times New Roman" w:cs="Times New Roman"/>
                <w:b/>
                <w:sz w:val="24"/>
                <w:szCs w:val="24"/>
              </w:rPr>
              <w:t>No. of patients</w:t>
            </w:r>
          </w:p>
        </w:tc>
        <w:tc>
          <w:tcPr>
            <w:tcW w:w="283" w:type="dxa"/>
            <w:vMerge w:val="restart"/>
          </w:tcPr>
          <w:p>
            <w:pPr>
              <w:spacing w:line="300" w:lineRule="exact"/>
              <w:jc w:val="center"/>
              <w:rPr>
                <w:rFonts w:ascii="Times New Roman" w:hAnsi="Times New Roman" w:cs="Times New Roman"/>
                <w:b/>
                <w:sz w:val="24"/>
                <w:szCs w:val="24"/>
              </w:rPr>
            </w:pPr>
          </w:p>
          <w:p>
            <w:pPr>
              <w:spacing w:line="300" w:lineRule="exact"/>
              <w:jc w:val="center"/>
              <w:rPr>
                <w:rFonts w:ascii="Times New Roman" w:hAnsi="Times New Roman" w:cs="Times New Roman"/>
                <w:b/>
                <w:sz w:val="24"/>
                <w:szCs w:val="24"/>
              </w:rPr>
            </w:pPr>
          </w:p>
        </w:tc>
        <w:tc>
          <w:tcPr>
            <w:tcW w:w="1418" w:type="dxa"/>
            <w:vMerge w:val="restart"/>
          </w:tcPr>
          <w:p>
            <w:pPr>
              <w:spacing w:line="300" w:lineRule="exact"/>
              <w:jc w:val="center"/>
              <w:rPr>
                <w:rFonts w:ascii="Times New Roman" w:hAnsi="Times New Roman" w:cs="Times New Roman"/>
                <w:b/>
                <w:sz w:val="24"/>
                <w:szCs w:val="24"/>
              </w:rPr>
            </w:pPr>
            <w:r>
              <w:rPr>
                <w:rFonts w:ascii="Times New Roman" w:hAnsi="Times New Roman" w:cs="Times New Roman"/>
                <w:b/>
                <w:sz w:val="24"/>
                <w:szCs w:val="24"/>
              </w:rPr>
              <w:t xml:space="preserve"> Follow</w:t>
            </w:r>
          </w:p>
          <w:p>
            <w:pPr>
              <w:spacing w:line="300" w:lineRule="exact"/>
              <w:jc w:val="center"/>
              <w:rPr>
                <w:rFonts w:ascii="Times New Roman" w:hAnsi="Times New Roman" w:cs="Times New Roman"/>
                <w:b/>
                <w:color w:val="000000" w:themeColor="text1" w:themeShade="BF"/>
                <w:sz w:val="24"/>
                <w:szCs w:val="24"/>
              </w:rPr>
            </w:pPr>
            <w:r>
              <w:rPr>
                <w:rFonts w:ascii="Times New Roman" w:hAnsi="Times New Roman" w:cs="Times New Roman"/>
                <w:b/>
                <w:sz w:val="24"/>
                <w:szCs w:val="24"/>
              </w:rPr>
              <w:t>up(</w:t>
            </w:r>
            <w:r>
              <w:rPr>
                <w:rFonts w:hint="eastAsia" w:ascii="Times New Roman" w:hAnsi="Times New Roman" w:cs="Times New Roman"/>
                <w:b/>
                <w:sz w:val="24"/>
                <w:szCs w:val="24"/>
              </w:rPr>
              <w:t>weeks</w:t>
            </w:r>
            <w:r>
              <w:rPr>
                <w:rFonts w:ascii="Times New Roman" w:hAnsi="Times New Roman" w:cs="Times New Roman"/>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2660" w:type="dxa"/>
            <w:vMerge w:val="continue"/>
          </w:tcPr>
          <w:p>
            <w:pPr>
              <w:spacing w:line="300" w:lineRule="exact"/>
              <w:jc w:val="center"/>
              <w:rPr>
                <w:rFonts w:ascii="Times New Roman" w:hAnsi="Times New Roman" w:cs="Times New Roman"/>
                <w:b/>
                <w:sz w:val="24"/>
                <w:szCs w:val="24"/>
              </w:rPr>
            </w:pPr>
          </w:p>
        </w:tc>
        <w:tc>
          <w:tcPr>
            <w:tcW w:w="2126" w:type="dxa"/>
            <w:vMerge w:val="continue"/>
          </w:tcPr>
          <w:p>
            <w:pPr>
              <w:spacing w:line="300" w:lineRule="exact"/>
              <w:jc w:val="center"/>
              <w:rPr>
                <w:rFonts w:ascii="Times New Roman" w:hAnsi="Times New Roman" w:cs="Times New Roman"/>
                <w:b/>
                <w:sz w:val="24"/>
                <w:szCs w:val="24"/>
              </w:rPr>
            </w:pPr>
          </w:p>
        </w:tc>
        <w:tc>
          <w:tcPr>
            <w:tcW w:w="1276"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559"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4" w:type="dxa"/>
            <w:vMerge w:val="continue"/>
          </w:tcPr>
          <w:p>
            <w:pPr>
              <w:spacing w:line="300" w:lineRule="exact"/>
              <w:jc w:val="center"/>
              <w:rPr>
                <w:rFonts w:ascii="Times New Roman" w:hAnsi="Times New Roman" w:cs="Times New Roman"/>
                <w:b/>
                <w:sz w:val="24"/>
                <w:szCs w:val="24"/>
              </w:rPr>
            </w:pPr>
          </w:p>
        </w:tc>
        <w:tc>
          <w:tcPr>
            <w:tcW w:w="2126"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PCSK9 inhibitors</w:t>
            </w:r>
          </w:p>
        </w:tc>
        <w:tc>
          <w:tcPr>
            <w:tcW w:w="1310" w:type="dxa"/>
          </w:tcPr>
          <w:p>
            <w:pPr>
              <w:spacing w:line="300" w:lineRule="exact"/>
              <w:jc w:val="center"/>
              <w:rPr>
                <w:rFonts w:ascii="Times New Roman" w:hAnsi="Times New Roman" w:cs="Times New Roman"/>
                <w:b/>
                <w:sz w:val="24"/>
                <w:szCs w:val="24"/>
              </w:rPr>
            </w:pPr>
            <w:r>
              <w:rPr>
                <w:rFonts w:hint="eastAsia" w:ascii="Times New Roman" w:hAnsi="Times New Roman" w:cs="Times New Roman"/>
                <w:b/>
                <w:sz w:val="24"/>
                <w:szCs w:val="24"/>
              </w:rPr>
              <w:t>control</w:t>
            </w:r>
          </w:p>
        </w:tc>
        <w:tc>
          <w:tcPr>
            <w:tcW w:w="283" w:type="dxa"/>
            <w:vMerge w:val="continue"/>
          </w:tcPr>
          <w:p>
            <w:pPr>
              <w:spacing w:line="300" w:lineRule="exact"/>
              <w:jc w:val="center"/>
              <w:rPr>
                <w:rFonts w:ascii="Times New Roman" w:hAnsi="Times New Roman" w:cs="Times New Roman"/>
                <w:b/>
                <w:sz w:val="24"/>
                <w:szCs w:val="24"/>
              </w:rPr>
            </w:pPr>
          </w:p>
        </w:tc>
        <w:tc>
          <w:tcPr>
            <w:tcW w:w="1418" w:type="dxa"/>
            <w:vMerge w:val="continue"/>
          </w:tcPr>
          <w:p>
            <w:pPr>
              <w:spacing w:line="300" w:lineRule="exact"/>
              <w:jc w:val="center"/>
              <w:rPr>
                <w:rFonts w:ascii="Times New Roman" w:hAnsi="Times New Roman" w:cs="Times New Roman"/>
                <w:b/>
                <w:color w:val="000000" w:themeColor="text1" w:themeShade="BF"/>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60" w:type="dxa"/>
          </w:tcPr>
          <w:p>
            <w:pPr>
              <w:spacing w:line="400" w:lineRule="exact"/>
              <w:jc w:val="left"/>
              <w:rPr>
                <w:rFonts w:ascii="Times New Roman" w:hAnsi="Times New Roman" w:cs="Times New Roman"/>
                <w:b/>
                <w:szCs w:val="21"/>
              </w:rPr>
            </w:pPr>
            <w:r>
              <w:rPr>
                <w:rFonts w:hint="eastAsia" w:ascii="Times New Roman" w:hAnsi="Times New Roman" w:cs="Times New Roman"/>
                <w:b/>
                <w:szCs w:val="21"/>
              </w:rPr>
              <w:t>Ridker PM [S44]</w:t>
            </w:r>
          </w:p>
          <w:p>
            <w:pPr>
              <w:spacing w:line="400" w:lineRule="exact"/>
              <w:jc w:val="left"/>
              <w:rPr>
                <w:rFonts w:ascii="Times New Roman" w:hAnsi="Times New Roman" w:cs="Times New Roman"/>
                <w:b/>
                <w:szCs w:val="21"/>
              </w:rPr>
            </w:pPr>
            <w:r>
              <w:rPr>
                <w:rFonts w:hint="eastAsia" w:ascii="Times New Roman" w:hAnsi="Times New Roman" w:cs="Times New Roman"/>
                <w:b/>
                <w:szCs w:val="21"/>
              </w:rPr>
              <w:t xml:space="preserve">       </w:t>
            </w:r>
            <w:r>
              <w:rPr>
                <w:rFonts w:ascii="Times New Roman" w:hAnsi="Times New Roman" w:cs="Times New Roman"/>
                <w:b/>
                <w:szCs w:val="21"/>
              </w:rPr>
              <w:t>SPIRE-HR</w:t>
            </w:r>
          </w:p>
          <w:p>
            <w:pPr>
              <w:spacing w:line="400" w:lineRule="exact"/>
              <w:jc w:val="left"/>
              <w:rPr>
                <w:rFonts w:ascii="Times New Roman" w:hAnsi="Times New Roman" w:cs="Times New Roman"/>
                <w:b/>
                <w:szCs w:val="21"/>
              </w:rPr>
            </w:pPr>
          </w:p>
          <w:p>
            <w:pPr>
              <w:spacing w:line="400" w:lineRule="exact"/>
              <w:jc w:val="left"/>
              <w:rPr>
                <w:rFonts w:ascii="Times New Roman" w:hAnsi="Times New Roman" w:cs="Times New Roman"/>
                <w:b/>
                <w:szCs w:val="21"/>
              </w:rPr>
            </w:pPr>
            <w:r>
              <w:rPr>
                <w:rFonts w:hint="eastAsia" w:ascii="Times New Roman" w:hAnsi="Times New Roman" w:cs="Times New Roman"/>
                <w:b/>
                <w:szCs w:val="21"/>
              </w:rPr>
              <w:t xml:space="preserve">       </w:t>
            </w:r>
            <w:r>
              <w:rPr>
                <w:rFonts w:ascii="Times New Roman" w:hAnsi="Times New Roman" w:cs="Times New Roman"/>
                <w:b/>
                <w:szCs w:val="21"/>
              </w:rPr>
              <w:t>SPIRE-LDL</w:t>
            </w:r>
          </w:p>
          <w:p>
            <w:pPr>
              <w:spacing w:line="400" w:lineRule="exact"/>
              <w:ind w:firstLine="723" w:firstLineChars="343"/>
              <w:jc w:val="left"/>
              <w:rPr>
                <w:rFonts w:ascii="Times New Roman" w:hAnsi="Times New Roman" w:cs="Times New Roman"/>
                <w:b/>
                <w:szCs w:val="21"/>
              </w:rPr>
            </w:pPr>
          </w:p>
          <w:p>
            <w:pPr>
              <w:spacing w:line="400" w:lineRule="exact"/>
              <w:ind w:firstLine="723" w:firstLineChars="343"/>
              <w:jc w:val="left"/>
              <w:rPr>
                <w:rFonts w:ascii="Times New Roman" w:hAnsi="Times New Roman" w:cs="Times New Roman"/>
                <w:b/>
                <w:szCs w:val="21"/>
              </w:rPr>
            </w:pPr>
            <w:r>
              <w:rPr>
                <w:rFonts w:ascii="Times New Roman" w:hAnsi="Times New Roman" w:cs="Times New Roman"/>
                <w:b/>
                <w:szCs w:val="21"/>
              </w:rPr>
              <w:t>SPIRE-FH</w:t>
            </w:r>
          </w:p>
          <w:p>
            <w:pPr>
              <w:spacing w:line="400" w:lineRule="exact"/>
              <w:ind w:firstLine="723" w:firstLineChars="343"/>
              <w:jc w:val="left"/>
              <w:rPr>
                <w:rFonts w:ascii="Times New Roman" w:hAnsi="Times New Roman" w:cs="Times New Roman"/>
                <w:b/>
                <w:szCs w:val="21"/>
              </w:rPr>
            </w:pPr>
          </w:p>
          <w:p>
            <w:pPr>
              <w:spacing w:line="400" w:lineRule="exact"/>
              <w:ind w:firstLine="723" w:firstLineChars="343"/>
              <w:jc w:val="left"/>
              <w:rPr>
                <w:rFonts w:ascii="Times New Roman" w:hAnsi="Times New Roman" w:cs="Times New Roman"/>
                <w:b/>
                <w:szCs w:val="21"/>
              </w:rPr>
            </w:pPr>
            <w:r>
              <w:rPr>
                <w:rFonts w:ascii="Times New Roman" w:hAnsi="Times New Roman" w:cs="Times New Roman"/>
                <w:b/>
                <w:szCs w:val="21"/>
              </w:rPr>
              <w:t>SPIRE-LL</w:t>
            </w:r>
          </w:p>
          <w:p>
            <w:pPr>
              <w:spacing w:line="400" w:lineRule="exact"/>
              <w:ind w:firstLine="723" w:firstLineChars="343"/>
              <w:jc w:val="left"/>
              <w:rPr>
                <w:rFonts w:ascii="Times New Roman" w:hAnsi="Times New Roman" w:cs="Times New Roman"/>
                <w:b/>
                <w:szCs w:val="21"/>
              </w:rPr>
            </w:pPr>
          </w:p>
          <w:p>
            <w:pPr>
              <w:spacing w:line="400" w:lineRule="exact"/>
              <w:ind w:firstLine="723" w:firstLineChars="343"/>
              <w:jc w:val="left"/>
              <w:rPr>
                <w:rFonts w:ascii="Times New Roman" w:hAnsi="Times New Roman" w:cs="Times New Roman"/>
                <w:b/>
                <w:szCs w:val="21"/>
              </w:rPr>
            </w:pPr>
            <w:r>
              <w:rPr>
                <w:rFonts w:ascii="Times New Roman" w:hAnsi="Times New Roman" w:cs="Times New Roman"/>
                <w:b/>
                <w:szCs w:val="21"/>
              </w:rPr>
              <w:t>SPIRE-SI</w:t>
            </w:r>
          </w:p>
          <w:p>
            <w:pPr>
              <w:spacing w:line="400" w:lineRule="exact"/>
              <w:ind w:firstLine="723" w:firstLineChars="343"/>
              <w:jc w:val="left"/>
              <w:rPr>
                <w:rFonts w:ascii="Times New Roman" w:hAnsi="Times New Roman" w:cs="Times New Roman"/>
                <w:b/>
                <w:szCs w:val="21"/>
              </w:rPr>
            </w:pPr>
          </w:p>
          <w:p>
            <w:pPr>
              <w:spacing w:line="400" w:lineRule="exact"/>
              <w:ind w:firstLine="723" w:firstLineChars="343"/>
              <w:jc w:val="left"/>
              <w:rPr>
                <w:rFonts w:ascii="Times New Roman" w:hAnsi="Times New Roman" w:cs="Times New Roman"/>
                <w:b/>
                <w:szCs w:val="21"/>
              </w:rPr>
            </w:pPr>
            <w:r>
              <w:rPr>
                <w:rFonts w:ascii="Times New Roman" w:hAnsi="Times New Roman" w:cs="Times New Roman"/>
                <w:b/>
                <w:szCs w:val="21"/>
              </w:rPr>
              <w:t>SPIRE-AI</w:t>
            </w:r>
          </w:p>
          <w:p>
            <w:pPr>
              <w:spacing w:line="300" w:lineRule="exact"/>
              <w:jc w:val="left"/>
              <w:rPr>
                <w:rFonts w:ascii="Times New Roman" w:hAnsi="Times New Roman" w:cs="Times New Roman"/>
                <w:b/>
                <w:szCs w:val="21"/>
              </w:rPr>
            </w:pPr>
          </w:p>
        </w:tc>
        <w:tc>
          <w:tcPr>
            <w:tcW w:w="2126"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150mg/2W</w:t>
            </w: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150mg/2W</w:t>
            </w: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150mg/2W</w:t>
            </w: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150mg/2W</w:t>
            </w: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150mg/2W</w:t>
            </w:r>
          </w:p>
          <w:p>
            <w:pPr>
              <w:spacing w:line="40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w:t>
            </w:r>
          </w:p>
          <w:p>
            <w:pPr>
              <w:spacing w:line="400" w:lineRule="exact"/>
              <w:jc w:val="center"/>
              <w:rPr>
                <w:rFonts w:ascii="Times New Roman" w:hAnsi="Times New Roman" w:cs="Times New Roman"/>
                <w:szCs w:val="21"/>
              </w:rPr>
            </w:pPr>
            <w:r>
              <w:rPr>
                <w:rFonts w:hint="eastAsia" w:ascii="Times New Roman" w:hAnsi="Times New Roman" w:cs="Times New Roman"/>
                <w:szCs w:val="21"/>
              </w:rPr>
              <w:t>75-150mg/2W</w:t>
            </w:r>
          </w:p>
        </w:tc>
        <w:tc>
          <w:tcPr>
            <w:tcW w:w="1276"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ascii="Times New Roman" w:hAnsi="Times New Roman" w:cs="Times New Roman"/>
                <w:szCs w:val="21"/>
              </w:rPr>
              <w:t>P</w:t>
            </w:r>
            <w:r>
              <w:rPr>
                <w:rFonts w:hint="eastAsia" w:ascii="Times New Roman" w:hAnsi="Times New Roman" w:cs="Times New Roman"/>
                <w:szCs w:val="21"/>
              </w:rPr>
              <w:t>lacebo</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placebo</w:t>
            </w:r>
          </w:p>
          <w:p>
            <w:pPr>
              <w:spacing w:line="400" w:lineRule="exact"/>
              <w:jc w:val="center"/>
              <w:rPr>
                <w:rFonts w:ascii="Times New Roman" w:hAnsi="Times New Roman" w:cs="Times New Roman"/>
                <w:szCs w:val="21"/>
              </w:rPr>
            </w:pPr>
          </w:p>
        </w:tc>
        <w:tc>
          <w:tcPr>
            <w:tcW w:w="2126"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61.1±10.2</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61.8±9.3</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56.5±10.5</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61.5±9.9</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64.0±9.2</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60.0±10.0</w:t>
            </w:r>
          </w:p>
          <w:p>
            <w:pPr>
              <w:spacing w:line="400" w:lineRule="exact"/>
              <w:jc w:val="center"/>
              <w:rPr>
                <w:rFonts w:ascii="Times New Roman" w:hAnsi="Times New Roman" w:cs="Times New Roman"/>
                <w:szCs w:val="21"/>
              </w:rPr>
            </w:pPr>
          </w:p>
        </w:tc>
        <w:tc>
          <w:tcPr>
            <w:tcW w:w="1559"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61.5±9.7</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62.2±9.8</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55.7±11.2</w:t>
            </w:r>
          </w:p>
          <w:p>
            <w:pPr>
              <w:spacing w:line="400" w:lineRule="exact"/>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61.7±10.0</w:t>
            </w:r>
          </w:p>
          <w:p>
            <w:pPr>
              <w:spacing w:line="400" w:lineRule="exact"/>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63.2±8.4</w:t>
            </w:r>
          </w:p>
          <w:p>
            <w:pPr>
              <w:spacing w:line="400" w:lineRule="exact"/>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61.0±11.0</w:t>
            </w:r>
          </w:p>
          <w:p>
            <w:pPr>
              <w:spacing w:line="400" w:lineRule="exact"/>
              <w:rPr>
                <w:rFonts w:ascii="Times New Roman" w:hAnsi="Times New Roman" w:cs="Times New Roman"/>
                <w:szCs w:val="21"/>
              </w:rPr>
            </w:pPr>
          </w:p>
        </w:tc>
        <w:tc>
          <w:tcPr>
            <w:tcW w:w="284" w:type="dxa"/>
          </w:tcPr>
          <w:p>
            <w:pPr>
              <w:spacing w:line="400" w:lineRule="exact"/>
              <w:jc w:val="center"/>
              <w:rPr>
                <w:rFonts w:ascii="Times New Roman" w:hAnsi="Times New Roman" w:cs="Times New Roman"/>
                <w:szCs w:val="21"/>
              </w:rPr>
            </w:pPr>
          </w:p>
        </w:tc>
        <w:tc>
          <w:tcPr>
            <w:tcW w:w="2126"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357</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1068</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185</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499</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74</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200</w:t>
            </w:r>
          </w:p>
        </w:tc>
        <w:tc>
          <w:tcPr>
            <w:tcW w:w="1310" w:type="dxa"/>
          </w:tcPr>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354</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1071</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185</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247</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73</w:t>
            </w:r>
          </w:p>
          <w:p>
            <w:pPr>
              <w:spacing w:line="400" w:lineRule="exact"/>
              <w:jc w:val="center"/>
              <w:rPr>
                <w:rFonts w:ascii="Times New Roman" w:hAnsi="Times New Roman" w:cs="Times New Roman"/>
                <w:szCs w:val="21"/>
              </w:rPr>
            </w:pPr>
          </w:p>
          <w:p>
            <w:pPr>
              <w:spacing w:line="400" w:lineRule="exact"/>
              <w:jc w:val="center"/>
              <w:rPr>
                <w:rFonts w:ascii="Times New Roman" w:hAnsi="Times New Roman" w:cs="Times New Roman"/>
                <w:szCs w:val="21"/>
              </w:rPr>
            </w:pPr>
            <w:r>
              <w:rPr>
                <w:rFonts w:hint="eastAsia" w:ascii="Times New Roman" w:hAnsi="Times New Roman" w:cs="Times New Roman"/>
                <w:szCs w:val="21"/>
              </w:rPr>
              <w:t>99</w:t>
            </w:r>
          </w:p>
        </w:tc>
        <w:tc>
          <w:tcPr>
            <w:tcW w:w="283" w:type="dxa"/>
          </w:tcPr>
          <w:p>
            <w:pPr>
              <w:spacing w:line="400" w:lineRule="exact"/>
              <w:jc w:val="center"/>
              <w:rPr>
                <w:rFonts w:ascii="Times New Roman" w:hAnsi="Times New Roman" w:cs="Times New Roman"/>
                <w:szCs w:val="21"/>
              </w:rPr>
            </w:pPr>
          </w:p>
        </w:tc>
        <w:tc>
          <w:tcPr>
            <w:tcW w:w="1418" w:type="dxa"/>
          </w:tcPr>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58</w:t>
            </w:r>
          </w:p>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58</w:t>
            </w:r>
          </w:p>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58</w:t>
            </w:r>
          </w:p>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58</w:t>
            </w:r>
          </w:p>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58</w:t>
            </w:r>
          </w:p>
          <w:p>
            <w:pPr>
              <w:spacing w:line="400" w:lineRule="exact"/>
              <w:jc w:val="center"/>
              <w:rPr>
                <w:rFonts w:ascii="Times New Roman" w:hAnsi="Times New Roman" w:cs="Times New Roman"/>
                <w:color w:val="000000" w:themeColor="text1" w:themeShade="BF"/>
                <w:szCs w:val="21"/>
              </w:rPr>
            </w:pPr>
          </w:p>
          <w:p>
            <w:pPr>
              <w:spacing w:line="40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2660" w:type="dxa"/>
          </w:tcPr>
          <w:p>
            <w:pPr>
              <w:spacing w:line="300" w:lineRule="exact"/>
              <w:jc w:val="left"/>
              <w:rPr>
                <w:rFonts w:ascii="Times New Roman" w:hAnsi="Times New Roman" w:cs="Times New Roman"/>
                <w:b/>
                <w:szCs w:val="21"/>
              </w:rPr>
            </w:pPr>
            <w:r>
              <w:rPr>
                <w:rFonts w:hint="eastAsia" w:ascii="Times New Roman" w:hAnsi="Times New Roman" w:cs="Times New Roman"/>
                <w:b/>
                <w:szCs w:val="21"/>
              </w:rPr>
              <w:t>Yokote K [S45]</w:t>
            </w:r>
          </w:p>
        </w:tc>
        <w:tc>
          <w:tcPr>
            <w:tcW w:w="2126" w:type="dxa"/>
          </w:tcPr>
          <w:p>
            <w:pPr>
              <w:spacing w:line="340" w:lineRule="exact"/>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ococizumab 150mg/2W</w:t>
            </w:r>
          </w:p>
        </w:tc>
        <w:tc>
          <w:tcPr>
            <w:tcW w:w="127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placebo</w:t>
            </w: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59.6±8.6</w:t>
            </w:r>
          </w:p>
        </w:tc>
        <w:tc>
          <w:tcPr>
            <w:tcW w:w="1559"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58.2±11.2</w:t>
            </w:r>
          </w:p>
        </w:tc>
        <w:tc>
          <w:tcPr>
            <w:tcW w:w="284" w:type="dxa"/>
          </w:tcPr>
          <w:p>
            <w:pPr>
              <w:spacing w:line="340" w:lineRule="exact"/>
              <w:jc w:val="center"/>
              <w:rPr>
                <w:rFonts w:ascii="Times New Roman" w:hAnsi="Times New Roman" w:cs="Times New Roman"/>
                <w:szCs w:val="21"/>
              </w:rPr>
            </w:pPr>
          </w:p>
        </w:tc>
        <w:tc>
          <w:tcPr>
            <w:tcW w:w="2126"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22</w:t>
            </w:r>
          </w:p>
        </w:tc>
        <w:tc>
          <w:tcPr>
            <w:tcW w:w="1310" w:type="dxa"/>
          </w:tcPr>
          <w:p>
            <w:pPr>
              <w:spacing w:line="340" w:lineRule="exact"/>
              <w:jc w:val="center"/>
              <w:rPr>
                <w:rFonts w:ascii="Times New Roman" w:hAnsi="Times New Roman" w:cs="Times New Roman"/>
                <w:szCs w:val="21"/>
              </w:rPr>
            </w:pPr>
            <w:r>
              <w:rPr>
                <w:rFonts w:hint="eastAsia" w:ascii="Times New Roman" w:hAnsi="Times New Roman" w:cs="Times New Roman"/>
                <w:szCs w:val="21"/>
              </w:rPr>
              <w:t>26</w:t>
            </w:r>
          </w:p>
        </w:tc>
        <w:tc>
          <w:tcPr>
            <w:tcW w:w="283" w:type="dxa"/>
          </w:tcPr>
          <w:p>
            <w:pPr>
              <w:spacing w:line="340" w:lineRule="exact"/>
              <w:jc w:val="center"/>
              <w:rPr>
                <w:rFonts w:ascii="Times New Roman" w:hAnsi="Times New Roman" w:cs="Times New Roman"/>
                <w:szCs w:val="21"/>
              </w:rPr>
            </w:pPr>
          </w:p>
        </w:tc>
        <w:tc>
          <w:tcPr>
            <w:tcW w:w="1418" w:type="dxa"/>
          </w:tcPr>
          <w:p>
            <w:pPr>
              <w:spacing w:line="340" w:lineRule="exact"/>
              <w:jc w:val="center"/>
              <w:rPr>
                <w:rFonts w:ascii="Times New Roman" w:hAnsi="Times New Roman" w:cs="Times New Roman"/>
                <w:color w:val="000000" w:themeColor="text1" w:themeShade="BF"/>
                <w:szCs w:val="21"/>
              </w:rPr>
            </w:pPr>
            <w:r>
              <w:rPr>
                <w:rFonts w:hint="eastAsia" w:ascii="Times New Roman" w:hAnsi="Times New Roman" w:cs="Times New Roman"/>
                <w:color w:val="000000" w:themeColor="text1" w:themeShade="BF"/>
                <w:szCs w:val="21"/>
              </w:rPr>
              <w:t>16</w:t>
            </w:r>
          </w:p>
        </w:tc>
      </w:tr>
    </w:tbl>
    <w:p>
      <w:pPr>
        <w:spacing w:line="480" w:lineRule="auto"/>
        <w:rPr>
          <w:rFonts w:hint="eastAsia" w:ascii="Times New Roman" w:hAnsi="Times New Roman" w:cs="Times New Roman"/>
          <w:b/>
          <w:sz w:val="24"/>
          <w:szCs w:val="24"/>
        </w:rPr>
      </w:pPr>
    </w:p>
    <w:p>
      <w:pPr>
        <w:spacing w:line="480" w:lineRule="auto"/>
        <w:ind w:firstLine="241" w:firstLineChars="100"/>
        <w:rPr>
          <w:rFonts w:hint="default" w:ascii="Times New Roman" w:hAnsi="Times New Roman" w:cs="Times New Roman" w:eastAsiaTheme="minorEastAsia"/>
          <w:b/>
          <w:sz w:val="24"/>
          <w:szCs w:val="24"/>
          <w:lang w:val="en-US" w:eastAsia="zh-CN"/>
        </w:rPr>
      </w:pPr>
      <w:bookmarkStart w:id="0" w:name="_GoBack"/>
      <w:bookmarkEnd w:id="0"/>
      <w:r>
        <w:rPr>
          <w:rFonts w:hint="eastAsia" w:ascii="Times New Roman" w:hAnsi="Times New Roman" w:cs="Times New Roman"/>
          <w:b/>
          <w:sz w:val="24"/>
          <w:szCs w:val="24"/>
          <w:lang w:val="en-US" w:eastAsia="zh-CN"/>
        </w:rPr>
        <w:t>NR, no reported</w:t>
      </w:r>
    </w:p>
    <w:p>
      <w:pPr>
        <w:spacing w:line="480" w:lineRule="auto"/>
        <w:rPr>
          <w:rFonts w:hint="eastAsia" w:ascii="Times New Roman" w:hAnsi="Times New Roman" w:cs="Times New Roman"/>
          <w:b/>
          <w:sz w:val="24"/>
          <w:szCs w:val="24"/>
        </w:rPr>
      </w:pPr>
    </w:p>
    <w:p>
      <w:pPr>
        <w:spacing w:line="480" w:lineRule="auto"/>
        <w:rPr>
          <w:rFonts w:hint="eastAsia" w:ascii="Times New Roman" w:hAnsi="Times New Roman" w:cs="Times New Roman"/>
          <w:b/>
          <w:sz w:val="24"/>
          <w:szCs w:val="24"/>
        </w:rPr>
      </w:pPr>
    </w:p>
    <w:p>
      <w:pPr>
        <w:jc w:val="center"/>
        <w:rPr>
          <w:rFonts w:hint="eastAsia" w:ascii="Times New Roman" w:hAnsi="Times New Roman" w:cs="Times New Roman"/>
          <w:b/>
          <w:sz w:val="24"/>
          <w:szCs w:val="24"/>
        </w:rPr>
      </w:pPr>
      <w:r>
        <w:rPr>
          <w:rFonts w:hint="eastAsia" w:ascii="Times New Roman" w:hAnsi="Times New Roman" w:cs="Times New Roman"/>
          <w:b/>
          <w:sz w:val="24"/>
          <w:szCs w:val="24"/>
        </w:rPr>
        <w:t>Table S</w:t>
      </w:r>
      <w:r>
        <w:rPr>
          <w:rFonts w:hint="eastAsia" w:ascii="Times New Roman" w:hAnsi="Times New Roman" w:cs="Times New Roman"/>
          <w:b/>
          <w:sz w:val="24"/>
          <w:szCs w:val="24"/>
          <w:lang w:val="en-US" w:eastAsia="zh-CN"/>
        </w:rPr>
        <w:t>2</w:t>
      </w:r>
      <w:r>
        <w:rPr>
          <w:rFonts w:hint="eastAsia" w:ascii="Times New Roman" w:hAnsi="Times New Roman" w:cs="Times New Roman"/>
          <w:b/>
          <w:sz w:val="24"/>
          <w:szCs w:val="24"/>
        </w:rPr>
        <w:t xml:space="preserve"> Search terms used for </w:t>
      </w:r>
      <w:r>
        <w:rPr>
          <w:rFonts w:hint="eastAsia" w:ascii="Times New Roman" w:hAnsi="Times New Roman" w:cs="Times New Roman"/>
          <w:b/>
          <w:sz w:val="24"/>
          <w:szCs w:val="24"/>
          <w:lang w:val="en-US" w:eastAsia="zh-CN"/>
        </w:rPr>
        <w:t>meta-analysis</w:t>
      </w:r>
      <w:r>
        <w:rPr>
          <w:rFonts w:hint="eastAsia" w:ascii="Times New Roman" w:hAnsi="Times New Roman" w:cs="Times New Roman"/>
          <w:b/>
          <w:sz w:val="24"/>
          <w:szCs w:val="24"/>
        </w:rPr>
        <w:t xml:space="preserve"> in </w:t>
      </w:r>
      <w:r>
        <w:rPr>
          <w:rFonts w:hint="eastAsia" w:ascii="Times New Roman" w:hAnsi="Times New Roman" w:cs="Times New Roman"/>
          <w:b/>
          <w:sz w:val="24"/>
          <w:szCs w:val="24"/>
          <w:lang w:val="en-US" w:eastAsia="zh-CN"/>
        </w:rPr>
        <w:t>MEDLINE,</w:t>
      </w:r>
      <w:r>
        <w:rPr>
          <w:rFonts w:hint="eastAsia" w:ascii="Times New Roman" w:hAnsi="Times New Roman" w:cs="Times New Roman"/>
          <w:b/>
          <w:sz w:val="24"/>
          <w:szCs w:val="24"/>
        </w:rPr>
        <w:t xml:space="preserve"> Cochrane Library</w:t>
      </w:r>
      <w:r>
        <w:rPr>
          <w:rFonts w:hint="eastAsia" w:ascii="Times New Roman" w:hAnsi="Times New Roman" w:cs="Times New Roman"/>
          <w:b/>
          <w:sz w:val="24"/>
          <w:szCs w:val="24"/>
          <w:lang w:val="en-US" w:eastAsia="zh-CN"/>
        </w:rPr>
        <w:t xml:space="preserve"> </w:t>
      </w:r>
      <w:r>
        <w:rPr>
          <w:rFonts w:hint="eastAsia" w:ascii="Times New Roman" w:hAnsi="Times New Roman" w:cs="Times New Roman"/>
          <w:b/>
          <w:sz w:val="24"/>
          <w:szCs w:val="24"/>
        </w:rPr>
        <w:t>database</w:t>
      </w:r>
      <w:r>
        <w:rPr>
          <w:rFonts w:hint="eastAsia" w:ascii="Times New Roman" w:hAnsi="Times New Roman" w:cs="Times New Roman"/>
          <w:b/>
          <w:sz w:val="24"/>
          <w:szCs w:val="24"/>
          <w:lang w:val="en-US" w:eastAsia="zh-CN"/>
        </w:rPr>
        <w:t xml:space="preserve"> and</w:t>
      </w:r>
      <w:r>
        <w:rPr>
          <w:rFonts w:hint="eastAsia" w:ascii="Times New Roman" w:hAnsi="Times New Roman" w:cs="Times New Roman"/>
          <w:b/>
          <w:sz w:val="24"/>
          <w:szCs w:val="24"/>
        </w:rPr>
        <w:t xml:space="preserve"> Clinicaltrials.gov</w:t>
      </w:r>
    </w:p>
    <w:p>
      <w:pPr>
        <w:jc w:val="both"/>
        <w:rPr>
          <w:rFonts w:hint="eastAsia" w:ascii="Times New Roman" w:hAnsi="Times New Roman" w:cs="Times New Roman"/>
          <w:b/>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1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80" w:lineRule="auto"/>
              <w:jc w:val="center"/>
              <w:rPr>
                <w:rFonts w:hint="default" w:ascii="Times New Roman" w:hAnsi="Times New Roman" w:cs="Times New Roman" w:eastAsiaTheme="minorEastAsia"/>
                <w:b/>
                <w:sz w:val="24"/>
                <w:szCs w:val="24"/>
                <w:vertAlign w:val="baseline"/>
                <w:lang w:val="en-US" w:eastAsia="zh-CN"/>
              </w:rPr>
            </w:pPr>
            <w:r>
              <w:rPr>
                <w:rFonts w:hint="eastAsia" w:ascii="Times New Roman" w:hAnsi="Times New Roman" w:cs="Times New Roman"/>
                <w:b/>
                <w:sz w:val="24"/>
                <w:szCs w:val="24"/>
                <w:vertAlign w:val="baseline"/>
                <w:lang w:val="en-US" w:eastAsia="zh-CN"/>
              </w:rPr>
              <w:t>Concept</w:t>
            </w:r>
          </w:p>
        </w:tc>
        <w:tc>
          <w:tcPr>
            <w:tcW w:w="12341" w:type="dxa"/>
            <w:vAlign w:val="center"/>
          </w:tcPr>
          <w:p>
            <w:pPr>
              <w:spacing w:line="480" w:lineRule="auto"/>
              <w:jc w:val="center"/>
              <w:rPr>
                <w:rFonts w:hint="default" w:ascii="Times New Roman" w:hAnsi="Times New Roman" w:cs="Times New Roman" w:eastAsiaTheme="minorEastAsia"/>
                <w:b/>
                <w:sz w:val="24"/>
                <w:szCs w:val="24"/>
                <w:vertAlign w:val="baseline"/>
                <w:lang w:val="en-US" w:eastAsia="zh-CN"/>
              </w:rPr>
            </w:pPr>
            <w:r>
              <w:rPr>
                <w:rFonts w:hint="eastAsia" w:ascii="Times New Roman" w:hAnsi="Times New Roman" w:cs="Times New Roman"/>
                <w:b/>
                <w:sz w:val="24"/>
                <w:szCs w:val="24"/>
                <w:vertAlign w:val="baseline"/>
                <w:lang w:val="en-US" w:eastAsia="zh-CN"/>
              </w:rPr>
              <w:t>Search terms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vAlign w:val="center"/>
          </w:tcPr>
          <w:p>
            <w:pPr>
              <w:spacing w:line="480" w:lineRule="auto"/>
              <w:rPr>
                <w:rFonts w:ascii="Times New Roman" w:hAnsi="Times New Roman" w:cs="Times New Roman"/>
                <w:b/>
                <w:sz w:val="24"/>
                <w:szCs w:val="24"/>
                <w:vertAlign w:val="baseline"/>
              </w:rPr>
            </w:pPr>
            <w:r>
              <w:rPr>
                <w:rFonts w:hint="eastAsia" w:ascii="Times New Roman" w:hAnsi="Times New Roman" w:cs="Times New Roman"/>
                <w:b/>
                <w:sz w:val="24"/>
                <w:szCs w:val="24"/>
                <w:vertAlign w:val="baseline"/>
              </w:rPr>
              <w:t xml:space="preserve">PCSK9 inhibitors </w:t>
            </w:r>
          </w:p>
        </w:tc>
        <w:tc>
          <w:tcPr>
            <w:tcW w:w="12341" w:type="dxa"/>
            <w:vAlign w:val="center"/>
          </w:tcPr>
          <w:p>
            <w:pPr>
              <w:spacing w:line="480" w:lineRule="auto"/>
              <w:rPr>
                <w:rFonts w:ascii="Times New Roman" w:hAnsi="Times New Roman" w:cs="Times New Roman"/>
                <w:b/>
                <w:sz w:val="24"/>
                <w:szCs w:val="24"/>
                <w:vertAlign w:val="baseline"/>
              </w:rPr>
            </w:pP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evolocumab</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AMG 145</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w:t>
            </w:r>
            <w:r>
              <w:rPr>
                <w:rFonts w:hint="eastAsia" w:ascii="Times New Roman" w:hAnsi="Times New Roman" w:cs="Times New Roman"/>
                <w:b/>
                <w:sz w:val="24"/>
                <w:szCs w:val="24"/>
                <w:vertAlign w:val="baseline"/>
              </w:rPr>
              <w:t xml:space="preserve">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alirocumab</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w:t>
            </w:r>
            <w:r>
              <w:rPr>
                <w:rFonts w:hint="eastAsia" w:ascii="Times New Roman" w:hAnsi="Times New Roman" w:cs="Times New Roman"/>
                <w:b/>
                <w:sz w:val="24"/>
                <w:szCs w:val="24"/>
                <w:vertAlign w:val="baseline"/>
              </w:rPr>
              <w:t xml:space="preserve">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SAR236553</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w:t>
            </w:r>
            <w:r>
              <w:rPr>
                <w:rFonts w:hint="eastAsia" w:ascii="Times New Roman" w:hAnsi="Times New Roman" w:cs="Times New Roman"/>
                <w:b/>
                <w:sz w:val="24"/>
                <w:szCs w:val="24"/>
                <w:vertAlign w:val="baseline"/>
              </w:rPr>
              <w:t xml:space="preserve">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REGN727</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bococizumab</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lang w:val="en-US" w:eastAsia="zh-CN"/>
              </w:rPr>
              <w:t xml:space="preserve"> or </w:t>
            </w:r>
            <w:r>
              <w:rPr>
                <w:rFonts w:hint="eastAsia" w:ascii="Times New Roman" w:hAnsi="Times New Roman" w:cs="Times New Roman"/>
                <w:b/>
                <w:sz w:val="24"/>
                <w:szCs w:val="24"/>
                <w:vertAlign w:val="baseline"/>
              </w:rPr>
              <w:t xml:space="preserve"> </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RN316/PF-04950615</w:t>
            </w:r>
            <w:r>
              <w:rPr>
                <w:rFonts w:hint="default" w:ascii="Times New Roman" w:hAnsi="Times New Roman" w:cs="Times New Roman"/>
                <w:b/>
                <w:sz w:val="24"/>
                <w:szCs w:val="24"/>
                <w:vertAlign w:val="baseline"/>
                <w:lang w:val="en-US" w:eastAsia="zh-CN"/>
              </w:rPr>
              <w:t>’</w:t>
            </w:r>
            <w:r>
              <w:rPr>
                <w:rFonts w:hint="eastAsia" w:ascii="Times New Roman" w:hAnsi="Times New Roman" w:cs="Times New Roman"/>
                <w:b/>
                <w:sz w:val="24"/>
                <w:szCs w:val="24"/>
                <w:vertAlign w:val="baseline"/>
              </w:rPr>
              <w:t xml:space="preserve">.   </w:t>
            </w:r>
          </w:p>
        </w:tc>
      </w:tr>
    </w:tbl>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Supplementary</w:t>
      </w:r>
      <w:r>
        <w:rPr>
          <w:rFonts w:hint="eastAsia" w:ascii="Times New Roman" w:hAnsi="Times New Roman" w:cs="Times New Roman"/>
          <w:b/>
          <w:sz w:val="24"/>
          <w:szCs w:val="24"/>
        </w:rPr>
        <w:t xml:space="preserve"> References</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Moriarty PM, Thompson PD, Cannon CP, Guyton JR, Bergeron J, Zieve FJ, Bruckert E, Jacobson TA8, Kopecky SL, Baccara-Dinet MT, Du Y, Pordy R, Gipe DA; ODYSSEY ALTERNATIVE InvestigatorsEfficacy and safety of alirocumab vs ezetimibe in statin-intolerant patients, with a statin rechallenge arm: The ODYSSEY ALTERNATIVE randomized trial.</w:t>
      </w:r>
      <w:r>
        <w:rPr>
          <w:rFonts w:hint="eastAsia" w:ascii="Times New Roman" w:hAnsi="Times New Roman" w:cs="Times New Roman"/>
          <w:sz w:val="24"/>
          <w:szCs w:val="24"/>
        </w:rPr>
        <w:t xml:space="preserve"> J Clin Lipidol. 2015,9:758-769.</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Roth EM, Moriarty PM, Bergeron J, Langslet G, Manvelian G, Zhao J, Baccara-Dinet MT, Rader DJ; ODYSSEY CHOICE I investigators.</w:t>
      </w:r>
      <w:r>
        <w:rPr>
          <w:rFonts w:hint="eastAsia" w:ascii="Times New Roman" w:hAnsi="Times New Roman" w:cs="Times New Roman"/>
          <w:sz w:val="24"/>
          <w:szCs w:val="24"/>
        </w:rPr>
        <w:t xml:space="preserve"> </w:t>
      </w:r>
      <w:r>
        <w:rPr>
          <w:rFonts w:ascii="Times New Roman" w:hAnsi="Times New Roman" w:cs="Times New Roman"/>
          <w:sz w:val="24"/>
          <w:szCs w:val="24"/>
        </w:rPr>
        <w:t>A phase III randomized trial evaluating alirocumab 300 mg every 4 weeks as monotherapy or add-on to statin: ODYSSEY CHOICE I.</w:t>
      </w:r>
      <w:r>
        <w:rPr>
          <w:rFonts w:hint="eastAsia" w:ascii="Times New Roman" w:hAnsi="Times New Roman" w:cs="Times New Roman"/>
          <w:sz w:val="24"/>
          <w:szCs w:val="24"/>
        </w:rPr>
        <w:t xml:space="preserve"> Atherosclerosis. 2016,254:254-262.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Stroes E, Guyton JR, Lepor N, Civeira F, Gaudet D, Baccara-Dinet MT, Lecorps G, Manvelian G, Farnier M; ODYSSEY CHOICE II Investigators</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Alirocumab 150 mg Every 4 Weeks in Patients With Hypercholesterolemia Not on Statin Therapy: The ODYSSEY CHOICE II Study</w:t>
      </w:r>
      <w:r>
        <w:rPr>
          <w:rFonts w:hint="eastAsia" w:ascii="Times New Roman" w:hAnsi="Times New Roman" w:cs="Times New Roman"/>
          <w:sz w:val="24"/>
          <w:szCs w:val="24"/>
        </w:rPr>
        <w:t>. J Am Heart Assoc. 2016,5: e003421. </w:t>
      </w:r>
    </w:p>
    <w:p>
      <w:pPr>
        <w:pStyle w:val="10"/>
        <w:numPr>
          <w:ilvl w:val="0"/>
          <w:numId w:val="1"/>
        </w:numPr>
        <w:spacing w:line="480" w:lineRule="auto"/>
        <w:ind w:firstLineChars="0"/>
        <w:rPr>
          <w:rFonts w:ascii="Times New Roman" w:hAnsi="Times New Roman" w:cs="Times New Roman"/>
          <w:sz w:val="24"/>
          <w:szCs w:val="24"/>
        </w:rPr>
      </w:pPr>
      <w:r>
        <w:rPr>
          <w:rFonts w:hint="eastAsia" w:ascii="Times New Roman" w:hAnsi="Times New Roman" w:cs="Times New Roman"/>
          <w:sz w:val="24"/>
          <w:szCs w:val="24"/>
        </w:rPr>
        <w:t xml:space="preserve">Kereiakes DJ, Robinson JG, Cannon CP, Lorenzato C, Pordy R, Chaudhari U, Colhoun HM. </w:t>
      </w:r>
      <w:r>
        <w:rPr>
          <w:rFonts w:ascii="Times New Roman" w:hAnsi="Times New Roman" w:cs="Times New Roman"/>
          <w:sz w:val="24"/>
          <w:szCs w:val="24"/>
        </w:rPr>
        <w:t>Efficacy and safety of the proprotein convertase subtilisin/kexin type 9 inhibitor alirocumab among high cardiovascular risk patients on maximally tolerated statin therapy: The ODYSSEY COMBO I study</w:t>
      </w:r>
      <w:r>
        <w:rPr>
          <w:rFonts w:hint="eastAsia" w:ascii="Times New Roman" w:hAnsi="Times New Roman" w:cs="Times New Roman"/>
          <w:sz w:val="24"/>
          <w:szCs w:val="24"/>
        </w:rPr>
        <w:t>. Am Heart J. 2015,169: 906-915.</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Cannon CP, Cariou B, Blom D, McKenney JM, Lorenzato C, Pordy R, Chaudhari U, Colhoun HM; ODYSSEY COMBO II Investigators.</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alirocumab in high cardiovascular risk patients with inadequately controlled hypercholesterolaemia on maximally tolerated</w:t>
      </w:r>
      <w:r>
        <w:rPr>
          <w:rFonts w:hint="eastAsia" w:ascii="Times New Roman" w:hAnsi="Times New Roman" w:cs="Times New Roman"/>
          <w:sz w:val="24"/>
          <w:szCs w:val="24"/>
        </w:rPr>
        <w:t xml:space="preserve"> </w:t>
      </w:r>
      <w:r>
        <w:rPr>
          <w:rFonts w:ascii="Times New Roman" w:hAnsi="Times New Roman" w:cs="Times New Roman"/>
          <w:sz w:val="24"/>
          <w:szCs w:val="24"/>
        </w:rPr>
        <w:t>doses</w:t>
      </w:r>
      <w:r>
        <w:rPr>
          <w:rFonts w:hint="eastAsia" w:ascii="Times New Roman" w:hAnsi="Times New Roman" w:cs="Times New Roman"/>
          <w:sz w:val="24"/>
          <w:szCs w:val="24"/>
        </w:rPr>
        <w:t xml:space="preserve"> </w:t>
      </w:r>
      <w:r>
        <w:rPr>
          <w:rFonts w:ascii="Times New Roman" w:hAnsi="Times New Roman" w:cs="Times New Roman"/>
          <w:sz w:val="24"/>
          <w:szCs w:val="24"/>
        </w:rPr>
        <w:t>of</w:t>
      </w:r>
      <w:r>
        <w:rPr>
          <w:rFonts w:hint="eastAsia" w:ascii="Times New Roman" w:hAnsi="Times New Roman" w:cs="Times New Roman"/>
          <w:sz w:val="24"/>
          <w:szCs w:val="24"/>
        </w:rPr>
        <w:t xml:space="preserve"> </w:t>
      </w:r>
      <w:r>
        <w:rPr>
          <w:rFonts w:ascii="Times New Roman" w:hAnsi="Times New Roman" w:cs="Times New Roman"/>
          <w:sz w:val="24"/>
          <w:szCs w:val="24"/>
        </w:rPr>
        <w:t>statins:</w:t>
      </w:r>
      <w:r>
        <w:rPr>
          <w:rFonts w:hint="eastAsia" w:ascii="Times New Roman" w:hAnsi="Times New Roman" w:cs="Times New Roman"/>
          <w:sz w:val="24"/>
          <w:szCs w:val="24"/>
        </w:rPr>
        <w:t xml:space="preserve"> </w:t>
      </w:r>
      <w:r>
        <w:rPr>
          <w:rFonts w:ascii="Times New Roman" w:hAnsi="Times New Roman" w:cs="Times New Roman"/>
          <w:sz w:val="24"/>
          <w:szCs w:val="24"/>
        </w:rPr>
        <w:t>the</w:t>
      </w:r>
      <w:r>
        <w:rPr>
          <w:rFonts w:hint="eastAsia" w:ascii="Times New Roman" w:hAnsi="Times New Roman" w:cs="Times New Roman"/>
          <w:sz w:val="24"/>
          <w:szCs w:val="24"/>
        </w:rPr>
        <w:t xml:space="preserve"> </w:t>
      </w:r>
      <w:r>
        <w:rPr>
          <w:rFonts w:ascii="Times New Roman" w:hAnsi="Times New Roman" w:cs="Times New Roman"/>
          <w:sz w:val="24"/>
          <w:szCs w:val="24"/>
        </w:rPr>
        <w:t>ODYSSEYCOMBO II randomized controlled trial</w:t>
      </w:r>
      <w:r>
        <w:rPr>
          <w:rFonts w:hint="eastAsia" w:ascii="Times New Roman" w:hAnsi="Times New Roman" w:cs="Times New Roman"/>
          <w:sz w:val="24"/>
          <w:szCs w:val="24"/>
        </w:rPr>
        <w:t xml:space="preserve">. Eur Heart J. 2015, 36: 1186-1194.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Ray KK, Leiter LA, Müller-Wieland D, Cariou B, Colhoun HM, Henry RR, Tinahones FJ, Bujas-Bobanovic M, Domenger C, Letierce A, Samuel R, Del Prato S</w:t>
      </w:r>
      <w:r>
        <w:rPr>
          <w:rFonts w:hint="eastAsia" w:ascii="Times New Roman" w:hAnsi="Times New Roman" w:cs="Times New Roman"/>
          <w:sz w:val="24"/>
          <w:szCs w:val="24"/>
        </w:rPr>
        <w:t xml:space="preserve">. </w:t>
      </w:r>
      <w:r>
        <w:rPr>
          <w:rFonts w:ascii="Times New Roman" w:hAnsi="Times New Roman" w:cs="Times New Roman"/>
          <w:sz w:val="24"/>
          <w:szCs w:val="24"/>
        </w:rPr>
        <w:t>Alirocumab vs usual lipid-lowering care as add-on to statin therapy in individuals with type 2 diabetes and mixed dyslipidaemia: The ODYSSEY DM-DYSLIPIDEMIA randomized trial</w:t>
      </w:r>
      <w:r>
        <w:rPr>
          <w:rFonts w:hint="eastAsia" w:ascii="Times New Roman" w:hAnsi="Times New Roman" w:cs="Times New Roman"/>
          <w:sz w:val="24"/>
          <w:szCs w:val="24"/>
        </w:rPr>
        <w:t>. Diabetes</w:t>
      </w:r>
      <w:r>
        <w:rPr>
          <w:rFonts w:hint="eastAsia" w:ascii="MS Mincho" w:hAnsi="MS Mincho" w:eastAsia="MS Mincho" w:cs="MS Mincho"/>
          <w:sz w:val="24"/>
          <w:szCs w:val="24"/>
        </w:rPr>
        <w:t> </w:t>
      </w:r>
      <w:r>
        <w:rPr>
          <w:rFonts w:hint="eastAsia" w:ascii="Times New Roman" w:hAnsi="Times New Roman" w:cs="Times New Roman"/>
          <w:sz w:val="24"/>
          <w:szCs w:val="24"/>
        </w:rPr>
        <w:t>Obes Metab. 2018, 20: 1479-1489.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Leiter LA, Cariou B, Müller-Wieland D, Colhoun HM, Del Prato S, Tinahones FJ, Ray KK, Bujas-Bobanovic M, Domenger C, Mandel J, Samuel R, Henry RR</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alirocumab in insulin-treated individuals with type 1 or type 2 diabetes and high cardiovascular risk: The ODYSSEY DM-INSULIN randomized trial</w:t>
      </w:r>
      <w:r>
        <w:rPr>
          <w:rFonts w:hint="eastAsia" w:ascii="Times New Roman" w:hAnsi="Times New Roman" w:cs="Times New Roman"/>
          <w:sz w:val="24"/>
          <w:szCs w:val="24"/>
        </w:rPr>
        <w:t>. Diabetes Obes Metab. 2017,19:1781-1792.</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Moriarty PM, Parhofer KG, Babirak SP, Cornier MA, Duell PB, Hohenstein B, Leebmann J, Ramlow W8, Schettler V, Simha V, Steinhagen-Thiessen E, Thompson PD, Vogt A, von Stritzky B, Du Y, Manvelian G</w:t>
      </w:r>
      <w:r>
        <w:rPr>
          <w:rFonts w:hint="eastAsia" w:ascii="Times New Roman" w:hAnsi="Times New Roman" w:cs="Times New Roman"/>
          <w:sz w:val="24"/>
          <w:szCs w:val="24"/>
        </w:rPr>
        <w:t xml:space="preserve">. </w:t>
      </w:r>
      <w:r>
        <w:rPr>
          <w:rFonts w:ascii="Times New Roman" w:hAnsi="Times New Roman" w:cs="Times New Roman"/>
          <w:sz w:val="24"/>
          <w:szCs w:val="24"/>
        </w:rPr>
        <w:t>Alirocumab in patients with heterozygous familial hypercholesterolaemia undergoing lipoprotein apheresis: the ODYSSEY ESCAPE trial</w:t>
      </w:r>
      <w:r>
        <w:rPr>
          <w:rFonts w:hint="eastAsia" w:ascii="Times New Roman" w:hAnsi="Times New Roman" w:cs="Times New Roman"/>
          <w:sz w:val="24"/>
          <w:szCs w:val="24"/>
        </w:rPr>
        <w:t xml:space="preserve">. Eur Heart J. 2016,37:3588-3595.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Kastelein JJ, Ginsberg HN, Langslet G, Hovingh GK, Ceska R, Dufour R, Blom D, Civeira F, Krempf M, Lorenzato C, Zhao J, Pordy R, Baccara-Dinet MT, Gipe DA, Geiger MJ, Farnier M</w:t>
      </w:r>
      <w:r>
        <w:rPr>
          <w:rFonts w:hint="eastAsia" w:ascii="Times New Roman" w:hAnsi="Times New Roman" w:cs="Times New Roman"/>
          <w:sz w:val="24"/>
          <w:szCs w:val="24"/>
        </w:rPr>
        <w:t xml:space="preserve">. </w:t>
      </w:r>
      <w:r>
        <w:rPr>
          <w:rFonts w:ascii="Times New Roman" w:hAnsi="Times New Roman" w:cs="Times New Roman"/>
          <w:sz w:val="24"/>
          <w:szCs w:val="24"/>
        </w:rPr>
        <w:t>ODYSSEY FH I and FH II: 78 week results with alirocumab treatment in 735 patients with heterozygous familial hypercholesterolaemia</w:t>
      </w:r>
      <w:r>
        <w:rPr>
          <w:rFonts w:hint="eastAsia" w:ascii="Times New Roman" w:hAnsi="Times New Roman" w:cs="Times New Roman"/>
          <w:sz w:val="24"/>
          <w:szCs w:val="24"/>
        </w:rPr>
        <w:t>. Eur Heart J. 2015,36:2996-3003.</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Ginsberg HN, Rader DJ, Raal FJ, Guyton JR, Baccara-Dinet MT, Lorenzato C, Pordy R, Stroes E</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Alirocumab in Patients with Heterozygous Familial Hypercholesterolemia and LDL-C of 160 mg/dl or Higher</w:t>
      </w:r>
      <w:r>
        <w:rPr>
          <w:rFonts w:hint="eastAsia" w:ascii="Times New Roman" w:hAnsi="Times New Roman" w:cs="Times New Roman"/>
          <w:sz w:val="24"/>
          <w:szCs w:val="24"/>
        </w:rPr>
        <w:t>. Cardiovasc Drugs Ther. 2016, 30:473-483.</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Teramoto T, Kobayashi M, Tasaki H, Yagyu H, Higashikata T, Takagi Y, Uno K, Baccara-Dinet MT, Nohara A.</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Alirocumab in Japanese Patients With Heterozygous Familial Hypercholesterolemia or at High Cardiovascular Risk With Hypercholesterolemia Not Adequately Controlled With Statins-ODYSSEY JAPAN Randomized Controlled Trial.</w:t>
      </w:r>
      <w:r>
        <w:rPr>
          <w:rFonts w:hint="eastAsia" w:ascii="Times New Roman" w:hAnsi="Times New Roman" w:cs="Times New Roman"/>
          <w:sz w:val="24"/>
          <w:szCs w:val="24"/>
        </w:rPr>
        <w:t xml:space="preserve"> Circ J. 2016,80:1980-1987.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Koh KK, Nam CW, Chao TH, Liu ME, Wu CJ, Kim DS, Kim CJ, Li I, Li J, Baccara-Dinet MT, Hsiao PJ, Chiang CE</w:t>
      </w:r>
      <w:r>
        <w:rPr>
          <w:rFonts w:hint="eastAsia" w:ascii="Times New Roman" w:hAnsi="Times New Roman" w:cs="Times New Roman"/>
          <w:sz w:val="24"/>
          <w:szCs w:val="24"/>
        </w:rPr>
        <w:t>. A randomized trial evaluating the efficacy and safety of alirocumab in South Korea and Taiwan (ODYSSEY KT). J Clin Lipidol. 2018,12:162-172.</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Robinson JG, Farnier M, Krempf M, Bergeron J, Luc G, Averna M, Stroes ES, Langslet G, Raal FJ, El Shahawy M, Koren MJ, Lepor NE, Lorenzato C, Pordy R, Chaudhari U, Kastelein JJ; ODYSSEY LONG TERM Investigators.</w:t>
      </w:r>
      <w:r>
        <w:rPr>
          <w:rFonts w:hint="eastAsia" w:ascii="Times New Roman" w:hAnsi="Times New Roman" w:cs="Times New Roman"/>
          <w:sz w:val="24"/>
          <w:szCs w:val="24"/>
        </w:rPr>
        <w:t xml:space="preserve"> Efficacy and safety of alirocumab in reducing lipids and cardiovascular events. N Engl J Med. 2015,372:1489-1499.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Roth EM, Taskinen MR, Ginsberg HN, Kastelein JJ, Colhoun HM, Robinson JG, Merlet L, Pordy R, Baccara-Dinet MT</w:t>
      </w:r>
      <w:r>
        <w:rPr>
          <w:rFonts w:hint="eastAsia" w:ascii="Times New Roman" w:hAnsi="Times New Roman" w:cs="Times New Roman"/>
          <w:sz w:val="24"/>
          <w:szCs w:val="24"/>
        </w:rPr>
        <w:t>. Monotherapy with the PCSK9 inhibitor alirocumab versus ezetimibe in patients with hypercholesterolemia: results of a 24 week, double-blind, randomized Phase 3 trial. Int J Cardiol. 2014,176:55-61.</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Bays H, Gaudet D, Weiss R, Ruiz JL, Watts GF, Gouni-Berthold I, Robinson J, Zhao J, Hanotin C, Donahue S</w:t>
      </w:r>
      <w:r>
        <w:rPr>
          <w:rFonts w:hint="eastAsia" w:ascii="Times New Roman" w:hAnsi="Times New Roman" w:cs="Times New Roman"/>
          <w:sz w:val="24"/>
          <w:szCs w:val="24"/>
        </w:rPr>
        <w:t xml:space="preserve">. </w:t>
      </w:r>
      <w:r>
        <w:rPr>
          <w:rFonts w:ascii="Times New Roman" w:hAnsi="Times New Roman" w:cs="Times New Roman"/>
          <w:sz w:val="24"/>
          <w:szCs w:val="24"/>
        </w:rPr>
        <w:t>Alirocumab as Add-On to Atorvastatin Versus Other Lipid Treatment Strategies: ODYSSEY OPTIONS I Randomized Trial</w:t>
      </w:r>
      <w:r>
        <w:rPr>
          <w:rFonts w:hint="eastAsia" w:ascii="Times New Roman" w:hAnsi="Times New Roman" w:cs="Times New Roman"/>
          <w:sz w:val="24"/>
          <w:szCs w:val="24"/>
        </w:rPr>
        <w:t>. J Clin Endocrinol Metab. 2015,100:3140-3148.</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Farnier M, Jones P, Severance R, Averna M, Steinhagen-Thiessen E, Colhoun HM, Du Y, Hanotin C, Donahue S</w:t>
      </w:r>
      <w:r>
        <w:rPr>
          <w:rFonts w:hint="eastAsia" w:ascii="Times New Roman" w:hAnsi="Times New Roman" w:cs="Times New Roman"/>
          <w:sz w:val="24"/>
          <w:szCs w:val="24"/>
        </w:rPr>
        <w:t xml:space="preserve">. </w:t>
      </w:r>
      <w:r>
        <w:rPr>
          <w:rFonts w:ascii="Times New Roman" w:hAnsi="Times New Roman" w:cs="Times New Roman"/>
          <w:sz w:val="24"/>
          <w:szCs w:val="24"/>
        </w:rPr>
        <w:t>Efficacy and safety of adding alirocumab to rosuvastatin versus adding ezetimibe or doubling the rosuvastatin dose in high cardiovascular- risk patients: The ODYSSEY OPTIONS II randomized trial</w:t>
      </w:r>
      <w:r>
        <w:rPr>
          <w:rFonts w:hint="eastAsia" w:ascii="Times New Roman" w:hAnsi="Times New Roman" w:cs="Times New Roman"/>
          <w:sz w:val="24"/>
          <w:szCs w:val="24"/>
        </w:rPr>
        <w:t xml:space="preserve">. Atherosclerosis. 2016,244:138-146.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Schwartz GG, Steg PG, Szarek M, Bhatt DL, Bittner VA, Diaz R, Edelberg JM, Goodman SG, Hanotin C, Harrington RA, Jukema JW, Lecorps G, Mahaffey KW, Moryusef A, Pordy R, Quintero K, Roe MT, Sasiela WJ, Tamby JF, Tricoci P, White HD, Zeiher AM; ODYSSEY OUTCOMES Committees and Investigators.</w:t>
      </w:r>
      <w:r>
        <w:rPr>
          <w:rFonts w:hint="eastAsia" w:ascii="Times New Roman" w:hAnsi="Times New Roman" w:cs="Times New Roman"/>
          <w:sz w:val="24"/>
          <w:szCs w:val="24"/>
        </w:rPr>
        <w:t xml:space="preserve"> Alirocumab and Cardiovascular Outcomes after Acute Coronary Syndrome. N Engl J Med. 2018,379:2097-2107.</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McKenney JM, Koren MJ, Kereiakes DJ, Hanotin C, Ferrand AC, Stein EA.</w:t>
      </w:r>
      <w:r>
        <w:rPr>
          <w:rFonts w:hint="eastAsia" w:ascii="Times New Roman" w:hAnsi="Times New Roman" w:cs="Times New Roman"/>
          <w:sz w:val="24"/>
          <w:szCs w:val="24"/>
        </w:rPr>
        <w:t xml:space="preserve"> Safety and efficacy of a monoclonal antibody to proprotein convertase subtilisin/kexin type 9 serine protease, SAR236553/REGN727, in patients with primary hypercholesterolemia receiving ongoing stable atorvastatin therapy. J Am Coll Cardiol. 2012,59:2344-2353.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Teramoto T, Kobayashi M, Uno K, Takagi Y, Matsuoka O, Sugimoto M, Inoue S, Minami F, Baccara-Dinet MT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Efficacy and Safety of Alirocumab in Japanese Subjects (Phase 1 and 2 Studies) </w:t>
      </w:r>
      <w:r>
        <w:rPr>
          <w:rFonts w:hint="eastAsia" w:ascii="Times New Roman" w:hAnsi="Times New Roman" w:cs="Times New Roman"/>
          <w:sz w:val="24"/>
          <w:szCs w:val="24"/>
        </w:rPr>
        <w:t>. Am J Cardiol. 2016,118:56-63.</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Stein EA, Gipe D, Bergeron J, Gaudet D, Weiss R, Dufour R, Wu R, Pordy R</w:t>
      </w:r>
      <w:r>
        <w:rPr>
          <w:rFonts w:hint="eastAsia" w:ascii="Times New Roman" w:hAnsi="Times New Roman" w:cs="Times New Roman"/>
          <w:sz w:val="24"/>
          <w:szCs w:val="24"/>
        </w:rPr>
        <w:t>. Effect of a monoclonal antibody to PCSK9, REGN727/SAR236553, to reduce low-density lipoprotein cholesterol in patients with heterozygous familial hypercholesterolaemia on stable statin dose with or without ezetimibe therapy: a phase 2 randomised controlled trial. Lancet. 2012,380:29-36.</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Roth EM, McKenney JM, Hanotin C, Asset G, Stein EA.</w:t>
      </w:r>
      <w:r>
        <w:rPr>
          <w:rFonts w:hint="eastAsia" w:ascii="Times New Roman" w:hAnsi="Times New Roman" w:cs="Times New Roman"/>
          <w:sz w:val="24"/>
          <w:szCs w:val="24"/>
        </w:rPr>
        <w:t xml:space="preserve"> </w:t>
      </w:r>
      <w:r>
        <w:rPr>
          <w:rFonts w:ascii="Times New Roman" w:hAnsi="Times New Roman" w:cs="Times New Roman"/>
          <w:sz w:val="24"/>
          <w:szCs w:val="24"/>
        </w:rPr>
        <w:t>Atorvastatin with or without an Antibody to PCSK9 in Primary Hypercholesterolemia</w:t>
      </w:r>
      <w:r>
        <w:rPr>
          <w:rFonts w:hint="eastAsia" w:ascii="Times New Roman" w:hAnsi="Times New Roman" w:cs="Times New Roman"/>
          <w:sz w:val="24"/>
          <w:szCs w:val="24"/>
        </w:rPr>
        <w:t xml:space="preserve">. N Engl J Med. 2012,367:1891-1900.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Giugliano RP, Desai NR, Kohli P, Rogers WJ, Somaratne R, Huang F, Liu T, Mohanavelu S, Hoffman EB, McDonald ST, Abrahamsen TE, Wasserman SM, Scott R, Sabatine MS; LAPLACE-TIMI 57 Investigators.</w:t>
      </w:r>
      <w:r>
        <w:rPr>
          <w:rFonts w:hint="eastAsia" w:ascii="Times New Roman" w:hAnsi="Times New Roman" w:cs="Times New Roman"/>
          <w:sz w:val="24"/>
          <w:szCs w:val="24"/>
        </w:rPr>
        <w:t xml:space="preserve"> Efficacy, safety, and tolerability of a monoclonal antibody to proprotein convertase subtilisin/kexin type 9 in combination with a statin in patients with hypercholesterolaemia (LAPLACE-TIMI 57): a randomised, placebo-controlled, dose-ranging, phase 2 study. Lancet. 2012,380:2007-2017.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Koren MJ, Scott R, Kim JB, Knusel B, Liu T, Lei L, Bolognese M, Wasserman SM.</w:t>
      </w:r>
      <w:r>
        <w:rPr>
          <w:rFonts w:hint="eastAsia" w:ascii="Times New Roman" w:hAnsi="Times New Roman" w:cs="Times New Roman"/>
          <w:sz w:val="24"/>
          <w:szCs w:val="24"/>
        </w:rPr>
        <w:t xml:space="preserve"> Efficacy, safety, and tolerability of a monoclonal antibody to proprotein convertase subtilisin/kexin type 9 as monotherapy in patients with hypercholesterolaemia (MENDEL): a randomised, double-blind, placebo-controlled, phase 2 study. </w:t>
      </w:r>
      <w:r>
        <w:rPr>
          <w:rFonts w:ascii="Times New Roman" w:hAnsi="Times New Roman" w:cs="Times New Roman"/>
          <w:sz w:val="24"/>
          <w:szCs w:val="24"/>
        </w:rPr>
        <w:t>Lancet 2012; 380: 1995–2006</w:t>
      </w:r>
      <w:r>
        <w:rPr>
          <w:rFonts w:hint="eastAsia" w:ascii="Times New Roman" w:hAnsi="Times New Roman" w:cs="Times New Roman"/>
          <w:sz w:val="24"/>
          <w:szCs w:val="24"/>
        </w:rPr>
        <w:t>.</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Blom DJ, Hala T, Bolognese M, Lillestol MJ, Toth PD, Burgess L, Ceska R, Roth E, Koren MJ, Ballantyne CM, Monsalvo ML, Tsirtsonis K, Kim JB, Scott R, Wasserman SM, Stein EA; DESCARTES Investigators.</w:t>
      </w:r>
      <w:r>
        <w:rPr>
          <w:rFonts w:hint="eastAsia" w:ascii="Times New Roman" w:hAnsi="Times New Roman" w:cs="Times New Roman"/>
          <w:sz w:val="24"/>
          <w:szCs w:val="24"/>
        </w:rPr>
        <w:t xml:space="preserve"> A 52-week placebo-controlled trial of evolocumab in hyperlipidemia. </w:t>
      </w:r>
      <w:r>
        <w:rPr>
          <w:rFonts w:ascii="Times New Roman" w:hAnsi="Times New Roman" w:cs="Times New Roman"/>
          <w:sz w:val="24"/>
          <w:szCs w:val="24"/>
        </w:rPr>
        <w:t>N Engl J Med 2014;370:1809-</w:t>
      </w:r>
      <w:r>
        <w:rPr>
          <w:rFonts w:hint="eastAsia" w:ascii="Times New Roman" w:hAnsi="Times New Roman" w:cs="Times New Roman"/>
          <w:sz w:val="24"/>
          <w:szCs w:val="24"/>
        </w:rPr>
        <w:t>18</w:t>
      </w:r>
      <w:r>
        <w:rPr>
          <w:rFonts w:ascii="Times New Roman" w:hAnsi="Times New Roman" w:cs="Times New Roman"/>
          <w:sz w:val="24"/>
          <w:szCs w:val="24"/>
        </w:rPr>
        <w:t xml:space="preserve">19.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Giugliano RP, Mach F, Zavitz K, Kurtz C, Im K, Kanevsky E, Schneider J, Wang H, Keech A, Pedersen TR1, Sabatine MS1, Sever PS, Robinson JG, Honarpour N, Wasserman SM, Ott BR; EBBINGHAUS Investigators</w:t>
      </w:r>
      <w:r>
        <w:rPr>
          <w:rFonts w:hint="eastAsia" w:ascii="Times New Roman" w:hAnsi="Times New Roman" w:cs="Times New Roman"/>
          <w:sz w:val="24"/>
          <w:szCs w:val="24"/>
        </w:rPr>
        <w:t>. Cognitive Function in a Randomized Trial of Evolocumab. N Engl J Med 2017; 377: 633-643.</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Sabatine MS, Giugliano RP, Keech AC, Honarpour N, Wiviott SD, Murphy SA, Kuder JF, Wang H, Liu T, Wasserman SM, Sever PS, Pedersen TR; FOURIER Steering Committee and Investigators.</w:t>
      </w:r>
      <w:r>
        <w:rPr>
          <w:rFonts w:hint="eastAsia" w:ascii="Times New Roman" w:hAnsi="Times New Roman" w:cs="Times New Roman"/>
          <w:sz w:val="24"/>
          <w:szCs w:val="24"/>
        </w:rPr>
        <w:t xml:space="preserve"> Evolocumab and Clinical Outcomes in Patients with Cardiovascular Disease. </w:t>
      </w:r>
      <w:r>
        <w:rPr>
          <w:rFonts w:ascii="Times New Roman" w:hAnsi="Times New Roman" w:cs="Times New Roman"/>
          <w:sz w:val="24"/>
          <w:szCs w:val="24"/>
        </w:rPr>
        <w:t>N Engl J Med 2017;376:1713-</w:t>
      </w:r>
      <w:r>
        <w:rPr>
          <w:rFonts w:hint="eastAsia" w:ascii="Times New Roman" w:hAnsi="Times New Roman" w:cs="Times New Roman"/>
          <w:sz w:val="24"/>
          <w:szCs w:val="24"/>
        </w:rPr>
        <w:t>17</w:t>
      </w:r>
      <w:r>
        <w:rPr>
          <w:rFonts w:ascii="Times New Roman" w:hAnsi="Times New Roman" w:cs="Times New Roman"/>
          <w:sz w:val="24"/>
          <w:szCs w:val="24"/>
        </w:rPr>
        <w:t>22.</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Sullivan D, Olsson AG, Scott R, Kim JB, Xue A, Gebski V, Wasserman SM, Stein EA.</w:t>
      </w:r>
      <w:r>
        <w:rPr>
          <w:rFonts w:hint="eastAsia" w:ascii="Times New Roman" w:hAnsi="Times New Roman" w:cs="Times New Roman"/>
          <w:sz w:val="24"/>
          <w:szCs w:val="24"/>
        </w:rPr>
        <w:t xml:space="preserve"> Effect of a monoclonal antibody to PCSK9 on low-density lipoprotein cholesterol levels in statin-intolerant patients: the GAUSS randomized trial. </w:t>
      </w:r>
      <w:r>
        <w:rPr>
          <w:rFonts w:ascii="Times New Roman" w:hAnsi="Times New Roman" w:cs="Times New Roman"/>
          <w:sz w:val="24"/>
          <w:szCs w:val="24"/>
        </w:rPr>
        <w:t>JAMA. 2012</w:t>
      </w:r>
      <w:r>
        <w:rPr>
          <w:rFonts w:hint="eastAsia" w:ascii="Times New Roman" w:hAnsi="Times New Roman" w:cs="Times New Roman"/>
          <w:sz w:val="24"/>
          <w:szCs w:val="24"/>
        </w:rPr>
        <w:t>,</w:t>
      </w:r>
      <w:r>
        <w:rPr>
          <w:rFonts w:ascii="Times New Roman" w:hAnsi="Times New Roman" w:cs="Times New Roman"/>
          <w:sz w:val="24"/>
          <w:szCs w:val="24"/>
        </w:rPr>
        <w:t>308:2497-2506</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Stroes E, Colquhoun D, Sullivan D, Civeira F, Rosenson RS, Watts GF, Bruckert E, Cho L, Dent R, Knusel B, Xue A, Scott R, Wasserman SM, Rocco M; GAUSS-2 Investigators.</w:t>
      </w:r>
      <w:r>
        <w:rPr>
          <w:rFonts w:hint="eastAsia" w:ascii="Times New Roman" w:hAnsi="Times New Roman" w:cs="Times New Roman"/>
          <w:sz w:val="24"/>
          <w:szCs w:val="24"/>
        </w:rPr>
        <w:t xml:space="preserve"> Anti-PCSK9 antibody effectively lowers cholesterol in patients with statin intolerance: the GAUSS-2 randomized, placebo-controlled phase 3 clinical trial of evolocumab. J Am Coll Cardiol 2014;63:2541-2548.</w:t>
      </w:r>
    </w:p>
    <w:p>
      <w:pPr>
        <w:pStyle w:val="10"/>
        <w:numPr>
          <w:ilvl w:val="0"/>
          <w:numId w:val="1"/>
        </w:numPr>
        <w:spacing w:line="480" w:lineRule="auto"/>
        <w:ind w:firstLineChars="0"/>
        <w:rPr>
          <w:rFonts w:ascii="Times New Roman" w:hAnsi="Times New Roman" w:cs="Times New Roman"/>
          <w:sz w:val="24"/>
          <w:szCs w:val="24"/>
        </w:rPr>
      </w:pPr>
      <w:r>
        <w:rPr>
          <w:rFonts w:hint="eastAsia" w:ascii="Times New Roman" w:hAnsi="Times New Roman" w:cs="Times New Roman"/>
          <w:sz w:val="24"/>
          <w:szCs w:val="24"/>
        </w:rPr>
        <w:t xml:space="preserve">Nissen SE, Stroes E, Dent-Acosta RE, Rosenson RS, Lehman SJ, Sattar N, Preiss D, Bruckert E, Ceška R9, Lepor N10, Ballantyne CM11, Gouni-Berthold I12, Elliott M, Brennan DM, Wasserman SM, Somaratne R, Scott R, Stein EA; GAUSS-3 Investigators .Efficacy and Tolerability of Evolocumab vs Ezetimibe in Patients With Muscle-Related Statin Intolerance: The GAUSS-3 Randomized Clinical Trial. </w:t>
      </w:r>
      <w:r>
        <w:rPr>
          <w:rFonts w:ascii="Times New Roman" w:hAnsi="Times New Roman" w:cs="Times New Roman"/>
          <w:sz w:val="24"/>
          <w:szCs w:val="24"/>
        </w:rPr>
        <w:t>JAMA.2016;315(15):1580-1590.</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Koba S, Inoue I, Cyrille M, Lu C, Inomata H, Shimauchi J, Kajinami K</w:t>
      </w:r>
      <w:r>
        <w:rPr>
          <w:rFonts w:hint="eastAsia" w:ascii="Times New Roman" w:hAnsi="Times New Roman" w:cs="Times New Roman"/>
          <w:sz w:val="24"/>
          <w:szCs w:val="24"/>
        </w:rPr>
        <w:t>. Evolocumab vs. Ezetimibe in Statin-Intolerant Hyperlipidemic Japanese Patients: Phase 3 GAUSS-4 Trial. J Atheroscler Thromb. 2019 Nov 21. [Epub ahead of print]</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Nicholls SJ, Puri R, Anderson T, Ballantyne CM, Cho L, Kastelein JJ, Koenig W, Somaratne R, Kassahun H, Yang J, Wasserman SM, Scott R, Ungi I, Podolec J, Ophuis AO, Cornel JH, Borgman M, Brennan DM, Nissen SE</w:t>
      </w:r>
      <w:r>
        <w:rPr>
          <w:rFonts w:hint="eastAsia" w:ascii="Times New Roman" w:hAnsi="Times New Roman" w:cs="Times New Roman"/>
          <w:sz w:val="24"/>
          <w:szCs w:val="24"/>
        </w:rPr>
        <w:t>. Effect of Evolocumab on Progression of Coronary Disease in Statin-Treated Patients: The GLAGOV Randomized Clinical Trial. JAMA.2016;316:2373-2384.</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Sabatine MS, Giugliano RP, Wiviott SD, Raal FJ, Blom DJ, Robinson J, Ballantyne CM, Somaratne R, Legg J, Wasserman SM, Scott R, Koren MJ, Stein EA; Open-Label Study of Long-Term Evaluation against LDL Cholesterol (OSLER) Investigators.</w:t>
      </w:r>
      <w:r>
        <w:rPr>
          <w:rFonts w:hint="eastAsia" w:ascii="Times New Roman" w:hAnsi="Times New Roman" w:cs="Times New Roman"/>
          <w:sz w:val="24"/>
          <w:szCs w:val="24"/>
        </w:rPr>
        <w:t xml:space="preserve"> Efficacy and safety of evolocumab in reducing lipids and cardiovascular events. </w:t>
      </w:r>
      <w:r>
        <w:rPr>
          <w:rFonts w:ascii="Times New Roman" w:hAnsi="Times New Roman" w:cs="Times New Roman"/>
          <w:sz w:val="24"/>
          <w:szCs w:val="24"/>
        </w:rPr>
        <w:t>N Engl J Med</w:t>
      </w:r>
      <w:r>
        <w:rPr>
          <w:rFonts w:hint="eastAsia" w:ascii="Times New Roman" w:hAnsi="Times New Roman" w:cs="Times New Roman"/>
          <w:sz w:val="24"/>
          <w:szCs w:val="24"/>
        </w:rPr>
        <w:t>.</w:t>
      </w:r>
      <w:r>
        <w:rPr>
          <w:rFonts w:ascii="Times New Roman" w:hAnsi="Times New Roman" w:cs="Times New Roman"/>
          <w:sz w:val="24"/>
          <w:szCs w:val="24"/>
        </w:rPr>
        <w:t xml:space="preserve"> 2015;372:1500-</w:t>
      </w:r>
      <w:r>
        <w:rPr>
          <w:rFonts w:hint="eastAsia" w:ascii="Times New Roman" w:hAnsi="Times New Roman" w:cs="Times New Roman"/>
          <w:sz w:val="24"/>
          <w:szCs w:val="24"/>
        </w:rPr>
        <w:t>150</w:t>
      </w:r>
      <w:r>
        <w:rPr>
          <w:rFonts w:ascii="Times New Roman" w:hAnsi="Times New Roman" w:cs="Times New Roman"/>
          <w:sz w:val="24"/>
          <w:szCs w:val="24"/>
        </w:rPr>
        <w:t xml:space="preserve">9.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Hirayama A, Honarpour N, Yoshida M, Yamashita S, Huang F, Wasserman SM, Teramoto T.</w:t>
      </w:r>
      <w:r>
        <w:rPr>
          <w:rFonts w:hint="eastAsia" w:ascii="Times New Roman" w:hAnsi="Times New Roman" w:cs="Times New Roman"/>
          <w:sz w:val="24"/>
          <w:szCs w:val="24"/>
        </w:rPr>
        <w:t xml:space="preserve"> Effects of evolocumab (AMG 145), a monoclonal antibody to PCSK9, in hypercholesterolemic, statin-treated Japanese patients at high cardiovascular risk--primary results from the phase 2 YUKAWA study. Circ J. 2014;78:1073-1082.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Kiyosue A, Honarpour N, Kurtz C, Xue A, Wasserman SM, Hirayama A</w:t>
      </w:r>
      <w:r>
        <w:rPr>
          <w:rFonts w:hint="eastAsia" w:ascii="Times New Roman" w:hAnsi="Times New Roman" w:cs="Times New Roman"/>
          <w:sz w:val="24"/>
          <w:szCs w:val="24"/>
        </w:rPr>
        <w:t xml:space="preserve">. A Phase 3 Study of Evolocumab (AMG 145) in Statin-Treated Japanese Patients at High Cardiovascular Risk. </w:t>
      </w:r>
      <w:r>
        <w:rPr>
          <w:rFonts w:ascii="Times New Roman" w:hAnsi="Times New Roman" w:cs="Times New Roman"/>
          <w:sz w:val="24"/>
          <w:szCs w:val="24"/>
        </w:rPr>
        <w:t>Am</w:t>
      </w:r>
      <w:r>
        <w:rPr>
          <w:rFonts w:hint="eastAsia" w:ascii="Times New Roman" w:hAnsi="Times New Roman" w:cs="Times New Roman"/>
          <w:sz w:val="24"/>
          <w:szCs w:val="24"/>
        </w:rPr>
        <w:t xml:space="preserve"> </w:t>
      </w:r>
      <w:r>
        <w:rPr>
          <w:rFonts w:ascii="Times New Roman" w:hAnsi="Times New Roman" w:cs="Times New Roman"/>
          <w:sz w:val="24"/>
          <w:szCs w:val="24"/>
        </w:rPr>
        <w:t>J Cardiol</w:t>
      </w:r>
      <w:r>
        <w:rPr>
          <w:rFonts w:hint="eastAsia" w:ascii="Times New Roman" w:hAnsi="Times New Roman" w:cs="Times New Roman"/>
          <w:sz w:val="24"/>
          <w:szCs w:val="24"/>
        </w:rPr>
        <w:t>.</w:t>
      </w:r>
      <w:r>
        <w:rPr>
          <w:rFonts w:ascii="Times New Roman" w:hAnsi="Times New Roman" w:cs="Times New Roman"/>
          <w:sz w:val="24"/>
          <w:szCs w:val="24"/>
        </w:rPr>
        <w:t xml:space="preserve"> 2016;117:40</w:t>
      </w:r>
      <w:r>
        <w:rPr>
          <w:rFonts w:hint="eastAsia" w:ascii="Times New Roman" w:hAnsi="Times New Roman" w:cs="Times New Roman"/>
          <w:sz w:val="24"/>
          <w:szCs w:val="24"/>
        </w:rPr>
        <w:t>-</w:t>
      </w:r>
      <w:r>
        <w:rPr>
          <w:rFonts w:ascii="Times New Roman" w:hAnsi="Times New Roman" w:cs="Times New Roman"/>
          <w:sz w:val="24"/>
          <w:szCs w:val="24"/>
        </w:rPr>
        <w:t>47</w:t>
      </w:r>
      <w:r>
        <w:rPr>
          <w:rFonts w:hint="eastAsia" w:ascii="Times New Roman" w:hAnsi="Times New Roman" w:cs="Times New Roman"/>
          <w:sz w:val="24"/>
          <w:szCs w:val="24"/>
        </w:rPr>
        <w:t>.</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Koskinas KC, Windecker S, Pedrazzini G, Mueller C, Cook S, Matter CM, Muller O, Häner J, Gencer B, Crljenica C, Amini P, Deckarm O, Iglesias JF, Räber L, Heg D, Mach F</w:t>
      </w:r>
      <w:r>
        <w:rPr>
          <w:rFonts w:hint="eastAsia" w:ascii="Times New Roman" w:hAnsi="Times New Roman" w:cs="Times New Roman"/>
          <w:sz w:val="24"/>
          <w:szCs w:val="24"/>
        </w:rPr>
        <w:t xml:space="preserve">. </w:t>
      </w:r>
      <w:r>
        <w:rPr>
          <w:rFonts w:ascii="Times New Roman" w:hAnsi="Times New Roman" w:cs="Times New Roman"/>
          <w:sz w:val="24"/>
          <w:szCs w:val="24"/>
        </w:rPr>
        <w:t>Evolocumab for Early Reduction of LDL Cholesterol Levels in Patients With Acute Coronary Syndromes (EVOPACS)</w:t>
      </w:r>
      <w:r>
        <w:rPr>
          <w:rFonts w:hint="eastAsia" w:ascii="Times New Roman" w:hAnsi="Times New Roman" w:cs="Times New Roman"/>
          <w:sz w:val="24"/>
          <w:szCs w:val="24"/>
        </w:rPr>
        <w:t xml:space="preserve">. </w:t>
      </w:r>
      <w:r>
        <w:rPr>
          <w:rFonts w:ascii="Times New Roman" w:hAnsi="Times New Roman" w:cs="Times New Roman"/>
          <w:sz w:val="24"/>
          <w:szCs w:val="24"/>
        </w:rPr>
        <w:t>J Am Coll Cardiol</w:t>
      </w:r>
      <w:r>
        <w:rPr>
          <w:rFonts w:hint="eastAsia" w:ascii="Times New Roman" w:hAnsi="Times New Roman" w:cs="Times New Roman"/>
          <w:sz w:val="24"/>
          <w:szCs w:val="24"/>
        </w:rPr>
        <w:t>.</w:t>
      </w:r>
      <w:r>
        <w:rPr>
          <w:rFonts w:ascii="Times New Roman" w:hAnsi="Times New Roman" w:cs="Times New Roman"/>
          <w:sz w:val="24"/>
          <w:szCs w:val="24"/>
        </w:rPr>
        <w:t xml:space="preserve"> 2019;74:2452</w:t>
      </w:r>
      <w:r>
        <w:rPr>
          <w:rFonts w:hint="eastAsia" w:ascii="Times New Roman" w:hAnsi="Times New Roman" w:cs="Times New Roman"/>
          <w:sz w:val="24"/>
          <w:szCs w:val="24"/>
        </w:rPr>
        <w:t>-24</w:t>
      </w:r>
      <w:r>
        <w:rPr>
          <w:rFonts w:ascii="Times New Roman" w:hAnsi="Times New Roman" w:cs="Times New Roman"/>
          <w:sz w:val="24"/>
          <w:szCs w:val="24"/>
        </w:rPr>
        <w:t>62</w:t>
      </w:r>
      <w:r>
        <w:rPr>
          <w:rFonts w:hint="eastAsia" w:ascii="Times New Roman" w:hAnsi="Times New Roman" w:cs="Times New Roman"/>
          <w:sz w:val="24"/>
          <w:szCs w:val="24"/>
        </w:rPr>
        <w:t>.</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Robinson JG, Nedergaard BS, Rogers WJ, Fialkow J, Neutel JM, Ramstad D, Somaratne R, Legg JC, Nelson P, Scott R, Wasserman SM, Weiss R; LAPLACE-2 Investigators</w:t>
      </w:r>
      <w:r>
        <w:rPr>
          <w:rFonts w:hint="eastAsia" w:ascii="Times New Roman" w:hAnsi="Times New Roman" w:cs="Times New Roman"/>
          <w:sz w:val="24"/>
          <w:szCs w:val="24"/>
        </w:rPr>
        <w:t xml:space="preserve">. Effect of evolocumab or ezetimibe added to moderate- or high-intensity statin therapy on LDL-C lowering in patients with hypercholesterolemia: the LAPLACE-2 randomized clinical trial. </w:t>
      </w:r>
      <w:r>
        <w:rPr>
          <w:rFonts w:ascii="Times New Roman" w:hAnsi="Times New Roman" w:cs="Times New Roman"/>
          <w:sz w:val="24"/>
          <w:szCs w:val="24"/>
        </w:rPr>
        <w:t>JAMA. 2014;311:1870-</w:t>
      </w:r>
      <w:r>
        <w:rPr>
          <w:rFonts w:hint="eastAsia" w:ascii="Times New Roman" w:hAnsi="Times New Roman" w:cs="Times New Roman"/>
          <w:sz w:val="24"/>
          <w:szCs w:val="24"/>
        </w:rPr>
        <w:t>18</w:t>
      </w:r>
      <w:r>
        <w:rPr>
          <w:rFonts w:ascii="Times New Roman" w:hAnsi="Times New Roman" w:cs="Times New Roman"/>
          <w:sz w:val="24"/>
          <w:szCs w:val="24"/>
        </w:rPr>
        <w:t>82.</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Koren MJ, Lundqvist P, Bolognese M, Neutel JM, Monsalvo ML, Yang J, Kim JB, Scott R, Wasserman SM, Bays H; MENDEL-2 Investigators</w:t>
      </w:r>
      <w:r>
        <w:rPr>
          <w:rFonts w:hint="eastAsia" w:ascii="Times New Roman" w:hAnsi="Times New Roman" w:cs="Times New Roman"/>
          <w:sz w:val="24"/>
          <w:szCs w:val="24"/>
        </w:rPr>
        <w:t>. Anti-PCSK9 monotherapy for hypercholesterolemia: the MENDEL-2 randomized, controlled phase III clinical trial of evolocumab. J Am Coll Cardiol. 2014;63:2531-2540.</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Raal F, Scott R, Somaratne R, Bridges I, Li G, Wasserman SM, Stein EA.</w:t>
      </w:r>
      <w:r>
        <w:rPr>
          <w:rFonts w:hint="eastAsia" w:ascii="Times New Roman" w:hAnsi="Times New Roman" w:cs="Times New Roman"/>
          <w:sz w:val="24"/>
          <w:szCs w:val="24"/>
        </w:rPr>
        <w:t xml:space="preserve"> Low-density lipoprotein cholesterol-lowering effects of AMG 145, a monoclonal antibody to proprotein convertase subtilisin/kexin type 9 serine protease in patients with heterozygous familial hypercholesterolemia: the Reduction of LDL-C with PCSK9 Inhibition in Heterozygous Familial Hypercholesterolemia Disorder (RUTHERFORD) randomized trial. </w:t>
      </w:r>
      <w:r>
        <w:rPr>
          <w:rFonts w:ascii="Times New Roman" w:hAnsi="Times New Roman" w:cs="Times New Roman"/>
          <w:sz w:val="24"/>
          <w:szCs w:val="24"/>
        </w:rPr>
        <w:t xml:space="preserve">Circulation. 2012;126: 2408-2417. </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Raal FJ, Stein EA, Dufour R, Turner T, Civeira F, Burgess L, Langslet G, Scott R, Olsson AG, Sullivan D, Hovingh GK, Cariou B, Gouni-Berthold I, Somaratne R, Bridges I, Scott R, Wasserman SM, Gaudet D; RUTHERFORD-2 Investigators</w:t>
      </w:r>
      <w:r>
        <w:rPr>
          <w:rFonts w:hint="eastAsia" w:ascii="Times New Roman" w:hAnsi="Times New Roman" w:cs="Times New Roman"/>
          <w:sz w:val="24"/>
          <w:szCs w:val="24"/>
        </w:rPr>
        <w:t>. PCSK9 inhibition with evolocumab (AMG 145) in heterozygous familial hypercholesterolaemia (RUTHERFORD-2): a randomised, double-blind, placebo-controlled trial. Lancet. 2015; 385: 331-340.</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Raal FJ, Honarpour N, Blom DJ, Hovingh GK, Xu F, Scott R, Wasserman SM, Stein EA; TESLA Investigators.</w:t>
      </w:r>
      <w:r>
        <w:rPr>
          <w:rFonts w:hint="eastAsia" w:ascii="Times New Roman" w:hAnsi="Times New Roman" w:cs="Times New Roman"/>
          <w:sz w:val="24"/>
          <w:szCs w:val="24"/>
        </w:rPr>
        <w:t xml:space="preserve"> Inhibition of PCSK9 with evolocumab in homozygous familial hypercholesterolaemia (TESLA Part B): a randomised, double-blind, placebo-controlled trial. </w:t>
      </w:r>
      <w:r>
        <w:rPr>
          <w:rFonts w:ascii="Times New Roman" w:hAnsi="Times New Roman" w:cs="Times New Roman"/>
          <w:sz w:val="24"/>
          <w:szCs w:val="24"/>
        </w:rPr>
        <w:t>Lancet</w:t>
      </w:r>
      <w:r>
        <w:rPr>
          <w:rFonts w:hint="eastAsia" w:ascii="Times New Roman" w:hAnsi="Times New Roman" w:cs="Times New Roman"/>
          <w:sz w:val="24"/>
          <w:szCs w:val="24"/>
        </w:rPr>
        <w:t>.</w:t>
      </w:r>
      <w:r>
        <w:rPr>
          <w:rFonts w:ascii="Times New Roman" w:hAnsi="Times New Roman" w:cs="Times New Roman"/>
          <w:sz w:val="24"/>
          <w:szCs w:val="24"/>
        </w:rPr>
        <w:t xml:space="preserve"> 2015; 385: 341</w:t>
      </w:r>
      <w:r>
        <w:rPr>
          <w:rFonts w:hint="eastAsia" w:ascii="Times New Roman" w:hAnsi="Times New Roman" w:cs="Times New Roman"/>
          <w:sz w:val="24"/>
          <w:szCs w:val="24"/>
        </w:rPr>
        <w:t>-</w:t>
      </w:r>
      <w:r>
        <w:rPr>
          <w:rFonts w:ascii="Times New Roman" w:hAnsi="Times New Roman" w:cs="Times New Roman"/>
          <w:sz w:val="24"/>
          <w:szCs w:val="24"/>
        </w:rPr>
        <w:t>50</w:t>
      </w:r>
      <w:r>
        <w:rPr>
          <w:rFonts w:hint="eastAsia" w:ascii="Times New Roman" w:hAnsi="Times New Roman" w:cs="Times New Roman"/>
          <w:sz w:val="24"/>
          <w:szCs w:val="24"/>
        </w:rPr>
        <w:t>.</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National Institutes of Health. ClinicalTrials.gov [Internet]. Effects of Proprotein Convertase Subtilisin/Kexin Type 9 (PCSK9) Inhibition on Arterial Wall Inflammation in Patients With Elevated Lipoprotein(a) (Lp(a)) (ANITSCHKOW). National Institutes of Health; 201</w:t>
      </w:r>
      <w:r>
        <w:rPr>
          <w:rFonts w:hint="eastAsia" w:ascii="Times New Roman" w:hAnsi="Times New Roman" w:cs="Times New Roman"/>
          <w:sz w:val="24"/>
          <w:szCs w:val="24"/>
        </w:rPr>
        <w:t>9</w:t>
      </w:r>
      <w:r>
        <w:rPr>
          <w:rFonts w:ascii="Times New Roman" w:hAnsi="Times New Roman" w:cs="Times New Roman"/>
          <w:sz w:val="24"/>
          <w:szCs w:val="24"/>
        </w:rPr>
        <w:t>. Identiﬁer NCT02729025. https://Clini calTrials.gov/show/ NCT02729025.</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National Institutes of Health. ClinicalTrials.gov [Internet]. Effects on Lipoprotein Metabolism From PCSK9 Inhibition Utilizing a Monoclonal Antibody (FLOREY). National Institutes of Health; 201</w:t>
      </w:r>
      <w:r>
        <w:rPr>
          <w:rFonts w:hint="eastAsia" w:ascii="Times New Roman" w:hAnsi="Times New Roman" w:cs="Times New Roman"/>
          <w:sz w:val="24"/>
          <w:szCs w:val="24"/>
        </w:rPr>
        <w:t>8</w:t>
      </w:r>
      <w:r>
        <w:rPr>
          <w:rFonts w:ascii="Times New Roman" w:hAnsi="Times New Roman" w:cs="Times New Roman"/>
          <w:sz w:val="24"/>
          <w:szCs w:val="24"/>
        </w:rPr>
        <w:t>. Identiﬁer NCT</w:t>
      </w:r>
      <w:r>
        <w:rPr>
          <w:sz w:val="24"/>
          <w:szCs w:val="24"/>
        </w:rPr>
        <w:t xml:space="preserve"> </w:t>
      </w:r>
      <w:r>
        <w:rPr>
          <w:rFonts w:ascii="Times New Roman" w:hAnsi="Times New Roman" w:cs="Times New Roman"/>
          <w:sz w:val="24"/>
          <w:szCs w:val="24"/>
        </w:rPr>
        <w:t>02189837. https://Clini calTrials.gov/show/ NCT</w:t>
      </w:r>
      <w:r>
        <w:rPr>
          <w:sz w:val="24"/>
          <w:szCs w:val="24"/>
        </w:rPr>
        <w:t xml:space="preserve"> </w:t>
      </w:r>
      <w:r>
        <w:rPr>
          <w:rFonts w:ascii="Times New Roman" w:hAnsi="Times New Roman" w:cs="Times New Roman"/>
          <w:sz w:val="24"/>
          <w:szCs w:val="24"/>
        </w:rPr>
        <w:t>02189837.</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Ridker PM, Revkin J, Amarenco P, Brunell R, Curto M, Civeira F, Flather M, Glynn RJ, Gregoire J, Jukema JW, Karpov Y, Kastelein JJP, Koenig W, Lorenzatti A, Manga P, Masiukiewicz U, Miller M, Mosterd A, Murin J, Nicolau JC, Nissen S, Ponikowski P, Santos RD, Schwartz PF, Soran H, White H, Wright RS, Vrablik M, Yunis C, Shear CL, Tardif JC; SPIRE Cardiovascular Outcome Investigators.</w:t>
      </w:r>
      <w:r>
        <w:rPr>
          <w:rFonts w:hint="eastAsia" w:ascii="Times New Roman" w:hAnsi="Times New Roman" w:cs="Times New Roman"/>
          <w:sz w:val="24"/>
          <w:szCs w:val="24"/>
        </w:rPr>
        <w:t xml:space="preserve"> </w:t>
      </w:r>
      <w:r>
        <w:rPr>
          <w:rFonts w:ascii="Times New Roman" w:hAnsi="Times New Roman" w:cs="Times New Roman"/>
          <w:sz w:val="24"/>
          <w:szCs w:val="24"/>
        </w:rPr>
        <w:t>Cardiovascular Efficacy and Safety of Bococizumab in High-Risk Patients.</w:t>
      </w:r>
      <w:r>
        <w:rPr>
          <w:rFonts w:hint="eastAsia" w:ascii="Times New Roman" w:hAnsi="Times New Roman" w:cs="Times New Roman"/>
          <w:sz w:val="24"/>
          <w:szCs w:val="24"/>
        </w:rPr>
        <w:t xml:space="preserve"> </w:t>
      </w:r>
      <w:r>
        <w:rPr>
          <w:rFonts w:ascii="Times New Roman" w:hAnsi="Times New Roman" w:cs="Times New Roman"/>
          <w:sz w:val="24"/>
          <w:szCs w:val="24"/>
        </w:rPr>
        <w:t>N Engl J Med</w:t>
      </w:r>
      <w:r>
        <w:rPr>
          <w:rFonts w:hint="eastAsia" w:ascii="Times New Roman" w:hAnsi="Times New Roman" w:cs="Times New Roman"/>
          <w:sz w:val="24"/>
          <w:szCs w:val="24"/>
        </w:rPr>
        <w:t>.</w:t>
      </w:r>
      <w:r>
        <w:rPr>
          <w:rFonts w:ascii="Times New Roman" w:hAnsi="Times New Roman" w:cs="Times New Roman"/>
          <w:sz w:val="24"/>
          <w:szCs w:val="24"/>
        </w:rPr>
        <w:t xml:space="preserve"> 2017;376:1527-</w:t>
      </w:r>
      <w:r>
        <w:rPr>
          <w:rFonts w:hint="eastAsia" w:ascii="Times New Roman" w:hAnsi="Times New Roman" w:cs="Times New Roman"/>
          <w:sz w:val="24"/>
          <w:szCs w:val="24"/>
        </w:rPr>
        <w:t>15</w:t>
      </w:r>
      <w:r>
        <w:rPr>
          <w:rFonts w:ascii="Times New Roman" w:hAnsi="Times New Roman" w:cs="Times New Roman"/>
          <w:sz w:val="24"/>
          <w:szCs w:val="24"/>
        </w:rPr>
        <w:t>39.</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Ridker PM, Tardif JC, Amarenco P, Duggan W, Glynn RJ, Jukema JW, Kastelein JJP, Kim AM, Koenig W1, Nissen S, Revkin J, Rose LM, Santos RD, Schwartz PF, Shear CL, Yunis C; SPIRE Investigators</w:t>
      </w:r>
      <w:r>
        <w:rPr>
          <w:rFonts w:hint="eastAsia" w:ascii="Times New Roman" w:hAnsi="Times New Roman" w:cs="Times New Roman"/>
          <w:sz w:val="24"/>
          <w:szCs w:val="24"/>
        </w:rPr>
        <w:t xml:space="preserve">. </w:t>
      </w:r>
      <w:r>
        <w:rPr>
          <w:rFonts w:ascii="Times New Roman" w:hAnsi="Times New Roman" w:cs="Times New Roman"/>
          <w:sz w:val="24"/>
          <w:szCs w:val="24"/>
        </w:rPr>
        <w:t>Lipid-Reduction Variability and Antidrug-Antibody Formation with Bococizumab</w:t>
      </w:r>
      <w:r>
        <w:rPr>
          <w:rFonts w:hint="eastAsia" w:ascii="Times New Roman" w:hAnsi="Times New Roman" w:cs="Times New Roman"/>
          <w:sz w:val="24"/>
          <w:szCs w:val="24"/>
        </w:rPr>
        <w:t xml:space="preserve">. </w:t>
      </w:r>
      <w:r>
        <w:rPr>
          <w:rFonts w:ascii="Times New Roman" w:hAnsi="Times New Roman" w:cs="Times New Roman"/>
          <w:sz w:val="24"/>
          <w:szCs w:val="24"/>
        </w:rPr>
        <w:t>N Engl J Med</w:t>
      </w:r>
      <w:r>
        <w:rPr>
          <w:rFonts w:hint="eastAsia" w:ascii="Times New Roman" w:hAnsi="Times New Roman" w:cs="Times New Roman"/>
          <w:sz w:val="24"/>
          <w:szCs w:val="24"/>
        </w:rPr>
        <w:t xml:space="preserve">. </w:t>
      </w:r>
      <w:r>
        <w:rPr>
          <w:rFonts w:ascii="Times New Roman" w:hAnsi="Times New Roman" w:cs="Times New Roman"/>
          <w:sz w:val="24"/>
          <w:szCs w:val="24"/>
        </w:rPr>
        <w:t>2017;376:1517-</w:t>
      </w:r>
      <w:r>
        <w:rPr>
          <w:rFonts w:hint="eastAsia" w:ascii="Times New Roman" w:hAnsi="Times New Roman" w:cs="Times New Roman"/>
          <w:sz w:val="24"/>
          <w:szCs w:val="24"/>
        </w:rPr>
        <w:t>15</w:t>
      </w:r>
      <w:r>
        <w:rPr>
          <w:rFonts w:ascii="Times New Roman" w:hAnsi="Times New Roman" w:cs="Times New Roman"/>
          <w:sz w:val="24"/>
          <w:szCs w:val="24"/>
        </w:rPr>
        <w:t>26.</w:t>
      </w:r>
    </w:p>
    <w:p>
      <w:pPr>
        <w:pStyle w:val="10"/>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Yokote K, Kanada S, Matsuoka O, Sekino H, Imai K, Tabira J, Matsuoka N, Chaudhuri S, Teramoto T</w:t>
      </w:r>
      <w:r>
        <w:rPr>
          <w:rFonts w:hint="eastAsia" w:ascii="Times New Roman" w:hAnsi="Times New Roman" w:cs="Times New Roman"/>
          <w:sz w:val="24"/>
          <w:szCs w:val="24"/>
        </w:rPr>
        <w:t xml:space="preserve">. Efficacy and Safety of Bococizumab (RN316/PF-04950615), a Monoclonal Antibody Against Proprotein Convertase Subtilisin/Kexin Type 9, in Hypercholesterolemic Japanese Subjects Receiving a Stable Dose of Atorvastatin or Treatment-Naive-Results From a Randomized, Placebo-Controlled, Dose-Ranging Study. </w:t>
      </w:r>
      <w:r>
        <w:rPr>
          <w:rFonts w:ascii="Times New Roman" w:hAnsi="Times New Roman" w:cs="Times New Roman"/>
          <w:sz w:val="24"/>
          <w:szCs w:val="24"/>
        </w:rPr>
        <w:t>Circ J</w:t>
      </w:r>
      <w:r>
        <w:rPr>
          <w:rFonts w:hint="eastAsia" w:ascii="Times New Roman" w:hAnsi="Times New Roman" w:cs="Times New Roman"/>
          <w:sz w:val="24"/>
          <w:szCs w:val="24"/>
        </w:rPr>
        <w:t>.</w:t>
      </w:r>
      <w:r>
        <w:rPr>
          <w:rFonts w:ascii="Times New Roman" w:hAnsi="Times New Roman" w:cs="Times New Roman"/>
          <w:sz w:val="24"/>
          <w:szCs w:val="24"/>
        </w:rPr>
        <w:t xml:space="preserve"> 2017; 81: 1496</w:t>
      </w:r>
      <w:r>
        <w:rPr>
          <w:rFonts w:hint="eastAsia" w:ascii="Times New Roman" w:hAnsi="Times New Roman" w:cs="Times New Roman"/>
          <w:sz w:val="24"/>
          <w:szCs w:val="24"/>
        </w:rPr>
        <w:t>-</w:t>
      </w:r>
      <w:r>
        <w:rPr>
          <w:rFonts w:ascii="Times New Roman" w:hAnsi="Times New Roman" w:cs="Times New Roman"/>
          <w:sz w:val="24"/>
          <w:szCs w:val="24"/>
        </w:rPr>
        <w:t>1505</w:t>
      </w:r>
      <w:r>
        <w:rPr>
          <w:rFonts w:hint="eastAsia" w:ascii="Times New Roman" w:hAnsi="Times New Roman" w:cs="Times New Roman"/>
          <w:sz w:val="24"/>
          <w:szCs w:val="24"/>
        </w:rPr>
        <w:t>.</w:t>
      </w:r>
    </w:p>
    <w:sectPr>
      <w:pgSz w:w="16838" w:h="11906" w:orient="landscape"/>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79F4"/>
    <w:multiLevelType w:val="multilevel"/>
    <w:tmpl w:val="4A4279F4"/>
    <w:lvl w:ilvl="0" w:tentative="0">
      <w:start w:val="1"/>
      <w:numFmt w:val="decimal"/>
      <w:lvlText w:val="S%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7077"/>
    <w:rsid w:val="000026D8"/>
    <w:rsid w:val="00004F98"/>
    <w:rsid w:val="000177B0"/>
    <w:rsid w:val="00032C3F"/>
    <w:rsid w:val="0005690B"/>
    <w:rsid w:val="00086AE8"/>
    <w:rsid w:val="000A02DF"/>
    <w:rsid w:val="000A352A"/>
    <w:rsid w:val="000A3F91"/>
    <w:rsid w:val="000F4526"/>
    <w:rsid w:val="000F7642"/>
    <w:rsid w:val="00101517"/>
    <w:rsid w:val="00114CEE"/>
    <w:rsid w:val="00122D97"/>
    <w:rsid w:val="0014771D"/>
    <w:rsid w:val="00152C92"/>
    <w:rsid w:val="001B56A1"/>
    <w:rsid w:val="001B71BA"/>
    <w:rsid w:val="001D18EE"/>
    <w:rsid w:val="001F48E0"/>
    <w:rsid w:val="00210DDC"/>
    <w:rsid w:val="00214A58"/>
    <w:rsid w:val="00297025"/>
    <w:rsid w:val="002A6CD8"/>
    <w:rsid w:val="002B2238"/>
    <w:rsid w:val="002B3486"/>
    <w:rsid w:val="002C6E78"/>
    <w:rsid w:val="002C7AD1"/>
    <w:rsid w:val="002C7E67"/>
    <w:rsid w:val="002E0110"/>
    <w:rsid w:val="0033235E"/>
    <w:rsid w:val="00334A69"/>
    <w:rsid w:val="00344880"/>
    <w:rsid w:val="0035272A"/>
    <w:rsid w:val="00353388"/>
    <w:rsid w:val="0035561E"/>
    <w:rsid w:val="00363AF7"/>
    <w:rsid w:val="003B1281"/>
    <w:rsid w:val="003C2027"/>
    <w:rsid w:val="003D4452"/>
    <w:rsid w:val="003E18E8"/>
    <w:rsid w:val="003F04A6"/>
    <w:rsid w:val="003F2287"/>
    <w:rsid w:val="00413B3B"/>
    <w:rsid w:val="004264A4"/>
    <w:rsid w:val="00430618"/>
    <w:rsid w:val="00464045"/>
    <w:rsid w:val="0047278B"/>
    <w:rsid w:val="0048407E"/>
    <w:rsid w:val="00487998"/>
    <w:rsid w:val="0049648B"/>
    <w:rsid w:val="00497C9B"/>
    <w:rsid w:val="004A1803"/>
    <w:rsid w:val="004D0C06"/>
    <w:rsid w:val="004E2A03"/>
    <w:rsid w:val="005539CF"/>
    <w:rsid w:val="00574FF8"/>
    <w:rsid w:val="005B36F7"/>
    <w:rsid w:val="005B448A"/>
    <w:rsid w:val="005E2609"/>
    <w:rsid w:val="005F305E"/>
    <w:rsid w:val="005F751C"/>
    <w:rsid w:val="006304B7"/>
    <w:rsid w:val="0065557A"/>
    <w:rsid w:val="00660B72"/>
    <w:rsid w:val="0068492F"/>
    <w:rsid w:val="0069433D"/>
    <w:rsid w:val="006A765D"/>
    <w:rsid w:val="00715A24"/>
    <w:rsid w:val="00720FB0"/>
    <w:rsid w:val="00721D99"/>
    <w:rsid w:val="00723EA0"/>
    <w:rsid w:val="00736C99"/>
    <w:rsid w:val="0078718E"/>
    <w:rsid w:val="00793440"/>
    <w:rsid w:val="007F735C"/>
    <w:rsid w:val="00807FAB"/>
    <w:rsid w:val="00810D77"/>
    <w:rsid w:val="0083597B"/>
    <w:rsid w:val="00836E92"/>
    <w:rsid w:val="0084115F"/>
    <w:rsid w:val="0085274C"/>
    <w:rsid w:val="00876186"/>
    <w:rsid w:val="00886E77"/>
    <w:rsid w:val="008929F3"/>
    <w:rsid w:val="008A1053"/>
    <w:rsid w:val="008A1138"/>
    <w:rsid w:val="008A7B7B"/>
    <w:rsid w:val="008C216D"/>
    <w:rsid w:val="008D2D37"/>
    <w:rsid w:val="00907077"/>
    <w:rsid w:val="00936745"/>
    <w:rsid w:val="00950FEE"/>
    <w:rsid w:val="0098433F"/>
    <w:rsid w:val="009A730D"/>
    <w:rsid w:val="009A7F40"/>
    <w:rsid w:val="009B4170"/>
    <w:rsid w:val="00A278E0"/>
    <w:rsid w:val="00A4446C"/>
    <w:rsid w:val="00AA4BFB"/>
    <w:rsid w:val="00AA4DDC"/>
    <w:rsid w:val="00AE0C3E"/>
    <w:rsid w:val="00B4476D"/>
    <w:rsid w:val="00B629B4"/>
    <w:rsid w:val="00B85683"/>
    <w:rsid w:val="00BB3A58"/>
    <w:rsid w:val="00BD1D01"/>
    <w:rsid w:val="00BE451D"/>
    <w:rsid w:val="00BF7A98"/>
    <w:rsid w:val="00C05069"/>
    <w:rsid w:val="00C10880"/>
    <w:rsid w:val="00C153F5"/>
    <w:rsid w:val="00C20053"/>
    <w:rsid w:val="00C43E19"/>
    <w:rsid w:val="00C53790"/>
    <w:rsid w:val="00CF5FC9"/>
    <w:rsid w:val="00D01755"/>
    <w:rsid w:val="00D1310F"/>
    <w:rsid w:val="00D13129"/>
    <w:rsid w:val="00D264AB"/>
    <w:rsid w:val="00D42F90"/>
    <w:rsid w:val="00D46193"/>
    <w:rsid w:val="00D56DB3"/>
    <w:rsid w:val="00D621D2"/>
    <w:rsid w:val="00D64C62"/>
    <w:rsid w:val="00D6727B"/>
    <w:rsid w:val="00D858D0"/>
    <w:rsid w:val="00D91B61"/>
    <w:rsid w:val="00DA7E9B"/>
    <w:rsid w:val="00E2589D"/>
    <w:rsid w:val="00E55922"/>
    <w:rsid w:val="00EA6941"/>
    <w:rsid w:val="00EB2D9F"/>
    <w:rsid w:val="00EC7282"/>
    <w:rsid w:val="00ED1D48"/>
    <w:rsid w:val="00EF0349"/>
    <w:rsid w:val="00EF2906"/>
    <w:rsid w:val="00EF2DC3"/>
    <w:rsid w:val="00F1363E"/>
    <w:rsid w:val="00F32F7A"/>
    <w:rsid w:val="00F64755"/>
    <w:rsid w:val="00F960E8"/>
    <w:rsid w:val="00FD31B1"/>
    <w:rsid w:val="00FE24E1"/>
    <w:rsid w:val="044A033A"/>
    <w:rsid w:val="0C4F5D82"/>
    <w:rsid w:val="0D2C3DAC"/>
    <w:rsid w:val="12C54353"/>
    <w:rsid w:val="131E1A04"/>
    <w:rsid w:val="14982A5C"/>
    <w:rsid w:val="15615423"/>
    <w:rsid w:val="2BB63AAB"/>
    <w:rsid w:val="3B774369"/>
    <w:rsid w:val="530B2EF1"/>
    <w:rsid w:val="654E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5D524-6020-45E6-9DFF-FA4E194871D3}">
  <ds:schemaRefs/>
</ds:datastoreItem>
</file>

<file path=docProps/app.xml><?xml version="1.0" encoding="utf-8"?>
<Properties xmlns="http://schemas.openxmlformats.org/officeDocument/2006/extended-properties" xmlns:vt="http://schemas.openxmlformats.org/officeDocument/2006/docPropsVTypes">
  <Template>Normal</Template>
  <Pages>13</Pages>
  <Words>2981</Words>
  <Characters>16993</Characters>
  <Lines>141</Lines>
  <Paragraphs>39</Paragraphs>
  <TotalTime>15</TotalTime>
  <ScaleCrop>false</ScaleCrop>
  <LinksUpToDate>false</LinksUpToDate>
  <CharactersWithSpaces>19935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2020-02-09T11:16:00Z</dcterms:created>
  <dc:creator>NTKO</dc:creator>
  <cp:lastModifiedBy>Administrator</cp:lastModifiedBy>
  <dcterms:modified xsi:type="dcterms:W3CDTF">2021-08-08T06:24:33Z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