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5796" w14:textId="77777777" w:rsidR="00EB2353" w:rsidRPr="003C12BF" w:rsidRDefault="00EB2353" w:rsidP="00EB2353">
      <w:pPr>
        <w:spacing w:after="240" w:line="480" w:lineRule="auto"/>
        <w:ind w:firstLine="720"/>
        <w:rPr>
          <w:lang w:val="en-GB"/>
        </w:rPr>
      </w:pPr>
      <w:r w:rsidRPr="003C12BF">
        <w:rPr>
          <w:lang w:val="en-GB"/>
        </w:rPr>
        <w:t>Table 1. Age-adjusted Charlson Comorbidity Index (CCI).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83"/>
      </w:tblGrid>
      <w:tr w:rsidR="00EB2353" w:rsidRPr="003C12BF" w14:paraId="340045F0" w14:textId="77777777" w:rsidTr="009A703E">
        <w:tc>
          <w:tcPr>
            <w:tcW w:w="4618" w:type="dxa"/>
            <w:shd w:val="clear" w:color="auto" w:fill="auto"/>
          </w:tcPr>
          <w:p w14:paraId="35F40BCE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Comorbid condition</w:t>
            </w:r>
          </w:p>
        </w:tc>
        <w:tc>
          <w:tcPr>
            <w:tcW w:w="4618" w:type="dxa"/>
            <w:shd w:val="clear" w:color="auto" w:fill="auto"/>
          </w:tcPr>
          <w:p w14:paraId="6E75B07B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Score</w:t>
            </w:r>
          </w:p>
        </w:tc>
      </w:tr>
      <w:tr w:rsidR="00EB2353" w:rsidRPr="003C12BF" w14:paraId="72ABDE85" w14:textId="77777777" w:rsidTr="009A703E">
        <w:tc>
          <w:tcPr>
            <w:tcW w:w="4618" w:type="dxa"/>
            <w:shd w:val="clear" w:color="auto" w:fill="auto"/>
          </w:tcPr>
          <w:p w14:paraId="0987C75B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Myocardial Infarction</w:t>
            </w:r>
          </w:p>
          <w:p w14:paraId="38F7A641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Congestive heart failure</w:t>
            </w:r>
            <w:bookmarkStart w:id="0" w:name="_GoBack"/>
            <w:bookmarkEnd w:id="0"/>
          </w:p>
          <w:p w14:paraId="0FB1EE4C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Peripheral vascular disease</w:t>
            </w:r>
          </w:p>
          <w:p w14:paraId="380F958E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Cerebrovascular disease</w:t>
            </w:r>
          </w:p>
          <w:p w14:paraId="48E9280D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Dementia</w:t>
            </w:r>
          </w:p>
          <w:p w14:paraId="33B24ECB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Chronic pulmonary disease</w:t>
            </w:r>
          </w:p>
          <w:p w14:paraId="5A8593F1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Rheumatic disease</w:t>
            </w:r>
          </w:p>
          <w:p w14:paraId="5189685B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Mild liver disease</w:t>
            </w:r>
          </w:p>
          <w:p w14:paraId="1F7542CD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Diabetes mellitus without end-organ damage</w:t>
            </w:r>
          </w:p>
        </w:tc>
        <w:tc>
          <w:tcPr>
            <w:tcW w:w="4618" w:type="dxa"/>
            <w:shd w:val="clear" w:color="auto" w:fill="auto"/>
          </w:tcPr>
          <w:p w14:paraId="709080D8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1</w:t>
            </w:r>
          </w:p>
        </w:tc>
      </w:tr>
      <w:tr w:rsidR="00EB2353" w:rsidRPr="003C12BF" w14:paraId="63399014" w14:textId="77777777" w:rsidTr="009A703E">
        <w:tc>
          <w:tcPr>
            <w:tcW w:w="4618" w:type="dxa"/>
            <w:shd w:val="clear" w:color="auto" w:fill="auto"/>
          </w:tcPr>
          <w:p w14:paraId="46847E7D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Diabetes mellitus with end-organ damage</w:t>
            </w:r>
          </w:p>
          <w:p w14:paraId="63F56A15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Hemiplegia</w:t>
            </w:r>
          </w:p>
          <w:p w14:paraId="58F39E50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Renal disease</w:t>
            </w:r>
          </w:p>
          <w:p w14:paraId="150D587A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Malignancy</w:t>
            </w:r>
          </w:p>
          <w:p w14:paraId="3C080C00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Lymphoma</w:t>
            </w:r>
          </w:p>
          <w:p w14:paraId="1BC12103" w14:textId="724F305D" w:rsidR="00EB2353" w:rsidRPr="003C12BF" w:rsidRDefault="003C12BF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Leukaemia</w:t>
            </w:r>
          </w:p>
        </w:tc>
        <w:tc>
          <w:tcPr>
            <w:tcW w:w="4618" w:type="dxa"/>
            <w:shd w:val="clear" w:color="auto" w:fill="auto"/>
          </w:tcPr>
          <w:p w14:paraId="5B1C2EBB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2</w:t>
            </w:r>
          </w:p>
        </w:tc>
      </w:tr>
      <w:tr w:rsidR="00EB2353" w:rsidRPr="003C12BF" w14:paraId="02DA0910" w14:textId="77777777" w:rsidTr="009A703E">
        <w:tc>
          <w:tcPr>
            <w:tcW w:w="4618" w:type="dxa"/>
            <w:shd w:val="clear" w:color="auto" w:fill="auto"/>
          </w:tcPr>
          <w:p w14:paraId="3259286E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lastRenderedPageBreak/>
              <w:t>Moderate liver disease</w:t>
            </w:r>
          </w:p>
        </w:tc>
        <w:tc>
          <w:tcPr>
            <w:tcW w:w="4618" w:type="dxa"/>
            <w:shd w:val="clear" w:color="auto" w:fill="auto"/>
          </w:tcPr>
          <w:p w14:paraId="2170E3A6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3</w:t>
            </w:r>
          </w:p>
        </w:tc>
      </w:tr>
      <w:tr w:rsidR="00EB2353" w:rsidRPr="003C12BF" w14:paraId="16AC794E" w14:textId="77777777" w:rsidTr="009A703E">
        <w:tc>
          <w:tcPr>
            <w:tcW w:w="4618" w:type="dxa"/>
            <w:shd w:val="clear" w:color="auto" w:fill="auto"/>
          </w:tcPr>
          <w:p w14:paraId="019A4F4F" w14:textId="5282A2FD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 xml:space="preserve">Metastatic solid </w:t>
            </w:r>
            <w:r w:rsidR="003C12BF" w:rsidRPr="003C12BF">
              <w:rPr>
                <w:lang w:val="en-GB"/>
              </w:rPr>
              <w:t>tumour</w:t>
            </w:r>
          </w:p>
          <w:p w14:paraId="17E1286D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Acquired immunodeficiency syndrome</w:t>
            </w:r>
          </w:p>
        </w:tc>
        <w:tc>
          <w:tcPr>
            <w:tcW w:w="4618" w:type="dxa"/>
            <w:shd w:val="clear" w:color="auto" w:fill="auto"/>
          </w:tcPr>
          <w:p w14:paraId="33D893D7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6</w:t>
            </w:r>
          </w:p>
        </w:tc>
      </w:tr>
      <w:tr w:rsidR="00EB2353" w:rsidRPr="003C12BF" w14:paraId="7AE75BD4" w14:textId="77777777" w:rsidTr="009A703E">
        <w:tc>
          <w:tcPr>
            <w:tcW w:w="9236" w:type="dxa"/>
            <w:gridSpan w:val="2"/>
            <w:shd w:val="clear" w:color="auto" w:fill="auto"/>
          </w:tcPr>
          <w:p w14:paraId="71B654FD" w14:textId="77777777" w:rsidR="00EB2353" w:rsidRPr="003C12BF" w:rsidRDefault="00EB2353" w:rsidP="009A703E">
            <w:pPr>
              <w:spacing w:after="240" w:line="480" w:lineRule="auto"/>
              <w:rPr>
                <w:lang w:val="en-GB"/>
              </w:rPr>
            </w:pPr>
            <w:r w:rsidRPr="003C12BF">
              <w:rPr>
                <w:lang w:val="en-GB"/>
              </w:rPr>
              <w:t>Age. For each decade after 40 years, a point is added (1 point for patients aged 41-50; 2 for those aged 51-60; 3 for those aged 61-70 and 4 for 71 or older)</w:t>
            </w:r>
          </w:p>
        </w:tc>
      </w:tr>
    </w:tbl>
    <w:p w14:paraId="4FBFAAC9" w14:textId="77777777" w:rsidR="00EB2353" w:rsidRPr="003C12BF" w:rsidRDefault="00EB2353">
      <w:pPr>
        <w:rPr>
          <w:lang w:val="en-GB"/>
        </w:rPr>
      </w:pPr>
    </w:p>
    <w:sectPr w:rsidR="00EB2353" w:rsidRPr="003C12BF" w:rsidSect="004E13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53"/>
    <w:rsid w:val="003C12BF"/>
    <w:rsid w:val="004E1398"/>
    <w:rsid w:val="00E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E64F1F"/>
  <w15:chartTrackingRefBased/>
  <w15:docId w15:val="{5709E5C0-B88C-C745-8EF6-026A085B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53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</dc:creator>
  <cp:keywords/>
  <dc:description/>
  <cp:lastModifiedBy>a.l</cp:lastModifiedBy>
  <cp:revision>2</cp:revision>
  <dcterms:created xsi:type="dcterms:W3CDTF">2020-05-19T18:04:00Z</dcterms:created>
  <dcterms:modified xsi:type="dcterms:W3CDTF">2020-05-23T14:35:00Z</dcterms:modified>
</cp:coreProperties>
</file>