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BCBA" w14:textId="32DA6896" w:rsidR="00F21667" w:rsidRPr="00BE0F7A" w:rsidRDefault="00F21667" w:rsidP="008474DB">
      <w:pPr>
        <w:adjustRightInd w:val="0"/>
        <w:snapToGrid w:val="0"/>
        <w:spacing w:line="480" w:lineRule="auto"/>
        <w:contextualSpacing/>
        <w:rPr>
          <w:b/>
          <w:lang w:eastAsia="ko-KR"/>
        </w:rPr>
      </w:pPr>
      <w:r w:rsidRPr="00BE0F7A">
        <w:rPr>
          <w:b/>
        </w:rPr>
        <w:t>SUPPLEMENTARY FIGURE</w:t>
      </w:r>
      <w:r w:rsidR="00BE0F7A">
        <w:rPr>
          <w:rFonts w:hint="eastAsia"/>
          <w:b/>
          <w:lang w:eastAsia="ko-KR"/>
        </w:rPr>
        <w:t>S</w:t>
      </w:r>
    </w:p>
    <w:p w14:paraId="5F35731B" w14:textId="3C387D89" w:rsidR="00F21667" w:rsidRPr="00BE0F7A" w:rsidRDefault="00F21667" w:rsidP="008474DB">
      <w:pPr>
        <w:adjustRightInd w:val="0"/>
        <w:snapToGrid w:val="0"/>
        <w:spacing w:line="480" w:lineRule="auto"/>
        <w:contextualSpacing/>
      </w:pPr>
      <w:r w:rsidRPr="00BE0F7A">
        <w:rPr>
          <w:b/>
        </w:rPr>
        <w:t>Supplementa</w:t>
      </w:r>
      <w:r w:rsidR="006422FE" w:rsidRPr="00BE0F7A">
        <w:rPr>
          <w:b/>
        </w:rPr>
        <w:t>ry</w:t>
      </w:r>
      <w:r w:rsidRPr="00BE0F7A">
        <w:rPr>
          <w:b/>
        </w:rPr>
        <w:t xml:space="preserve"> </w:t>
      </w:r>
      <w:r w:rsidR="00A42337">
        <w:rPr>
          <w:b/>
        </w:rPr>
        <w:t>Figure</w:t>
      </w:r>
      <w:r w:rsidR="009814B0">
        <w:rPr>
          <w:b/>
        </w:rPr>
        <w:t xml:space="preserve"> S</w:t>
      </w:r>
      <w:r w:rsidR="007C3B05">
        <w:rPr>
          <w:b/>
        </w:rPr>
        <w:t>1</w:t>
      </w:r>
      <w:r w:rsidR="009814B0">
        <w:rPr>
          <w:b/>
        </w:rPr>
        <w:t>.</w:t>
      </w:r>
      <w:r w:rsidRPr="00BE0F7A">
        <w:rPr>
          <w:b/>
        </w:rPr>
        <w:t xml:space="preserve"> </w:t>
      </w:r>
      <w:r w:rsidRPr="00BE0F7A">
        <w:t>Safety end points associated with the use of GLP-1 agonists. RRs for gastrointestinal events, pancreatitis, pancreatic cancer, and retinopathy.</w:t>
      </w:r>
    </w:p>
    <w:p w14:paraId="45EA039E" w14:textId="29EBD8BE" w:rsidR="00F21667" w:rsidRPr="00BE0F7A" w:rsidRDefault="00F21667" w:rsidP="008474DB">
      <w:pPr>
        <w:adjustRightInd w:val="0"/>
        <w:snapToGrid w:val="0"/>
        <w:spacing w:line="480" w:lineRule="auto"/>
        <w:contextualSpacing/>
      </w:pPr>
      <w:r w:rsidRPr="00BE0F7A">
        <w:rPr>
          <w:b/>
        </w:rPr>
        <w:t>Supplementa</w:t>
      </w:r>
      <w:r w:rsidR="006422FE" w:rsidRPr="00BE0F7A">
        <w:rPr>
          <w:b/>
        </w:rPr>
        <w:t>ry</w:t>
      </w:r>
      <w:r w:rsidRPr="00BE0F7A">
        <w:rPr>
          <w:b/>
        </w:rPr>
        <w:t xml:space="preserve"> </w:t>
      </w:r>
      <w:r w:rsidR="00A42337">
        <w:rPr>
          <w:b/>
        </w:rPr>
        <w:t>Figure</w:t>
      </w:r>
      <w:r w:rsidR="009814B0">
        <w:rPr>
          <w:b/>
        </w:rPr>
        <w:t xml:space="preserve"> S</w:t>
      </w:r>
      <w:r w:rsidR="007C3B05">
        <w:rPr>
          <w:b/>
        </w:rPr>
        <w:t>2</w:t>
      </w:r>
      <w:r w:rsidR="009814B0">
        <w:rPr>
          <w:b/>
        </w:rPr>
        <w:t>.</w:t>
      </w:r>
      <w:r w:rsidRPr="00BE0F7A">
        <w:rPr>
          <w:b/>
        </w:rPr>
        <w:t xml:space="preserve"> </w:t>
      </w:r>
      <w:r w:rsidRPr="00BE0F7A">
        <w:t>Safety end points associated with the use of SGLT-2 inhibitors. RRs for genital infection, urinary tract infection, amputation, bone fracture, and diabetic ketoacidosis.</w:t>
      </w:r>
    </w:p>
    <w:p w14:paraId="4A07B3F1" w14:textId="49F069C1" w:rsidR="00F21667" w:rsidRDefault="00BE0F7A" w:rsidP="008474DB">
      <w:pPr>
        <w:adjustRightInd w:val="0"/>
        <w:snapToGrid w:val="0"/>
        <w:spacing w:line="480" w:lineRule="auto"/>
        <w:contextualSpacing/>
      </w:pPr>
      <w:r w:rsidRPr="00BE0F7A">
        <w:rPr>
          <w:b/>
          <w:bCs/>
        </w:rPr>
        <w:t xml:space="preserve">Supplementary </w:t>
      </w:r>
      <w:r w:rsidR="00A42337">
        <w:rPr>
          <w:b/>
          <w:bCs/>
        </w:rPr>
        <w:t>Figure</w:t>
      </w:r>
      <w:r w:rsidR="009814B0">
        <w:rPr>
          <w:b/>
          <w:bCs/>
        </w:rPr>
        <w:t xml:space="preserve"> S</w:t>
      </w:r>
      <w:r w:rsidR="007C3B05">
        <w:rPr>
          <w:b/>
          <w:bCs/>
        </w:rPr>
        <w:t>3</w:t>
      </w:r>
      <w:r w:rsidRPr="00BE0F7A">
        <w:rPr>
          <w:b/>
          <w:bCs/>
        </w:rPr>
        <w:t>.</w:t>
      </w:r>
      <w:r w:rsidRPr="00BE0F7A">
        <w:t xml:space="preserve"> HRs for composite of cardiovascular death, non-fatal MI, or non-fatal stroke stratified by classes of GLP-1 agonists.</w:t>
      </w:r>
    </w:p>
    <w:p w14:paraId="0F62EFBA" w14:textId="77777777" w:rsidR="00BE0F7A" w:rsidRPr="00BE0F7A" w:rsidRDefault="00BE0F7A" w:rsidP="008474DB">
      <w:pPr>
        <w:adjustRightInd w:val="0"/>
        <w:snapToGrid w:val="0"/>
        <w:spacing w:line="480" w:lineRule="auto"/>
        <w:contextualSpacing/>
      </w:pPr>
    </w:p>
    <w:p w14:paraId="6E2ED3B3" w14:textId="77777777" w:rsidR="00BE0F7A" w:rsidRDefault="00BE0F7A" w:rsidP="008474DB">
      <w:pPr>
        <w:spacing w:line="480" w:lineRule="auto"/>
        <w:rPr>
          <w:rFonts w:eastAsia="Batang"/>
          <w:sz w:val="22"/>
          <w:szCs w:val="22"/>
          <w:lang w:eastAsia="ko-KR"/>
        </w:rPr>
        <w:sectPr w:rsidR="00BE0F7A" w:rsidSect="00842B62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75A96CA8" w14:textId="0CA66284" w:rsidR="00DC0591" w:rsidRDefault="00DC0591" w:rsidP="00DC0591">
      <w:pPr>
        <w:adjustRightInd w:val="0"/>
        <w:snapToGrid w:val="0"/>
        <w:spacing w:line="480" w:lineRule="auto"/>
        <w:contextualSpacing/>
      </w:pPr>
      <w:r w:rsidRPr="00BE0F7A">
        <w:rPr>
          <w:b/>
        </w:rPr>
        <w:lastRenderedPageBreak/>
        <w:t>Supplementa</w:t>
      </w:r>
      <w:r w:rsidR="006422FE" w:rsidRPr="00BE0F7A">
        <w:rPr>
          <w:b/>
        </w:rPr>
        <w:t>ry</w:t>
      </w:r>
      <w:r w:rsidRPr="00BE0F7A">
        <w:rPr>
          <w:b/>
        </w:rPr>
        <w:t xml:space="preserve"> </w:t>
      </w:r>
      <w:r w:rsidR="00A42337">
        <w:rPr>
          <w:b/>
        </w:rPr>
        <w:t>Figure</w:t>
      </w:r>
      <w:r w:rsidR="009814B0">
        <w:rPr>
          <w:b/>
        </w:rPr>
        <w:t xml:space="preserve"> S</w:t>
      </w:r>
      <w:r w:rsidR="000E5922">
        <w:rPr>
          <w:b/>
        </w:rPr>
        <w:t>1</w:t>
      </w:r>
      <w:r w:rsidRPr="00BE0F7A">
        <w:rPr>
          <w:b/>
        </w:rPr>
        <w:t xml:space="preserve">. </w:t>
      </w:r>
      <w:r w:rsidRPr="00BE0F7A">
        <w:t>Safety end points associated with the use of GLP-1 agonists. RRs for gastrointestinal events, pancreatitis, pancreatic cancer, and retinopathy.</w:t>
      </w:r>
    </w:p>
    <w:p w14:paraId="01E446F4" w14:textId="77777777" w:rsidR="00BE0F7A" w:rsidRPr="00BE0F7A" w:rsidRDefault="00BE0F7A" w:rsidP="00DC0591">
      <w:pPr>
        <w:adjustRightInd w:val="0"/>
        <w:snapToGrid w:val="0"/>
        <w:spacing w:line="480" w:lineRule="auto"/>
        <w:contextualSpacing/>
      </w:pPr>
    </w:p>
    <w:p w14:paraId="1760A33E" w14:textId="31B40680" w:rsidR="00DC0591" w:rsidRDefault="00DC0591" w:rsidP="00DC0591">
      <w:pPr>
        <w:tabs>
          <w:tab w:val="left" w:pos="7350"/>
        </w:tabs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95DA0B1" wp14:editId="5AD4BAF5">
            <wp:extent cx="5400040" cy="576008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 Figur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B518D" w14:textId="41736FCA" w:rsidR="00DC0591" w:rsidRDefault="00DC0591" w:rsidP="00DC0591">
      <w:pPr>
        <w:tabs>
          <w:tab w:val="left" w:pos="2025"/>
        </w:tabs>
        <w:spacing w:line="480" w:lineRule="auto"/>
        <w:rPr>
          <w:sz w:val="22"/>
          <w:szCs w:val="22"/>
        </w:rPr>
      </w:pPr>
    </w:p>
    <w:p w14:paraId="04947AC5" w14:textId="4F3677A3" w:rsidR="00DC0591" w:rsidRDefault="00DC0591" w:rsidP="00DC0591">
      <w:pPr>
        <w:tabs>
          <w:tab w:val="left" w:pos="2025"/>
        </w:tabs>
        <w:spacing w:line="480" w:lineRule="auto"/>
        <w:rPr>
          <w:sz w:val="22"/>
          <w:szCs w:val="22"/>
        </w:rPr>
      </w:pPr>
    </w:p>
    <w:p w14:paraId="77987829" w14:textId="2F46B5D5" w:rsidR="00DC0591" w:rsidRDefault="00DC0591" w:rsidP="00DC0591">
      <w:pPr>
        <w:tabs>
          <w:tab w:val="left" w:pos="2025"/>
        </w:tabs>
        <w:spacing w:line="480" w:lineRule="auto"/>
        <w:rPr>
          <w:sz w:val="22"/>
          <w:szCs w:val="22"/>
        </w:rPr>
      </w:pPr>
    </w:p>
    <w:p w14:paraId="2A9A1646" w14:textId="2CB87CA8" w:rsidR="00DC0591" w:rsidRPr="00901249" w:rsidRDefault="00DC0591" w:rsidP="00DC0591">
      <w:pPr>
        <w:adjustRightInd w:val="0"/>
        <w:snapToGrid w:val="0"/>
        <w:spacing w:line="480" w:lineRule="auto"/>
        <w:contextualSpacing/>
      </w:pPr>
      <w:r w:rsidRPr="00901249">
        <w:rPr>
          <w:b/>
        </w:rPr>
        <w:lastRenderedPageBreak/>
        <w:t>Supplementa</w:t>
      </w:r>
      <w:r w:rsidR="006422FE" w:rsidRPr="00901249">
        <w:rPr>
          <w:b/>
        </w:rPr>
        <w:t>ry</w:t>
      </w:r>
      <w:r w:rsidRPr="00901249">
        <w:rPr>
          <w:b/>
        </w:rPr>
        <w:t xml:space="preserve"> </w:t>
      </w:r>
      <w:r w:rsidR="00A42337">
        <w:rPr>
          <w:b/>
        </w:rPr>
        <w:t>Figure</w:t>
      </w:r>
      <w:r w:rsidR="009814B0">
        <w:rPr>
          <w:b/>
        </w:rPr>
        <w:t xml:space="preserve"> S</w:t>
      </w:r>
      <w:r w:rsidR="000E5922">
        <w:rPr>
          <w:b/>
        </w:rPr>
        <w:t>2</w:t>
      </w:r>
      <w:r w:rsidRPr="00901249">
        <w:rPr>
          <w:b/>
        </w:rPr>
        <w:t xml:space="preserve">. </w:t>
      </w:r>
      <w:r w:rsidRPr="00901249">
        <w:t>Safety end points associated with the use of SGLT-2 inhibitors. RRs for genital infection, urinary tract infection, amputation, bone fracture, and diabetic ketoacidosis.</w:t>
      </w:r>
    </w:p>
    <w:p w14:paraId="74553499" w14:textId="545718DF" w:rsidR="00DC0591" w:rsidRDefault="00DC0591" w:rsidP="00DC0591">
      <w:pPr>
        <w:adjustRightInd w:val="0"/>
        <w:snapToGrid w:val="0"/>
        <w:spacing w:line="480" w:lineRule="auto"/>
        <w:contextualSpacing/>
        <w:rPr>
          <w:sz w:val="22"/>
          <w:szCs w:val="22"/>
        </w:rPr>
      </w:pPr>
    </w:p>
    <w:p w14:paraId="30096283" w14:textId="719B22EE" w:rsidR="00901249" w:rsidRDefault="00DC0591" w:rsidP="00DC0591">
      <w:pPr>
        <w:adjustRightInd w:val="0"/>
        <w:snapToGrid w:val="0"/>
        <w:spacing w:line="480" w:lineRule="auto"/>
        <w:contextualSpacing/>
        <w:rPr>
          <w:sz w:val="22"/>
          <w:szCs w:val="22"/>
        </w:rPr>
        <w:sectPr w:rsidR="00901249" w:rsidSect="00842B62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 wp14:anchorId="70FAC92A" wp14:editId="2553B129">
            <wp:extent cx="5400040" cy="576008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 Figur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0341" w14:textId="77777777" w:rsidR="000E5922" w:rsidRPr="00901249" w:rsidRDefault="000E5922" w:rsidP="000E5922">
      <w:pPr>
        <w:adjustRightInd w:val="0"/>
        <w:snapToGrid w:val="0"/>
        <w:spacing w:line="480" w:lineRule="auto"/>
        <w:contextualSpacing/>
        <w:rPr>
          <w:lang w:eastAsia="ko-KR"/>
        </w:rPr>
      </w:pPr>
      <w:bookmarkStart w:id="0" w:name="_Hlk32174261"/>
      <w:r w:rsidRPr="00901249">
        <w:rPr>
          <w:b/>
        </w:rPr>
        <w:lastRenderedPageBreak/>
        <w:t xml:space="preserve">Supplementary </w:t>
      </w:r>
      <w:r>
        <w:rPr>
          <w:b/>
        </w:rPr>
        <w:t>Figure S3</w:t>
      </w:r>
      <w:r w:rsidRPr="00901249">
        <w:rPr>
          <w:b/>
        </w:rPr>
        <w:t xml:space="preserve">. </w:t>
      </w:r>
      <w:r w:rsidRPr="00901249">
        <w:rPr>
          <w:lang w:eastAsia="ko-KR"/>
        </w:rPr>
        <w:t>HRs for composite of cardiovascular death, non-fatal MI, or non-fatal stroke stratified by classes of GLP-1 agonists.</w:t>
      </w:r>
      <w:bookmarkEnd w:id="0"/>
    </w:p>
    <w:p w14:paraId="12090B9A" w14:textId="77777777" w:rsidR="000E5922" w:rsidRDefault="000E5922" w:rsidP="00DC0591">
      <w:pPr>
        <w:spacing w:line="480" w:lineRule="auto"/>
        <w:rPr>
          <w:noProof/>
          <w:sz w:val="22"/>
          <w:szCs w:val="22"/>
        </w:rPr>
      </w:pPr>
      <w:r w:rsidRPr="00E6386F">
        <w:rPr>
          <w:noProof/>
          <w:sz w:val="22"/>
          <w:szCs w:val="22"/>
        </w:rPr>
        <w:drawing>
          <wp:inline distT="0" distB="0" distL="0" distR="0" wp14:anchorId="5AC9A3FA" wp14:editId="6E6855A4">
            <wp:extent cx="5400040" cy="250253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04BB" w14:textId="77777777" w:rsidR="007F25E7" w:rsidRDefault="007F25E7" w:rsidP="007F25E7">
      <w:pPr>
        <w:rPr>
          <w:noProof/>
          <w:sz w:val="22"/>
          <w:szCs w:val="22"/>
        </w:rPr>
      </w:pPr>
    </w:p>
    <w:p w14:paraId="34972AB2" w14:textId="05188AEB" w:rsidR="007F25E7" w:rsidRDefault="007F25E7" w:rsidP="007F25E7">
      <w:pPr>
        <w:spacing w:after="160" w:line="259" w:lineRule="auto"/>
        <w:jc w:val="both"/>
      </w:pPr>
      <w:bookmarkStart w:id="1" w:name="_GoBack"/>
      <w:bookmarkEnd w:id="1"/>
    </w:p>
    <w:sectPr w:rsidR="007F25E7" w:rsidSect="000E592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3B88" w14:textId="77777777" w:rsidR="00E5631A" w:rsidRDefault="00E5631A" w:rsidP="00AC5FC6">
      <w:r>
        <w:separator/>
      </w:r>
    </w:p>
  </w:endnote>
  <w:endnote w:type="continuationSeparator" w:id="0">
    <w:p w14:paraId="55029083" w14:textId="77777777" w:rsidR="00E5631A" w:rsidRDefault="00E5631A" w:rsidP="00AC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EDB0" w14:textId="77777777" w:rsidR="00E5631A" w:rsidRDefault="00E5631A" w:rsidP="00AC5FC6">
      <w:r>
        <w:separator/>
      </w:r>
    </w:p>
  </w:footnote>
  <w:footnote w:type="continuationSeparator" w:id="0">
    <w:p w14:paraId="0952BA96" w14:textId="77777777" w:rsidR="00E5631A" w:rsidRDefault="00E5631A" w:rsidP="00AC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/>
  <w:defaultTabStop w:val="80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79"/>
    <w:rsid w:val="00082354"/>
    <w:rsid w:val="000E5922"/>
    <w:rsid w:val="002749BF"/>
    <w:rsid w:val="00292225"/>
    <w:rsid w:val="0031093C"/>
    <w:rsid w:val="00412BFF"/>
    <w:rsid w:val="00553B40"/>
    <w:rsid w:val="00554673"/>
    <w:rsid w:val="005B3FF7"/>
    <w:rsid w:val="005C2D87"/>
    <w:rsid w:val="005C6FC0"/>
    <w:rsid w:val="00641862"/>
    <w:rsid w:val="006422FE"/>
    <w:rsid w:val="00676100"/>
    <w:rsid w:val="0075365D"/>
    <w:rsid w:val="007C3B05"/>
    <w:rsid w:val="007F25E7"/>
    <w:rsid w:val="0083665B"/>
    <w:rsid w:val="00842B62"/>
    <w:rsid w:val="008474DB"/>
    <w:rsid w:val="00901249"/>
    <w:rsid w:val="009814B0"/>
    <w:rsid w:val="00A27E64"/>
    <w:rsid w:val="00A42337"/>
    <w:rsid w:val="00AC5FC6"/>
    <w:rsid w:val="00B95BEB"/>
    <w:rsid w:val="00B979D7"/>
    <w:rsid w:val="00BA2719"/>
    <w:rsid w:val="00BE0F7A"/>
    <w:rsid w:val="00C917AA"/>
    <w:rsid w:val="00D0600F"/>
    <w:rsid w:val="00D85494"/>
    <w:rsid w:val="00DC0591"/>
    <w:rsid w:val="00DE15C9"/>
    <w:rsid w:val="00E23179"/>
    <w:rsid w:val="00E426A3"/>
    <w:rsid w:val="00E5631A"/>
    <w:rsid w:val="00E6386F"/>
    <w:rsid w:val="00F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A7027"/>
  <w15:chartTrackingRefBased/>
  <w15:docId w15:val="{BF2C1E40-2D84-4508-A0BF-C9C28757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667"/>
    <w:pPr>
      <w:spacing w:after="0" w:line="240" w:lineRule="auto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667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67"/>
    <w:rPr>
      <w:rFonts w:asciiTheme="majorHAnsi" w:eastAsiaTheme="majorEastAsia" w:hAnsiTheme="majorHAnsi" w:cstheme="majorBid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5FC6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AC5FC6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5FC6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AC5FC6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C0591"/>
    <w:pPr>
      <w:spacing w:after="0" w:line="240" w:lineRule="auto"/>
      <w:jc w:val="left"/>
    </w:pPr>
    <w:rPr>
      <w:rFonts w:eastAsia="Batang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5C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Kasia Kałużna</cp:lastModifiedBy>
  <cp:revision>3</cp:revision>
  <dcterms:created xsi:type="dcterms:W3CDTF">2020-04-05T22:47:00Z</dcterms:created>
  <dcterms:modified xsi:type="dcterms:W3CDTF">2020-04-05T22:49:00Z</dcterms:modified>
</cp:coreProperties>
</file>