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FB" w:rsidRPr="00DC7EFA" w:rsidRDefault="00D43A0D" w:rsidP="00427C0B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Supplemental online</w:t>
      </w:r>
      <w:r w:rsidR="00FF4ED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A4FD0">
        <w:rPr>
          <w:rFonts w:ascii="Times New Roman" w:hAnsi="Times New Roman" w:cs="Times New Roman" w:hint="eastAsia"/>
          <w:b/>
          <w:sz w:val="24"/>
          <w:szCs w:val="24"/>
        </w:rPr>
        <w:t xml:space="preserve">material </w:t>
      </w:r>
      <w:r w:rsidR="00400B3F">
        <w:rPr>
          <w:rFonts w:ascii="Times New Roman" w:hAnsi="Times New Roman" w:cs="Times New Roman" w:hint="eastAsia"/>
          <w:b/>
          <w:sz w:val="24"/>
          <w:szCs w:val="24"/>
        </w:rPr>
        <w:t>1</w:t>
      </w:r>
      <w:bookmarkStart w:id="0" w:name="_GoBack"/>
      <w:bookmarkEnd w:id="0"/>
      <w:r w:rsidR="00427C0B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09379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D04FB" w:rsidRPr="00E36089">
        <w:rPr>
          <w:rFonts w:ascii="Times New Roman" w:hAnsi="Times New Roman" w:cs="Times New Roman"/>
          <w:sz w:val="24"/>
          <w:szCs w:val="24"/>
        </w:rPr>
        <w:t>Cumulative clinical events at 2 years</w:t>
      </w:r>
    </w:p>
    <w:tbl>
      <w:tblPr>
        <w:tblW w:w="1365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275"/>
        <w:gridCol w:w="1134"/>
        <w:gridCol w:w="1113"/>
        <w:gridCol w:w="1155"/>
        <w:gridCol w:w="993"/>
        <w:gridCol w:w="992"/>
        <w:gridCol w:w="901"/>
        <w:gridCol w:w="993"/>
        <w:gridCol w:w="992"/>
        <w:gridCol w:w="985"/>
      </w:tblGrid>
      <w:tr w:rsidR="001274D3" w:rsidRPr="001274D3" w:rsidTr="001274D3">
        <w:trPr>
          <w:trHeight w:val="179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3375A" w:rsidRPr="001274D3" w:rsidRDefault="0073375A" w:rsidP="00EF0124">
            <w:pPr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Variables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73375A" w:rsidRPr="001274D3" w:rsidRDefault="0073375A" w:rsidP="007337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Group A</w:t>
            </w:r>
          </w:p>
          <w:p w:rsidR="0073375A" w:rsidRPr="001274D3" w:rsidRDefault="0073375A" w:rsidP="007337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(n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=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552)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Group B</w:t>
            </w:r>
          </w:p>
          <w:p w:rsidR="0073375A" w:rsidRPr="001274D3" w:rsidRDefault="0073375A" w:rsidP="0073375A">
            <w:pPr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(n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=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383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Group C</w:t>
            </w:r>
          </w:p>
          <w:p w:rsidR="0073375A" w:rsidRPr="001274D3" w:rsidRDefault="0073375A" w:rsidP="0073375A">
            <w:pPr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(n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=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162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Group D</w:t>
            </w:r>
          </w:p>
          <w:p w:rsidR="0073375A" w:rsidRPr="001274D3" w:rsidRDefault="0073375A" w:rsidP="007337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(n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=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91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75A" w:rsidRPr="001274D3" w:rsidRDefault="0073375A" w:rsidP="0044573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427C0B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p</w:t>
            </w:r>
            <w:r w:rsidRPr="001274D3">
              <w:rPr>
                <w:rFonts w:ascii="Times New Roman" w:eastAsia="굴림" w:hAnsi="Times New Roman" w:cs="Times New Roman" w:hint="eastAsia"/>
                <w:bCs/>
                <w:i/>
                <w:kern w:val="0"/>
                <w:szCs w:val="20"/>
              </w:rPr>
              <w:t xml:space="preserve"> 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value</w:t>
            </w:r>
          </w:p>
        </w:tc>
      </w:tr>
      <w:tr w:rsidR="001274D3" w:rsidRPr="001274D3" w:rsidTr="001274D3">
        <w:trPr>
          <w:trHeight w:val="178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3375A" w:rsidRPr="001274D3" w:rsidRDefault="0073375A" w:rsidP="00EF0124">
            <w:pPr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5A" w:rsidRPr="001274D3" w:rsidRDefault="0073375A" w:rsidP="00EF012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 xml:space="preserve">Group </w:t>
            </w:r>
          </w:p>
          <w:p w:rsidR="0073375A" w:rsidRPr="001274D3" w:rsidRDefault="0073375A" w:rsidP="00EF012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>A vs. 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5A" w:rsidRPr="001274D3" w:rsidRDefault="0073375A" w:rsidP="009D6552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Group </w:t>
            </w:r>
          </w:p>
          <w:p w:rsidR="0073375A" w:rsidRPr="001274D3" w:rsidRDefault="0073375A" w:rsidP="0017495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A vs. 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>C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5A" w:rsidRPr="001274D3" w:rsidRDefault="0073375A" w:rsidP="009D6552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Group </w:t>
            </w:r>
          </w:p>
          <w:p w:rsidR="0073375A" w:rsidRPr="001274D3" w:rsidRDefault="0073375A" w:rsidP="0073375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>A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 vs. 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>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5A" w:rsidRPr="001274D3" w:rsidRDefault="0073375A" w:rsidP="009D6552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Group </w:t>
            </w:r>
          </w:p>
          <w:p w:rsidR="0073375A" w:rsidRPr="001274D3" w:rsidRDefault="0073375A" w:rsidP="0073375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>B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 vs. 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 xml:space="preserve">C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75A" w:rsidRPr="001274D3" w:rsidRDefault="0073375A" w:rsidP="0073375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Group </w:t>
            </w:r>
          </w:p>
          <w:p w:rsidR="0073375A" w:rsidRPr="001274D3" w:rsidRDefault="0073375A" w:rsidP="0073375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B vs. </w:t>
            </w: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>D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3375A" w:rsidRPr="001274D3" w:rsidRDefault="0073375A" w:rsidP="0073375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</w:pP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Group </w:t>
            </w:r>
          </w:p>
          <w:p w:rsidR="0073375A" w:rsidRPr="001274D3" w:rsidRDefault="0073375A" w:rsidP="0073375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 w:val="19"/>
                <w:szCs w:val="19"/>
              </w:rPr>
              <w:t>C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 w:val="19"/>
                <w:szCs w:val="19"/>
              </w:rPr>
              <w:t xml:space="preserve"> vs. D</w:t>
            </w:r>
          </w:p>
        </w:tc>
      </w:tr>
      <w:tr w:rsidR="001274D3" w:rsidRPr="001274D3" w:rsidTr="001274D3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375A" w:rsidRPr="001274D3" w:rsidRDefault="00D32C5D" w:rsidP="006D330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Primary </w:t>
            </w:r>
            <w:r w:rsidR="006D3306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outcome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, n (%)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375A" w:rsidRPr="001274D3" w:rsidRDefault="00470543" w:rsidP="00470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2.2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375A" w:rsidRPr="001274D3" w:rsidRDefault="00470543" w:rsidP="00470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4.7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375A" w:rsidRPr="001274D3" w:rsidRDefault="00470543" w:rsidP="00470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4.3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73375A" w:rsidRPr="001274D3" w:rsidRDefault="00470543" w:rsidP="00470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13.2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375A" w:rsidRPr="001274D3" w:rsidRDefault="004B7D4C" w:rsidP="000F3B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&lt;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3375A" w:rsidRPr="001274D3" w:rsidRDefault="0073375A" w:rsidP="004B7D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B7D4C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375A" w:rsidRPr="001274D3" w:rsidRDefault="004B7D4C" w:rsidP="009D65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0.003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73375A" w:rsidRPr="001274D3" w:rsidRDefault="004B7D4C" w:rsidP="009D65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0.010</w:t>
            </w:r>
          </w:p>
        </w:tc>
      </w:tr>
      <w:tr w:rsidR="001274D3" w:rsidRPr="001274D3" w:rsidTr="001274D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3375A" w:rsidRPr="001274D3" w:rsidRDefault="0073375A" w:rsidP="00D32C5D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All-cause</w:t>
            </w:r>
            <w:r w:rsidRPr="001274D3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death, n (%)</w:t>
            </w:r>
          </w:p>
        </w:tc>
        <w:tc>
          <w:tcPr>
            <w:tcW w:w="1275" w:type="dxa"/>
            <w:vAlign w:val="center"/>
          </w:tcPr>
          <w:p w:rsidR="0073375A" w:rsidRPr="001274D3" w:rsidRDefault="00643582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17EAE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0.9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375A" w:rsidRPr="001274D3" w:rsidRDefault="00643582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15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17EAE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3.9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3.1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12.1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002</w:t>
            </w:r>
          </w:p>
        </w:tc>
        <w:tc>
          <w:tcPr>
            <w:tcW w:w="992" w:type="dxa"/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38</w:t>
            </w:r>
          </w:p>
        </w:tc>
        <w:tc>
          <w:tcPr>
            <w:tcW w:w="901" w:type="dxa"/>
            <w:vAlign w:val="center"/>
          </w:tcPr>
          <w:p w:rsidR="0073375A" w:rsidRPr="001274D3" w:rsidRDefault="004B7D4C" w:rsidP="000F3B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993" w:type="dxa"/>
            <w:vAlign w:val="center"/>
          </w:tcPr>
          <w:p w:rsidR="0073375A" w:rsidRPr="001274D3" w:rsidRDefault="0073375A" w:rsidP="004B7D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B7D4C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638</w:t>
            </w:r>
          </w:p>
        </w:tc>
        <w:tc>
          <w:tcPr>
            <w:tcW w:w="992" w:type="dxa"/>
            <w:vAlign w:val="center"/>
          </w:tcPr>
          <w:p w:rsidR="0073375A" w:rsidRPr="001274D3" w:rsidRDefault="004B7D4C" w:rsidP="009D65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0.002</w:t>
            </w:r>
          </w:p>
        </w:tc>
        <w:tc>
          <w:tcPr>
            <w:tcW w:w="985" w:type="dxa"/>
            <w:vAlign w:val="center"/>
          </w:tcPr>
          <w:p w:rsidR="0073375A" w:rsidRPr="001274D3" w:rsidRDefault="004B7D4C" w:rsidP="009D65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0.005</w:t>
            </w:r>
          </w:p>
        </w:tc>
      </w:tr>
      <w:tr w:rsidR="001274D3" w:rsidRPr="001274D3" w:rsidTr="001274D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292C5D" w:rsidRPr="001274D3" w:rsidRDefault="00292C5D" w:rsidP="00D32C5D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Cardiac death, n (%)</w:t>
            </w:r>
          </w:p>
        </w:tc>
        <w:tc>
          <w:tcPr>
            <w:tcW w:w="1275" w:type="dxa"/>
            <w:vAlign w:val="center"/>
          </w:tcPr>
          <w:p w:rsidR="0029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 (0.2)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 (0.5)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29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 (1.2)</w:t>
            </w:r>
          </w:p>
        </w:tc>
        <w:tc>
          <w:tcPr>
            <w:tcW w:w="1155" w:type="dxa"/>
            <w:vAlign w:val="center"/>
          </w:tcPr>
          <w:p w:rsidR="0029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 (5.5)</w:t>
            </w:r>
          </w:p>
        </w:tc>
        <w:tc>
          <w:tcPr>
            <w:tcW w:w="993" w:type="dxa"/>
            <w:vAlign w:val="center"/>
          </w:tcPr>
          <w:p w:rsidR="00292C5D" w:rsidRPr="001274D3" w:rsidRDefault="00470543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0.365</w:t>
            </w:r>
          </w:p>
        </w:tc>
        <w:tc>
          <w:tcPr>
            <w:tcW w:w="992" w:type="dxa"/>
            <w:vAlign w:val="center"/>
          </w:tcPr>
          <w:p w:rsidR="00292C5D" w:rsidRPr="001274D3" w:rsidRDefault="00470543" w:rsidP="000F3B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0.068</w:t>
            </w:r>
          </w:p>
        </w:tc>
        <w:tc>
          <w:tcPr>
            <w:tcW w:w="901" w:type="dxa"/>
            <w:vAlign w:val="center"/>
          </w:tcPr>
          <w:p w:rsidR="00292C5D" w:rsidRPr="001274D3" w:rsidRDefault="004B7D4C" w:rsidP="000F3B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993" w:type="dxa"/>
            <w:vAlign w:val="center"/>
          </w:tcPr>
          <w:p w:rsidR="00292C5D" w:rsidRPr="001274D3" w:rsidRDefault="004B7D4C" w:rsidP="009D65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0.373</w:t>
            </w:r>
          </w:p>
        </w:tc>
        <w:tc>
          <w:tcPr>
            <w:tcW w:w="992" w:type="dxa"/>
            <w:vAlign w:val="center"/>
          </w:tcPr>
          <w:p w:rsidR="00292C5D" w:rsidRPr="001274D3" w:rsidRDefault="004B7D4C" w:rsidP="009D65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985" w:type="dxa"/>
            <w:vAlign w:val="center"/>
          </w:tcPr>
          <w:p w:rsidR="00292C5D" w:rsidRPr="001274D3" w:rsidRDefault="004B7D4C" w:rsidP="009D65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0.047</w:t>
            </w:r>
          </w:p>
        </w:tc>
      </w:tr>
      <w:tr w:rsidR="001274D3" w:rsidRPr="001274D3" w:rsidTr="001274D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3375A" w:rsidRPr="001274D3" w:rsidRDefault="00D32C5D" w:rsidP="00D32C5D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Non-fatal 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MI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, n (%)</w:t>
            </w:r>
          </w:p>
        </w:tc>
        <w:tc>
          <w:tcPr>
            <w:tcW w:w="1275" w:type="dxa"/>
            <w:vAlign w:val="center"/>
          </w:tcPr>
          <w:p w:rsidR="0073375A" w:rsidRPr="001274D3" w:rsidRDefault="00470543" w:rsidP="00470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(1.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.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3375A" w:rsidRPr="001274D3" w:rsidRDefault="00470543" w:rsidP="00470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="00E17EAE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(1.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478</w:t>
            </w:r>
          </w:p>
        </w:tc>
        <w:tc>
          <w:tcPr>
            <w:tcW w:w="992" w:type="dxa"/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973</w:t>
            </w:r>
          </w:p>
        </w:tc>
        <w:tc>
          <w:tcPr>
            <w:tcW w:w="901" w:type="dxa"/>
            <w:vAlign w:val="center"/>
          </w:tcPr>
          <w:p w:rsidR="0073375A" w:rsidRPr="001274D3" w:rsidRDefault="0073375A" w:rsidP="004B7D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B7D4C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893</w:t>
            </w:r>
          </w:p>
        </w:tc>
        <w:tc>
          <w:tcPr>
            <w:tcW w:w="993" w:type="dxa"/>
            <w:vAlign w:val="center"/>
          </w:tcPr>
          <w:p w:rsidR="0073375A" w:rsidRPr="001274D3" w:rsidRDefault="0073375A" w:rsidP="004B7D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B7D4C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61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3375A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0.767</w:t>
            </w:r>
          </w:p>
        </w:tc>
        <w:tc>
          <w:tcPr>
            <w:tcW w:w="985" w:type="dxa"/>
            <w:vAlign w:val="center"/>
          </w:tcPr>
          <w:p w:rsidR="0073375A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0.924</w:t>
            </w:r>
          </w:p>
        </w:tc>
      </w:tr>
      <w:tr w:rsidR="001274D3" w:rsidRPr="001274D3" w:rsidTr="001274D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D32C5D" w:rsidRPr="001274D3" w:rsidRDefault="00D32C5D" w:rsidP="006D33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Secondary </w:t>
            </w:r>
            <w:r w:rsidR="006D3306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outcome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, n (%)</w:t>
            </w:r>
          </w:p>
        </w:tc>
        <w:tc>
          <w:tcPr>
            <w:tcW w:w="1275" w:type="dxa"/>
            <w:vAlign w:val="center"/>
          </w:tcPr>
          <w:p w:rsidR="00D3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52 (9.4)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37 (9.7)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3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14 (8.6)</w:t>
            </w:r>
          </w:p>
        </w:tc>
        <w:tc>
          <w:tcPr>
            <w:tcW w:w="1155" w:type="dxa"/>
            <w:vAlign w:val="center"/>
          </w:tcPr>
          <w:p w:rsidR="00D3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 (11.0)</w:t>
            </w:r>
          </w:p>
        </w:tc>
        <w:tc>
          <w:tcPr>
            <w:tcW w:w="993" w:type="dxa"/>
            <w:vAlign w:val="center"/>
          </w:tcPr>
          <w:p w:rsidR="00D32C5D" w:rsidRPr="001274D3" w:rsidRDefault="00470543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0.902</w:t>
            </w:r>
          </w:p>
        </w:tc>
        <w:tc>
          <w:tcPr>
            <w:tcW w:w="992" w:type="dxa"/>
            <w:vAlign w:val="center"/>
          </w:tcPr>
          <w:p w:rsidR="00D32C5D" w:rsidRPr="001274D3" w:rsidRDefault="00470543" w:rsidP="000F3B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0.764</w:t>
            </w:r>
          </w:p>
        </w:tc>
        <w:tc>
          <w:tcPr>
            <w:tcW w:w="901" w:type="dxa"/>
            <w:vAlign w:val="center"/>
          </w:tcPr>
          <w:p w:rsidR="00D32C5D" w:rsidRPr="001274D3" w:rsidRDefault="004B7D4C" w:rsidP="000F3B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0.639</w:t>
            </w:r>
          </w:p>
        </w:tc>
        <w:tc>
          <w:tcPr>
            <w:tcW w:w="993" w:type="dxa"/>
            <w:vAlign w:val="center"/>
          </w:tcPr>
          <w:p w:rsidR="00D32C5D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0.709</w:t>
            </w:r>
          </w:p>
        </w:tc>
        <w:tc>
          <w:tcPr>
            <w:tcW w:w="992" w:type="dxa"/>
            <w:vAlign w:val="center"/>
          </w:tcPr>
          <w:p w:rsidR="00D32C5D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0.703</w:t>
            </w:r>
          </w:p>
        </w:tc>
        <w:tc>
          <w:tcPr>
            <w:tcW w:w="985" w:type="dxa"/>
            <w:vAlign w:val="center"/>
          </w:tcPr>
          <w:p w:rsidR="00D32C5D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0.541</w:t>
            </w:r>
          </w:p>
        </w:tc>
      </w:tr>
      <w:tr w:rsidR="001274D3" w:rsidRPr="001274D3" w:rsidTr="001274D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  TLR</w:t>
            </w:r>
            <w:r w:rsidR="00D32C5D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, n (%)</w:t>
            </w:r>
          </w:p>
        </w:tc>
        <w:tc>
          <w:tcPr>
            <w:tcW w:w="1275" w:type="dxa"/>
            <w:vAlign w:val="center"/>
          </w:tcPr>
          <w:p w:rsidR="0073375A" w:rsidRPr="001274D3" w:rsidRDefault="00470543" w:rsidP="00470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39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17EAE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7.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4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6.3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4.3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7.7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632</w:t>
            </w:r>
          </w:p>
        </w:tc>
        <w:tc>
          <w:tcPr>
            <w:tcW w:w="992" w:type="dxa"/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211</w:t>
            </w:r>
          </w:p>
        </w:tc>
        <w:tc>
          <w:tcPr>
            <w:tcW w:w="901" w:type="dxa"/>
            <w:vAlign w:val="center"/>
          </w:tcPr>
          <w:p w:rsidR="0073375A" w:rsidRPr="001274D3" w:rsidRDefault="0073375A" w:rsidP="004B7D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B7D4C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830</w:t>
            </w:r>
          </w:p>
        </w:tc>
        <w:tc>
          <w:tcPr>
            <w:tcW w:w="993" w:type="dxa"/>
            <w:vAlign w:val="center"/>
          </w:tcPr>
          <w:p w:rsidR="0073375A" w:rsidRPr="001274D3" w:rsidRDefault="0073375A" w:rsidP="004B7D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B7D4C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370</w:t>
            </w:r>
          </w:p>
        </w:tc>
        <w:tc>
          <w:tcPr>
            <w:tcW w:w="992" w:type="dxa"/>
            <w:vAlign w:val="center"/>
          </w:tcPr>
          <w:p w:rsidR="0073375A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0.621</w:t>
            </w:r>
          </w:p>
        </w:tc>
        <w:tc>
          <w:tcPr>
            <w:tcW w:w="985" w:type="dxa"/>
            <w:vAlign w:val="center"/>
          </w:tcPr>
          <w:p w:rsidR="0073375A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0.260</w:t>
            </w:r>
          </w:p>
        </w:tc>
      </w:tr>
      <w:tr w:rsidR="001274D3" w:rsidRPr="001274D3" w:rsidTr="001274D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3375A" w:rsidRPr="001274D3" w:rsidRDefault="0073375A" w:rsidP="00EF0124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TVR</w:t>
            </w:r>
            <w:r w:rsidR="00D32C5D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, n (%)</w:t>
            </w:r>
          </w:p>
        </w:tc>
        <w:tc>
          <w:tcPr>
            <w:tcW w:w="1275" w:type="dxa"/>
            <w:vAlign w:val="center"/>
          </w:tcPr>
          <w:p w:rsidR="0073375A" w:rsidRPr="001274D3" w:rsidRDefault="00470543" w:rsidP="00470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49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8.9</w:t>
            </w:r>
            <w:r w:rsidR="0073375A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32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8.4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5.6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:rsidR="0073375A" w:rsidRPr="001274D3" w:rsidRDefault="00E17EAE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8.8</w:t>
            </w:r>
            <w:r w:rsidR="0073375A"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  <w:r w:rsidRPr="001274D3">
              <w:rPr>
                <w:rFonts w:ascii="Times New Roman" w:eastAsia="굴림" w:hAnsi="Times New Roman" w:cs="Times New Roman"/>
                <w:kern w:val="0"/>
                <w:szCs w:val="20"/>
              </w:rPr>
              <w:t>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780</w:t>
            </w:r>
          </w:p>
        </w:tc>
        <w:tc>
          <w:tcPr>
            <w:tcW w:w="992" w:type="dxa"/>
            <w:vAlign w:val="center"/>
          </w:tcPr>
          <w:p w:rsidR="0073375A" w:rsidRPr="001274D3" w:rsidRDefault="0073375A" w:rsidP="00470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70543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174</w:t>
            </w:r>
          </w:p>
        </w:tc>
        <w:tc>
          <w:tcPr>
            <w:tcW w:w="901" w:type="dxa"/>
            <w:vAlign w:val="center"/>
          </w:tcPr>
          <w:p w:rsidR="0073375A" w:rsidRPr="001274D3" w:rsidRDefault="0073375A" w:rsidP="004B7D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B7D4C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979</w:t>
            </w:r>
          </w:p>
        </w:tc>
        <w:tc>
          <w:tcPr>
            <w:tcW w:w="993" w:type="dxa"/>
            <w:vAlign w:val="center"/>
          </w:tcPr>
          <w:p w:rsidR="0073375A" w:rsidRPr="001274D3" w:rsidRDefault="0073375A" w:rsidP="004B7D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4B7D4C"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257</w:t>
            </w:r>
          </w:p>
        </w:tc>
        <w:tc>
          <w:tcPr>
            <w:tcW w:w="992" w:type="dxa"/>
            <w:vAlign w:val="center"/>
          </w:tcPr>
          <w:p w:rsidR="0073375A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0.893</w:t>
            </w:r>
          </w:p>
        </w:tc>
        <w:tc>
          <w:tcPr>
            <w:tcW w:w="985" w:type="dxa"/>
            <w:vAlign w:val="center"/>
          </w:tcPr>
          <w:p w:rsidR="0073375A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0.324</w:t>
            </w:r>
          </w:p>
        </w:tc>
      </w:tr>
      <w:tr w:rsidR="001274D3" w:rsidRPr="001274D3" w:rsidTr="001274D3">
        <w:trPr>
          <w:trHeight w:val="30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C5D" w:rsidRPr="001274D3" w:rsidRDefault="00D32C5D" w:rsidP="00EF0124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CVA, n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 (0.5)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 (1.6)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 (1.9)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32C5D" w:rsidRPr="001274D3" w:rsidRDefault="00470543" w:rsidP="00E17E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 (2.2)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2C5D" w:rsidRPr="001274D3" w:rsidRDefault="00470543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2C5D" w:rsidRPr="001274D3" w:rsidRDefault="00470543" w:rsidP="000F3B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0.109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D32C5D" w:rsidRPr="001274D3" w:rsidRDefault="004B7D4C" w:rsidP="000F3B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0.096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2C5D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0.811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2C5D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0.674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D32C5D" w:rsidRPr="001274D3" w:rsidRDefault="004B7D4C" w:rsidP="00174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274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0.850</w:t>
            </w:r>
          </w:p>
        </w:tc>
      </w:tr>
    </w:tbl>
    <w:p w:rsidR="0074783E" w:rsidRPr="00752476" w:rsidRDefault="001274D3">
      <w:r w:rsidRPr="00752476">
        <w:rPr>
          <w:rFonts w:ascii="Times New Roman" w:hAnsi="Times New Roman" w:cs="Times New Roman" w:hint="eastAsia"/>
          <w:szCs w:val="20"/>
        </w:rPr>
        <w:t xml:space="preserve">Group </w:t>
      </w:r>
      <w:r w:rsidRPr="00752476">
        <w:rPr>
          <w:rFonts w:ascii="Times New Roman" w:hAnsi="Times New Roman" w:cs="Times New Roman"/>
          <w:szCs w:val="20"/>
        </w:rPr>
        <w:t>A</w:t>
      </w:r>
      <w:r w:rsidR="00427C0B">
        <w:rPr>
          <w:rFonts w:ascii="Times New Roman" w:hAnsi="Times New Roman" w:cs="Times New Roman" w:hint="eastAsia"/>
          <w:szCs w:val="20"/>
        </w:rPr>
        <w:t xml:space="preserve"> -</w:t>
      </w:r>
      <w:r w:rsidRPr="00752476">
        <w:rPr>
          <w:rFonts w:ascii="Times New Roman" w:hAnsi="Times New Roman" w:cs="Times New Roman"/>
          <w:szCs w:val="20"/>
        </w:rPr>
        <w:t xml:space="preserve"> low NLR (≤ 3.0)/low ΔSBP (≤ 25mmHg</w:t>
      </w:r>
      <w:r w:rsidRPr="00752476">
        <w:rPr>
          <w:rFonts w:ascii="Times New Roman" w:hAnsi="Times New Roman" w:cs="Times New Roman" w:hint="eastAsia"/>
          <w:szCs w:val="20"/>
        </w:rPr>
        <w:t>)</w:t>
      </w:r>
      <w:r w:rsidR="00752476">
        <w:rPr>
          <w:rFonts w:ascii="Times New Roman" w:hAnsi="Times New Roman" w:cs="Times New Roman" w:hint="eastAsia"/>
          <w:szCs w:val="20"/>
        </w:rPr>
        <w:t>;</w:t>
      </w:r>
      <w:r w:rsidRPr="00752476">
        <w:rPr>
          <w:rFonts w:ascii="Times New Roman" w:hAnsi="Times New Roman" w:cs="Times New Roman" w:hint="eastAsia"/>
          <w:szCs w:val="20"/>
        </w:rPr>
        <w:t xml:space="preserve"> </w:t>
      </w:r>
      <w:r w:rsidRPr="00752476">
        <w:rPr>
          <w:rFonts w:ascii="Times New Roman" w:hAnsi="Times New Roman" w:cs="Times New Roman"/>
          <w:szCs w:val="20"/>
        </w:rPr>
        <w:t>Group B</w:t>
      </w:r>
      <w:r w:rsidR="00427C0B">
        <w:rPr>
          <w:rFonts w:ascii="Times New Roman" w:hAnsi="Times New Roman" w:cs="Times New Roman" w:hint="eastAsia"/>
          <w:szCs w:val="20"/>
        </w:rPr>
        <w:t xml:space="preserve"> -</w:t>
      </w:r>
      <w:r w:rsidRPr="00752476">
        <w:rPr>
          <w:rFonts w:ascii="Times New Roman" w:hAnsi="Times New Roman" w:cs="Times New Roman"/>
          <w:szCs w:val="20"/>
        </w:rPr>
        <w:t xml:space="preserve"> high ΔSBP (&gt;25mmHg)/low NLR (≤3.0)</w:t>
      </w:r>
      <w:r w:rsidR="00752476">
        <w:rPr>
          <w:rFonts w:ascii="Times New Roman" w:hAnsi="Times New Roman" w:cs="Times New Roman" w:hint="eastAsia"/>
          <w:szCs w:val="20"/>
        </w:rPr>
        <w:t>;</w:t>
      </w:r>
      <w:r w:rsidRPr="00752476">
        <w:rPr>
          <w:rFonts w:ascii="Times New Roman" w:hAnsi="Times New Roman" w:cs="Times New Roman"/>
          <w:szCs w:val="20"/>
        </w:rPr>
        <w:t xml:space="preserve"> Group C</w:t>
      </w:r>
      <w:r w:rsidR="00427C0B">
        <w:rPr>
          <w:rFonts w:ascii="Times New Roman" w:hAnsi="Times New Roman" w:cs="Times New Roman" w:hint="eastAsia"/>
          <w:szCs w:val="20"/>
        </w:rPr>
        <w:t xml:space="preserve"> -</w:t>
      </w:r>
      <w:r w:rsidRPr="00752476">
        <w:rPr>
          <w:rFonts w:ascii="Times New Roman" w:hAnsi="Times New Roman" w:cs="Times New Roman"/>
          <w:szCs w:val="20"/>
        </w:rPr>
        <w:t xml:space="preserve"> high NLR (&gt;3.0)/low ΔSBP (≤25mmHg)</w:t>
      </w:r>
      <w:r w:rsidR="00752476">
        <w:rPr>
          <w:rFonts w:ascii="Times New Roman" w:hAnsi="Times New Roman" w:cs="Times New Roman" w:hint="eastAsia"/>
          <w:szCs w:val="20"/>
        </w:rPr>
        <w:t>;</w:t>
      </w:r>
      <w:r w:rsidRPr="00752476">
        <w:rPr>
          <w:rFonts w:ascii="Times New Roman" w:hAnsi="Times New Roman" w:cs="Times New Roman"/>
          <w:szCs w:val="20"/>
        </w:rPr>
        <w:t xml:space="preserve"> Group D</w:t>
      </w:r>
      <w:r w:rsidR="00427C0B">
        <w:rPr>
          <w:rFonts w:ascii="Times New Roman" w:hAnsi="Times New Roman" w:cs="Times New Roman" w:hint="eastAsia"/>
          <w:szCs w:val="20"/>
        </w:rPr>
        <w:t xml:space="preserve"> -</w:t>
      </w:r>
      <w:r w:rsidR="00D43A0D">
        <w:rPr>
          <w:rFonts w:ascii="Times New Roman" w:hAnsi="Times New Roman" w:cs="Times New Roman" w:hint="eastAsia"/>
          <w:szCs w:val="20"/>
        </w:rPr>
        <w:t xml:space="preserve"> </w:t>
      </w:r>
      <w:r w:rsidRPr="00752476">
        <w:rPr>
          <w:rFonts w:ascii="Times New Roman" w:hAnsi="Times New Roman" w:cs="Times New Roman"/>
          <w:szCs w:val="20"/>
        </w:rPr>
        <w:t>high ΔSBP (&gt;25mmHg)/high NLR (&gt;3.0)</w:t>
      </w:r>
      <w:r w:rsidR="00752476">
        <w:rPr>
          <w:rFonts w:ascii="Times New Roman" w:hAnsi="Times New Roman" w:cs="Times New Roman" w:hint="eastAsia"/>
          <w:szCs w:val="20"/>
        </w:rPr>
        <w:t>;</w:t>
      </w:r>
      <w:r w:rsidRPr="00752476">
        <w:rPr>
          <w:rFonts w:ascii="Times New Roman" w:hAnsi="Times New Roman" w:cs="Times New Roman"/>
          <w:szCs w:val="20"/>
        </w:rPr>
        <w:t xml:space="preserve"> </w:t>
      </w:r>
      <w:r w:rsidR="007321DC" w:rsidRPr="00752476">
        <w:rPr>
          <w:rFonts w:ascii="Times New Roman" w:hAnsi="Times New Roman" w:cs="Times New Roman" w:hint="eastAsia"/>
          <w:szCs w:val="20"/>
        </w:rPr>
        <w:t>TLR</w:t>
      </w:r>
      <w:r w:rsidR="00427C0B">
        <w:rPr>
          <w:rFonts w:ascii="Times New Roman" w:hAnsi="Times New Roman" w:cs="Times New Roman" w:hint="eastAsia"/>
          <w:szCs w:val="20"/>
        </w:rPr>
        <w:t xml:space="preserve"> -</w:t>
      </w:r>
      <w:r w:rsidR="007321DC" w:rsidRPr="00752476">
        <w:rPr>
          <w:rFonts w:ascii="Times New Roman" w:hAnsi="Times New Roman" w:cs="Times New Roman" w:hint="eastAsia"/>
          <w:szCs w:val="20"/>
        </w:rPr>
        <w:t xml:space="preserve"> target lesion revascularization</w:t>
      </w:r>
      <w:r w:rsidR="00752476">
        <w:rPr>
          <w:rFonts w:ascii="Times New Roman" w:hAnsi="Times New Roman" w:cs="Times New Roman" w:hint="eastAsia"/>
          <w:szCs w:val="20"/>
        </w:rPr>
        <w:t xml:space="preserve">; </w:t>
      </w:r>
      <w:r w:rsidR="007321DC" w:rsidRPr="00752476">
        <w:rPr>
          <w:rFonts w:ascii="Times New Roman" w:hAnsi="Times New Roman" w:cs="Times New Roman" w:hint="eastAsia"/>
          <w:szCs w:val="20"/>
        </w:rPr>
        <w:t>TVR</w:t>
      </w:r>
      <w:r w:rsidR="00427C0B">
        <w:rPr>
          <w:rFonts w:ascii="Times New Roman" w:hAnsi="Times New Roman" w:cs="Times New Roman" w:hint="eastAsia"/>
          <w:szCs w:val="20"/>
        </w:rPr>
        <w:t xml:space="preserve"> -</w:t>
      </w:r>
      <w:r w:rsidR="007321DC" w:rsidRPr="00752476">
        <w:rPr>
          <w:rFonts w:ascii="Times New Roman" w:hAnsi="Times New Roman" w:cs="Times New Roman" w:hint="eastAsia"/>
          <w:szCs w:val="20"/>
        </w:rPr>
        <w:t xml:space="preserve"> target vessel revascularization</w:t>
      </w:r>
      <w:r w:rsidR="00752476">
        <w:rPr>
          <w:rFonts w:ascii="Times New Roman" w:hAnsi="Times New Roman" w:cs="Times New Roman" w:hint="eastAsia"/>
          <w:szCs w:val="20"/>
        </w:rPr>
        <w:t>;</w:t>
      </w:r>
      <w:r w:rsidR="007321DC" w:rsidRPr="00752476">
        <w:rPr>
          <w:rFonts w:ascii="Times New Roman" w:hAnsi="Times New Roman" w:cs="Times New Roman" w:hint="eastAsia"/>
          <w:szCs w:val="20"/>
        </w:rPr>
        <w:t xml:space="preserve"> CVA</w:t>
      </w:r>
      <w:r w:rsidR="00427C0B">
        <w:rPr>
          <w:rFonts w:ascii="Times New Roman" w:hAnsi="Times New Roman" w:cs="Times New Roman" w:hint="eastAsia"/>
          <w:szCs w:val="20"/>
        </w:rPr>
        <w:t xml:space="preserve"> -</w:t>
      </w:r>
      <w:r w:rsidR="007321DC" w:rsidRPr="00752476">
        <w:rPr>
          <w:rFonts w:ascii="Times New Roman" w:hAnsi="Times New Roman" w:cs="Times New Roman" w:hint="eastAsia"/>
          <w:szCs w:val="20"/>
        </w:rPr>
        <w:t xml:space="preserve"> </w:t>
      </w:r>
      <w:r w:rsidR="007321DC" w:rsidRPr="00752476">
        <w:rPr>
          <w:rFonts w:ascii="Times New Roman" w:hAnsi="Times New Roman" w:cs="Times New Roman"/>
          <w:szCs w:val="20"/>
        </w:rPr>
        <w:t>cerebrovascular</w:t>
      </w:r>
      <w:r w:rsidR="007321DC" w:rsidRPr="00752476">
        <w:rPr>
          <w:rFonts w:ascii="Times New Roman" w:hAnsi="Times New Roman" w:cs="Times New Roman" w:hint="eastAsia"/>
          <w:szCs w:val="20"/>
        </w:rPr>
        <w:t xml:space="preserve"> accidents</w:t>
      </w:r>
      <w:r w:rsidR="00752476">
        <w:rPr>
          <w:rFonts w:ascii="Times New Roman" w:hAnsi="Times New Roman" w:cs="Times New Roman" w:hint="eastAsia"/>
          <w:szCs w:val="20"/>
        </w:rPr>
        <w:t>.</w:t>
      </w:r>
      <w:r w:rsidR="007321DC" w:rsidRPr="00752476">
        <w:rPr>
          <w:rFonts w:ascii="Times New Roman" w:hAnsi="Times New Roman" w:cs="Times New Roman" w:hint="eastAsia"/>
          <w:szCs w:val="20"/>
        </w:rPr>
        <w:t xml:space="preserve"> </w:t>
      </w:r>
    </w:p>
    <w:sectPr w:rsidR="0074783E" w:rsidRPr="00752476" w:rsidSect="007D04F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B6" w:rsidRDefault="003601B6" w:rsidP="00A13318">
      <w:pPr>
        <w:spacing w:after="0" w:line="240" w:lineRule="auto"/>
      </w:pPr>
      <w:r>
        <w:separator/>
      </w:r>
    </w:p>
  </w:endnote>
  <w:endnote w:type="continuationSeparator" w:id="0">
    <w:p w:rsidR="003601B6" w:rsidRDefault="003601B6" w:rsidP="00A1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B6" w:rsidRDefault="003601B6" w:rsidP="00A13318">
      <w:pPr>
        <w:spacing w:after="0" w:line="240" w:lineRule="auto"/>
      </w:pPr>
      <w:r>
        <w:separator/>
      </w:r>
    </w:p>
  </w:footnote>
  <w:footnote w:type="continuationSeparator" w:id="0">
    <w:p w:rsidR="003601B6" w:rsidRDefault="003601B6" w:rsidP="00A1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FB"/>
    <w:rsid w:val="00001CF3"/>
    <w:rsid w:val="0007258D"/>
    <w:rsid w:val="00081306"/>
    <w:rsid w:val="0008673C"/>
    <w:rsid w:val="00093798"/>
    <w:rsid w:val="000E0446"/>
    <w:rsid w:val="000F3BF9"/>
    <w:rsid w:val="0012256E"/>
    <w:rsid w:val="001274D3"/>
    <w:rsid w:val="00137358"/>
    <w:rsid w:val="00153C61"/>
    <w:rsid w:val="0017495B"/>
    <w:rsid w:val="0017628A"/>
    <w:rsid w:val="00196EA9"/>
    <w:rsid w:val="001F25E7"/>
    <w:rsid w:val="0028052D"/>
    <w:rsid w:val="00291EB1"/>
    <w:rsid w:val="00292C5D"/>
    <w:rsid w:val="002A4FD0"/>
    <w:rsid w:val="002B1A85"/>
    <w:rsid w:val="002E64F4"/>
    <w:rsid w:val="00305E6E"/>
    <w:rsid w:val="00337757"/>
    <w:rsid w:val="0034691F"/>
    <w:rsid w:val="00353EA8"/>
    <w:rsid w:val="003601B6"/>
    <w:rsid w:val="003E0BBA"/>
    <w:rsid w:val="00400B3F"/>
    <w:rsid w:val="00427C0B"/>
    <w:rsid w:val="0044573F"/>
    <w:rsid w:val="00470543"/>
    <w:rsid w:val="004916BC"/>
    <w:rsid w:val="00491F92"/>
    <w:rsid w:val="004B7D4C"/>
    <w:rsid w:val="00571C12"/>
    <w:rsid w:val="00597F34"/>
    <w:rsid w:val="00643582"/>
    <w:rsid w:val="00645E97"/>
    <w:rsid w:val="00667094"/>
    <w:rsid w:val="006854F8"/>
    <w:rsid w:val="006D3306"/>
    <w:rsid w:val="007321DC"/>
    <w:rsid w:val="0073375A"/>
    <w:rsid w:val="0074783E"/>
    <w:rsid w:val="00752476"/>
    <w:rsid w:val="00781545"/>
    <w:rsid w:val="007A4BBF"/>
    <w:rsid w:val="007D04FB"/>
    <w:rsid w:val="008047C2"/>
    <w:rsid w:val="00886E31"/>
    <w:rsid w:val="008F3C03"/>
    <w:rsid w:val="00914DE7"/>
    <w:rsid w:val="009376B3"/>
    <w:rsid w:val="009404B3"/>
    <w:rsid w:val="009D6552"/>
    <w:rsid w:val="00A13318"/>
    <w:rsid w:val="00B551A7"/>
    <w:rsid w:val="00BB2FD0"/>
    <w:rsid w:val="00BC2214"/>
    <w:rsid w:val="00CF453D"/>
    <w:rsid w:val="00D32C5D"/>
    <w:rsid w:val="00D43A0D"/>
    <w:rsid w:val="00DD5619"/>
    <w:rsid w:val="00E17EAE"/>
    <w:rsid w:val="00E36089"/>
    <w:rsid w:val="00E928A4"/>
    <w:rsid w:val="00EB52EB"/>
    <w:rsid w:val="00EE51AF"/>
    <w:rsid w:val="00F5141E"/>
    <w:rsid w:val="00F95C71"/>
    <w:rsid w:val="00F95E92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3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3318"/>
  </w:style>
  <w:style w:type="paragraph" w:styleId="a4">
    <w:name w:val="footer"/>
    <w:basedOn w:val="a"/>
    <w:link w:val="Char0"/>
    <w:uiPriority w:val="99"/>
    <w:unhideWhenUsed/>
    <w:rsid w:val="00A133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3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3318"/>
  </w:style>
  <w:style w:type="paragraph" w:styleId="a4">
    <w:name w:val="footer"/>
    <w:basedOn w:val="a"/>
    <w:link w:val="Char0"/>
    <w:uiPriority w:val="99"/>
    <w:unhideWhenUsed/>
    <w:rsid w:val="00A133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KNUH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2020-03-18T16:31:00Z</dcterms:created>
  <dcterms:modified xsi:type="dcterms:W3CDTF">2020-03-18T16:32:00Z</dcterms:modified>
</cp:coreProperties>
</file>