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2"/>
        <w:gridCol w:w="2264"/>
        <w:gridCol w:w="2296"/>
        <w:gridCol w:w="2310"/>
      </w:tblGrid>
      <w:tr w:rsidR="0048131A" w:rsidRPr="0048131A" w14:paraId="0D24F965" w14:textId="77777777" w:rsidTr="0048131A">
        <w:tc>
          <w:tcPr>
            <w:tcW w:w="2265" w:type="dxa"/>
          </w:tcPr>
          <w:p w14:paraId="39315F23" w14:textId="6BA16907" w:rsidR="0048131A" w:rsidRPr="0048131A" w:rsidRDefault="0048131A" w:rsidP="0048131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8131A">
              <w:rPr>
                <w:rFonts w:ascii="Times New Roman" w:eastAsia="Times New Roman" w:hAnsi="Times New Roman" w:cs="Times New Roman"/>
                <w:b/>
                <w:bCs/>
                <w:color w:val="202124"/>
                <w:lang w:val="en-US"/>
              </w:rPr>
              <w:t>Atropine test</w:t>
            </w:r>
          </w:p>
        </w:tc>
        <w:tc>
          <w:tcPr>
            <w:tcW w:w="2265" w:type="dxa"/>
          </w:tcPr>
          <w:p w14:paraId="361B9137" w14:textId="14406BEE" w:rsidR="0048131A" w:rsidRPr="0048131A" w:rsidRDefault="0048131A" w:rsidP="0048131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8131A">
              <w:rPr>
                <w:rFonts w:ascii="Times New Roman" w:hAnsi="Times New Roman" w:cs="Times New Roman"/>
                <w:b/>
                <w:bCs/>
                <w:lang w:val="en-US"/>
              </w:rPr>
              <w:t>ExtraCardiac</w:t>
            </w:r>
            <w:proofErr w:type="spellEnd"/>
            <w:r w:rsidRPr="004813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Vagal Stimulation (ECVS)</w:t>
            </w:r>
          </w:p>
        </w:tc>
        <w:tc>
          <w:tcPr>
            <w:tcW w:w="2266" w:type="dxa"/>
          </w:tcPr>
          <w:p w14:paraId="5A9EBA1A" w14:textId="39A77E14" w:rsidR="0048131A" w:rsidRPr="0048131A" w:rsidRDefault="0048131A" w:rsidP="0048131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813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val="en-US" w:eastAsia="pl-PL"/>
                <w14:ligatures w14:val="none"/>
              </w:rPr>
              <w:t>Electrophysiological Study (EPS)</w:t>
            </w:r>
          </w:p>
        </w:tc>
        <w:tc>
          <w:tcPr>
            <w:tcW w:w="2266" w:type="dxa"/>
          </w:tcPr>
          <w:p w14:paraId="16567075" w14:textId="77ED3474" w:rsidR="0048131A" w:rsidRPr="0048131A" w:rsidRDefault="0048131A" w:rsidP="0048131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8131A">
              <w:rPr>
                <w:rFonts w:ascii="Times New Roman" w:hAnsi="Times New Roman" w:cs="Times New Roman"/>
                <w:b/>
                <w:bCs/>
                <w:lang w:val="en-US"/>
              </w:rPr>
              <w:t>Cardioneurablation</w:t>
            </w:r>
            <w:proofErr w:type="spellEnd"/>
            <w:r w:rsidRPr="004813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(CNA)</w:t>
            </w:r>
          </w:p>
        </w:tc>
      </w:tr>
      <w:tr w:rsidR="0048131A" w:rsidRPr="0048131A" w14:paraId="64F46880" w14:textId="77777777" w:rsidTr="0048131A">
        <w:tc>
          <w:tcPr>
            <w:tcW w:w="2265" w:type="dxa"/>
          </w:tcPr>
          <w:p w14:paraId="5E8056B4" w14:textId="6EFF6730" w:rsidR="0048131A" w:rsidRPr="0048131A" w:rsidRDefault="0048131A" w:rsidP="0048131A">
            <w:pPr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eastAsia="Times New Roman" w:hAnsi="Times New Roman" w:cs="Times New Roman"/>
                <w:color w:val="202124"/>
                <w:lang w:val="en-US"/>
              </w:rPr>
              <w:t xml:space="preserve">A </w:t>
            </w:r>
            <w:r w:rsidRPr="0048131A">
              <w:rPr>
                <w:rFonts w:ascii="Times New Roman" w:eastAsia="Times New Roman" w:hAnsi="Times New Roman" w:cs="Times New Roman"/>
                <w:color w:val="202124"/>
                <w:lang w:val="en-US"/>
              </w:rPr>
              <w:t xml:space="preserve">positive atropine test was defined as an increase in SR of 20% and/or a 1:1 recovery of AV conduction 10 min after </w:t>
            </w:r>
            <w:proofErr w:type="spellStart"/>
            <w:r w:rsidRPr="0048131A">
              <w:rPr>
                <w:rFonts w:ascii="Times New Roman" w:eastAsia="Times New Roman" w:hAnsi="Times New Roman" w:cs="Times New Roman"/>
                <w:color w:val="202124"/>
                <w:lang w:val="en-US"/>
              </w:rPr>
              <w:t>i.v.</w:t>
            </w:r>
            <w:proofErr w:type="spellEnd"/>
            <w:r w:rsidRPr="0048131A">
              <w:rPr>
                <w:rFonts w:ascii="Times New Roman" w:eastAsia="Times New Roman" w:hAnsi="Times New Roman" w:cs="Times New Roman"/>
                <w:color w:val="202124"/>
                <w:lang w:val="en-US"/>
              </w:rPr>
              <w:t xml:space="preserve"> atropine administration. at a dose of 0.02-0.04 mg/kg.</w:t>
            </w:r>
          </w:p>
        </w:tc>
        <w:tc>
          <w:tcPr>
            <w:tcW w:w="2265" w:type="dxa"/>
          </w:tcPr>
          <w:p w14:paraId="3E8ECFB6" w14:textId="7D9188E5" w:rsidR="0048131A" w:rsidRPr="0048131A" w:rsidRDefault="0048131A" w:rsidP="00481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>T</w:t>
            </w:r>
            <w:r w:rsidRPr="0048131A">
              <w:rPr>
                <w:rFonts w:ascii="Times New Roman" w:hAnsi="Times New Roman" w:cs="Times New Roman"/>
                <w:lang w:val="en-US"/>
              </w:rPr>
              <w:t>hrough puncture of the femoral vein, a diagnostic electrode will be introduced into the right and left internal jugular vein, respectively.</w:t>
            </w:r>
          </w:p>
          <w:p w14:paraId="07C347A5" w14:textId="77777777" w:rsidR="0048131A" w:rsidRPr="0048131A" w:rsidRDefault="0048131A" w:rsidP="004813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 xml:space="preserve">Stimulation of both </w:t>
            </w:r>
            <w:proofErr w:type="spellStart"/>
            <w:r w:rsidRPr="0048131A">
              <w:rPr>
                <w:rFonts w:ascii="Times New Roman" w:hAnsi="Times New Roman" w:cs="Times New Roman"/>
                <w:lang w:val="en-US"/>
              </w:rPr>
              <w:t>vagus</w:t>
            </w:r>
            <w:proofErr w:type="spellEnd"/>
            <w:r w:rsidRPr="0048131A">
              <w:rPr>
                <w:rFonts w:ascii="Times New Roman" w:hAnsi="Times New Roman" w:cs="Times New Roman"/>
                <w:lang w:val="en-US"/>
              </w:rPr>
              <w:t xml:space="preserve"> nerves will be performed in the vicinity of their cranial exits and in the vicinity of their course at the angle of the mandible (after prior localization using ultrasound).</w:t>
            </w:r>
          </w:p>
          <w:p w14:paraId="69A04634" w14:textId="77777777" w:rsidR="0048131A" w:rsidRPr="0048131A" w:rsidRDefault="0048131A" w:rsidP="004813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 xml:space="preserve">The stimulation parameters are: </w:t>
            </w:r>
          </w:p>
          <w:p w14:paraId="44B21ABF" w14:textId="77777777" w:rsidR="0048131A" w:rsidRPr="0048131A" w:rsidRDefault="0048131A" w:rsidP="0048131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 xml:space="preserve">1V/kg body weight, no more than 70V </w:t>
            </w:r>
          </w:p>
          <w:p w14:paraId="7FB8F3C4" w14:textId="77777777" w:rsidR="0048131A" w:rsidRPr="0048131A" w:rsidRDefault="0048131A" w:rsidP="0048131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 xml:space="preserve">frequency 50 Hz </w:t>
            </w:r>
          </w:p>
          <w:p w14:paraId="756C92FF" w14:textId="77777777" w:rsidR="0048131A" w:rsidRPr="0048131A" w:rsidRDefault="0048131A" w:rsidP="0048131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>the pulse duration is 50 microseconds</w:t>
            </w:r>
          </w:p>
          <w:p w14:paraId="615036F2" w14:textId="77777777" w:rsidR="0048131A" w:rsidRPr="0048131A" w:rsidRDefault="0048131A" w:rsidP="00481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>A positive ECVS result will be considered:</w:t>
            </w:r>
          </w:p>
          <w:p w14:paraId="5D58DAEC" w14:textId="77777777" w:rsidR="0048131A" w:rsidRPr="0048131A" w:rsidRDefault="0048131A" w:rsidP="004813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>sinus pause longer than 3 seconds</w:t>
            </w:r>
          </w:p>
          <w:p w14:paraId="34D376FD" w14:textId="77777777" w:rsidR="0048131A" w:rsidRPr="0048131A" w:rsidRDefault="0048131A" w:rsidP="0048131A">
            <w:pPr>
              <w:jc w:val="both"/>
              <w:rPr>
                <w:rFonts w:ascii="Times New Roman" w:eastAsia="Times New Roman" w:hAnsi="Times New Roman" w:cs="Times New Roman"/>
                <w:color w:val="202124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>second- and third-degree AV block during atrial pacing</w:t>
            </w:r>
          </w:p>
          <w:p w14:paraId="7C8B2E60" w14:textId="77777777" w:rsidR="0048131A" w:rsidRPr="0048131A" w:rsidRDefault="0048131A" w:rsidP="004813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</w:tcPr>
          <w:p w14:paraId="09879F64" w14:textId="630B4694" w:rsidR="0048131A" w:rsidRPr="0048131A" w:rsidRDefault="0048131A" w:rsidP="0048131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</w:pPr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>T</w:t>
            </w:r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 xml:space="preserve">wo diagnostic electrodes will be introduced by puncturing the femoral vein: into the right atrium and the right ventricle. The following measurements will be taken:  </w:t>
            </w:r>
          </w:p>
          <w:p w14:paraId="32FA6D8F" w14:textId="77777777" w:rsidR="0048131A" w:rsidRPr="0048131A" w:rsidRDefault="0048131A" w:rsidP="0048131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</w:pPr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>• sinus rhythm returns time (SNRT)- measured after 60 seconds of atrial stimulation at 100/min (</w:t>
            </w:r>
            <w:proofErr w:type="spellStart"/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>ms</w:t>
            </w:r>
            <w:proofErr w:type="spellEnd"/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 xml:space="preserve">)  </w:t>
            </w:r>
          </w:p>
          <w:p w14:paraId="4C49E38F" w14:textId="77777777" w:rsidR="0048131A" w:rsidRPr="0048131A" w:rsidRDefault="0048131A" w:rsidP="0048131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</w:pPr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>• corrected Sinus rhythm return time (</w:t>
            </w:r>
            <w:proofErr w:type="spellStart"/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>cSNRT</w:t>
            </w:r>
            <w:proofErr w:type="spellEnd"/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>)= SNRT-HR (</w:t>
            </w:r>
            <w:proofErr w:type="spellStart"/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>ms</w:t>
            </w:r>
            <w:proofErr w:type="spellEnd"/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 xml:space="preserve">)  </w:t>
            </w:r>
          </w:p>
          <w:p w14:paraId="49ABD245" w14:textId="77777777" w:rsidR="0048131A" w:rsidRPr="0048131A" w:rsidRDefault="0048131A" w:rsidP="0048131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</w:pPr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>• AH; HV- time measurement (</w:t>
            </w:r>
            <w:proofErr w:type="spellStart"/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>ms</w:t>
            </w:r>
            <w:proofErr w:type="spellEnd"/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 xml:space="preserve">)  </w:t>
            </w:r>
          </w:p>
          <w:p w14:paraId="5FAE7B6E" w14:textId="77777777" w:rsidR="0048131A" w:rsidRPr="0048131A" w:rsidRDefault="0048131A" w:rsidP="0048131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</w:pPr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>• Wenckebach point- the shortest cycle of atrial pacing conducted 1:1 through the AV node (</w:t>
            </w:r>
            <w:proofErr w:type="spellStart"/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>ms</w:t>
            </w:r>
            <w:proofErr w:type="spellEnd"/>
            <w:r w:rsidRPr="0048131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pl-PL"/>
                <w14:ligatures w14:val="none"/>
              </w:rPr>
              <w:t xml:space="preserve">)  </w:t>
            </w:r>
          </w:p>
          <w:p w14:paraId="027F03CD" w14:textId="77777777" w:rsidR="0048131A" w:rsidRPr="0048131A" w:rsidRDefault="0048131A" w:rsidP="004813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</w:tcPr>
          <w:p w14:paraId="16A876E6" w14:textId="65DA2A47" w:rsidR="0048131A" w:rsidRPr="0048131A" w:rsidRDefault="0048131A" w:rsidP="0048131A">
            <w:pPr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>T</w:t>
            </w:r>
            <w:r w:rsidRPr="0048131A">
              <w:rPr>
                <w:rFonts w:ascii="Times New Roman" w:hAnsi="Times New Roman" w:cs="Times New Roman"/>
                <w:lang w:val="en-US"/>
              </w:rPr>
              <w:t xml:space="preserve">hrough femoral vein puncture and transseptal puncture, a mapping/ablation electrode will be introduced into the left atrium (LA). A 3D map of LA will be created using the </w:t>
            </w:r>
            <w:proofErr w:type="spellStart"/>
            <w:r w:rsidRPr="0048131A">
              <w:rPr>
                <w:rFonts w:ascii="Times New Roman" w:hAnsi="Times New Roman" w:cs="Times New Roman"/>
                <w:lang w:val="en-US"/>
              </w:rPr>
              <w:t>electroanatomical</w:t>
            </w:r>
            <w:proofErr w:type="spellEnd"/>
            <w:r w:rsidRPr="0048131A">
              <w:rPr>
                <w:rFonts w:ascii="Times New Roman" w:hAnsi="Times New Roman" w:cs="Times New Roman"/>
                <w:lang w:val="en-US"/>
              </w:rPr>
              <w:t xml:space="preserve"> system. Then 35W energy applications will be performed in areas of the ganglionated </w:t>
            </w:r>
            <w:proofErr w:type="spellStart"/>
            <w:r w:rsidRPr="0048131A">
              <w:rPr>
                <w:rFonts w:ascii="Times New Roman" w:hAnsi="Times New Roman" w:cs="Times New Roman"/>
                <w:lang w:val="en-US"/>
              </w:rPr>
              <w:t>plexi</w:t>
            </w:r>
            <w:proofErr w:type="spellEnd"/>
            <w:r w:rsidRPr="0048131A">
              <w:rPr>
                <w:rFonts w:ascii="Times New Roman" w:hAnsi="Times New Roman" w:cs="Times New Roman"/>
                <w:lang w:val="en-US"/>
              </w:rPr>
              <w:t xml:space="preserve"> (GP):</w:t>
            </w:r>
          </w:p>
          <w:p w14:paraId="57E6007D" w14:textId="77777777" w:rsidR="0048131A" w:rsidRPr="0048131A" w:rsidRDefault="0048131A" w:rsidP="0048131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>Superior left atrial GP (LSGP)</w:t>
            </w:r>
          </w:p>
          <w:p w14:paraId="2DAD9853" w14:textId="77777777" w:rsidR="0048131A" w:rsidRPr="0048131A" w:rsidRDefault="0048131A" w:rsidP="0048131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>Posterolateral (inferior) left atrial GP (LIGP)</w:t>
            </w:r>
          </w:p>
          <w:p w14:paraId="77B9649E" w14:textId="77777777" w:rsidR="0048131A" w:rsidRPr="0048131A" w:rsidRDefault="0048131A" w:rsidP="0048131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 xml:space="preserve">Superior (anterior) right atrial GP (RSGP) AKA Superior </w:t>
            </w:r>
            <w:proofErr w:type="spellStart"/>
            <w:r w:rsidRPr="0048131A">
              <w:rPr>
                <w:rFonts w:ascii="Times New Roman" w:hAnsi="Times New Roman" w:cs="Times New Roman"/>
                <w:lang w:val="en-US"/>
              </w:rPr>
              <w:t>paraseptal</w:t>
            </w:r>
            <w:proofErr w:type="spellEnd"/>
            <w:r w:rsidRPr="0048131A">
              <w:rPr>
                <w:rFonts w:ascii="Times New Roman" w:hAnsi="Times New Roman" w:cs="Times New Roman"/>
                <w:lang w:val="en-US"/>
              </w:rPr>
              <w:t xml:space="preserve"> GP (SPSGP)</w:t>
            </w:r>
          </w:p>
          <w:p w14:paraId="1E55F1A5" w14:textId="77777777" w:rsidR="0048131A" w:rsidRPr="0048131A" w:rsidRDefault="0048131A" w:rsidP="0048131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>Inferior (posterior) right atrial GP (RIGP)</w:t>
            </w:r>
          </w:p>
          <w:p w14:paraId="6223FE29" w14:textId="77777777" w:rsidR="0048131A" w:rsidRPr="0048131A" w:rsidRDefault="0048131A" w:rsidP="0048131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 xml:space="preserve">Posteromedial left atrial GP (PMLGP) AKA inferior </w:t>
            </w:r>
            <w:proofErr w:type="spellStart"/>
            <w:r w:rsidRPr="0048131A">
              <w:rPr>
                <w:rFonts w:ascii="Times New Roman" w:hAnsi="Times New Roman" w:cs="Times New Roman"/>
                <w:lang w:val="en-US"/>
              </w:rPr>
              <w:t>paraseptal</w:t>
            </w:r>
            <w:proofErr w:type="spellEnd"/>
            <w:r w:rsidRPr="0048131A">
              <w:rPr>
                <w:rFonts w:ascii="Times New Roman" w:hAnsi="Times New Roman" w:cs="Times New Roman"/>
                <w:lang w:val="en-US"/>
              </w:rPr>
              <w:t xml:space="preserve"> GP (IPSGP)</w:t>
            </w:r>
          </w:p>
          <w:p w14:paraId="19DA6614" w14:textId="77777777" w:rsidR="0048131A" w:rsidRPr="0048131A" w:rsidRDefault="0048131A" w:rsidP="0048131A">
            <w:pPr>
              <w:rPr>
                <w:rFonts w:ascii="Times New Roman" w:hAnsi="Times New Roman" w:cs="Times New Roman"/>
                <w:lang w:val="en-US"/>
              </w:rPr>
            </w:pPr>
          </w:p>
          <w:p w14:paraId="6A8AD86B" w14:textId="77777777" w:rsidR="0048131A" w:rsidRPr="0048131A" w:rsidRDefault="0048131A" w:rsidP="0048131A">
            <w:pPr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 xml:space="preserve">At least 5 applications for each GP, with a total application time of at least 5 minutes. RSGP and PMLGP </w:t>
            </w:r>
            <w:r w:rsidRPr="0048131A">
              <w:rPr>
                <w:rFonts w:ascii="Times New Roman" w:hAnsi="Times New Roman" w:cs="Times New Roman"/>
                <w:lang w:val="en-US"/>
              </w:rPr>
              <w:lastRenderedPageBreak/>
              <w:t>will also undergo ablation from the previously mapped right atrium. The effectiveness of CNA will be confirmed in EPS, ECVS and atropine test.</w:t>
            </w:r>
          </w:p>
          <w:p w14:paraId="6B9D61D3" w14:textId="77777777" w:rsidR="0048131A" w:rsidRPr="0048131A" w:rsidRDefault="0048131A" w:rsidP="0048131A">
            <w:pPr>
              <w:rPr>
                <w:rFonts w:ascii="Times New Roman" w:hAnsi="Times New Roman" w:cs="Times New Roman"/>
                <w:lang w:val="en-US"/>
              </w:rPr>
            </w:pPr>
            <w:r w:rsidRPr="0048131A">
              <w:rPr>
                <w:rFonts w:ascii="Times New Roman" w:hAnsi="Times New Roman" w:cs="Times New Roman"/>
                <w:lang w:val="en-US"/>
              </w:rPr>
              <w:t xml:space="preserve">The entire procedure will be performed under general anesthesia. </w:t>
            </w:r>
          </w:p>
          <w:p w14:paraId="5DC18ABD" w14:textId="77777777" w:rsidR="0048131A" w:rsidRPr="0048131A" w:rsidRDefault="0048131A" w:rsidP="004813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77F63A3" w14:textId="77777777" w:rsidR="00B20798" w:rsidRPr="0048131A" w:rsidRDefault="00B20798" w:rsidP="0048131A">
      <w:pPr>
        <w:rPr>
          <w:rFonts w:ascii="Times New Roman" w:hAnsi="Times New Roman" w:cs="Times New Roman"/>
          <w:b/>
          <w:bCs/>
          <w:lang w:val="en-US"/>
        </w:rPr>
      </w:pPr>
    </w:p>
    <w:sectPr w:rsidR="00B20798" w:rsidRPr="00481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6A2"/>
    <w:multiLevelType w:val="hybridMultilevel"/>
    <w:tmpl w:val="3D1E02A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AC02269"/>
    <w:multiLevelType w:val="hybridMultilevel"/>
    <w:tmpl w:val="9EA6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C0D9E"/>
    <w:multiLevelType w:val="hybridMultilevel"/>
    <w:tmpl w:val="250A3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0081">
    <w:abstractNumId w:val="1"/>
  </w:num>
  <w:num w:numId="2" w16cid:durableId="1860586315">
    <w:abstractNumId w:val="2"/>
  </w:num>
  <w:num w:numId="3" w16cid:durableId="6495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1A"/>
    <w:rsid w:val="002975C3"/>
    <w:rsid w:val="0048131A"/>
    <w:rsid w:val="00815C0A"/>
    <w:rsid w:val="00B2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BB51"/>
  <w15:chartTrackingRefBased/>
  <w15:docId w15:val="{B4DD0805-A5DB-314A-9140-57C4F7BF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31A"/>
  </w:style>
  <w:style w:type="paragraph" w:styleId="Nagwek1">
    <w:name w:val="heading 1"/>
    <w:basedOn w:val="Normalny"/>
    <w:next w:val="Normalny"/>
    <w:link w:val="Nagwek1Znak"/>
    <w:uiPriority w:val="9"/>
    <w:qFormat/>
    <w:rsid w:val="00481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1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3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3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13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13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13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3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13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13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13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13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13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13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1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13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13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13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13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3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131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8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Hrymniak</dc:creator>
  <cp:keywords/>
  <dc:description/>
  <cp:lastModifiedBy>Bruno Hrymniak</cp:lastModifiedBy>
  <cp:revision>1</cp:revision>
  <dcterms:created xsi:type="dcterms:W3CDTF">2024-07-05T06:19:00Z</dcterms:created>
  <dcterms:modified xsi:type="dcterms:W3CDTF">2024-07-05T06:25:00Z</dcterms:modified>
</cp:coreProperties>
</file>