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9AAAE6" w14:textId="542E0A4D" w:rsidR="00BD0AD4" w:rsidRPr="00BD0AD4" w:rsidRDefault="00BD0AD4" w:rsidP="0018700C">
      <w:pPr>
        <w:spacing w:line="360" w:lineRule="auto"/>
        <w:jc w:val="both"/>
        <w:rPr>
          <w:rFonts w:ascii="Times New Roman" w:hAnsi="Times New Roman" w:cs="Times New Roman"/>
          <w:bCs/>
          <w:lang w:val="en-US"/>
        </w:rPr>
      </w:pPr>
      <w:r w:rsidRPr="00BD0AD4">
        <w:rPr>
          <w:rFonts w:ascii="Times New Roman" w:hAnsi="Times New Roman" w:cs="Times New Roman"/>
          <w:bCs/>
          <w:lang w:val="en-US"/>
        </w:rPr>
        <w:t>EDITORIAL</w:t>
      </w:r>
    </w:p>
    <w:p w14:paraId="229B0BD4" w14:textId="054E05BE" w:rsidR="008F033E" w:rsidRPr="0018700C" w:rsidRDefault="007312C7" w:rsidP="0018700C">
      <w:pPr>
        <w:spacing w:line="360" w:lineRule="auto"/>
        <w:jc w:val="both"/>
        <w:rPr>
          <w:rFonts w:ascii="Times New Roman" w:hAnsi="Times New Roman" w:cs="Times New Roman"/>
          <w:b/>
          <w:lang w:val="en-US"/>
        </w:rPr>
      </w:pPr>
      <w:r w:rsidRPr="0018700C">
        <w:rPr>
          <w:rFonts w:ascii="Times New Roman" w:hAnsi="Times New Roman" w:cs="Times New Roman"/>
          <w:b/>
          <w:lang w:val="en-US"/>
        </w:rPr>
        <w:t>Cl</w:t>
      </w:r>
      <w:r w:rsidR="00F27740" w:rsidRPr="0018700C">
        <w:rPr>
          <w:rFonts w:ascii="Times New Roman" w:hAnsi="Times New Roman" w:cs="Times New Roman"/>
          <w:b/>
          <w:lang w:val="en-US"/>
        </w:rPr>
        <w:t xml:space="preserve">adribine </w:t>
      </w:r>
      <w:r w:rsidR="00BD0AD4" w:rsidRPr="00BD0AD4">
        <w:rPr>
          <w:rFonts w:ascii="Times New Roman" w:hAnsi="Times New Roman" w:cs="Times New Roman"/>
          <w:b/>
          <w:lang w:val="en-US"/>
        </w:rPr>
        <w:t>—</w:t>
      </w:r>
      <w:r w:rsidR="00BD0AD4">
        <w:rPr>
          <w:rFonts w:ascii="Times New Roman" w:hAnsi="Times New Roman" w:cs="Times New Roman"/>
          <w:b/>
          <w:lang w:val="en-US"/>
        </w:rPr>
        <w:t xml:space="preserve"> </w:t>
      </w:r>
      <w:r w:rsidR="00F0175B" w:rsidRPr="0018700C">
        <w:rPr>
          <w:rFonts w:ascii="Times New Roman" w:hAnsi="Times New Roman" w:cs="Times New Roman"/>
          <w:b/>
          <w:lang w:val="en-US"/>
        </w:rPr>
        <w:t>still important in era of new therapies</w:t>
      </w:r>
    </w:p>
    <w:p w14:paraId="3121886D" w14:textId="77777777" w:rsidR="008F033E" w:rsidRPr="0018700C" w:rsidRDefault="008F033E" w:rsidP="0018700C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18700C">
        <w:rPr>
          <w:rFonts w:ascii="Times New Roman" w:hAnsi="Times New Roman" w:cs="Times New Roman"/>
          <w:lang w:val="en-US"/>
        </w:rPr>
        <w:t>Bartosz Puła</w:t>
      </w:r>
    </w:p>
    <w:p w14:paraId="6E7B9137" w14:textId="77777777" w:rsidR="008F033E" w:rsidRPr="0018700C" w:rsidRDefault="008F033E" w:rsidP="0018700C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18700C">
        <w:rPr>
          <w:rFonts w:ascii="Times New Roman" w:hAnsi="Times New Roman" w:cs="Times New Roman"/>
          <w:lang w:val="en-US"/>
        </w:rPr>
        <w:t>Department of Hematology, Institute of Hematology and Transfusion Medicine, Warsaw</w:t>
      </w:r>
      <w:r w:rsidR="00B10C9B">
        <w:rPr>
          <w:rFonts w:ascii="Times New Roman" w:hAnsi="Times New Roman" w:cs="Times New Roman"/>
          <w:lang w:val="en-US"/>
        </w:rPr>
        <w:t>, Poland</w:t>
      </w:r>
    </w:p>
    <w:p w14:paraId="3F67CEF6" w14:textId="3544E83F" w:rsidR="009E16F3" w:rsidRPr="0018700C" w:rsidRDefault="007312C7" w:rsidP="0018700C">
      <w:pPr>
        <w:spacing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hd w:val="clear" w:color="auto" w:fill="FFFFFF"/>
          <w:lang w:val="en-US" w:eastAsia="pl-PL"/>
        </w:rPr>
      </w:pPr>
      <w:r w:rsidRPr="0018700C">
        <w:rPr>
          <w:rFonts w:ascii="Times New Roman" w:eastAsia="Times New Roman" w:hAnsi="Times New Roman" w:cs="Times New Roman"/>
          <w:color w:val="1A1A1A"/>
          <w:kern w:val="0"/>
          <w:shd w:val="clear" w:color="auto" w:fill="FFFFFF"/>
          <w:lang w:val="en-US" w:eastAsia="pl-PL"/>
        </w:rPr>
        <w:t>Cladribine (</w:t>
      </w:r>
      <w:r w:rsidR="00BD0AD4" w:rsidRPr="00BD0AD4">
        <w:rPr>
          <w:rFonts w:ascii="Times New Roman" w:eastAsia="Times New Roman" w:hAnsi="Times New Roman" w:cs="Times New Roman"/>
          <w:color w:val="1A1A1A"/>
          <w:kern w:val="0"/>
          <w:shd w:val="clear" w:color="auto" w:fill="FFFFFF"/>
          <w:lang w:val="en-US" w:eastAsia="pl-PL"/>
        </w:rPr>
        <w:t>2-CdA</w:t>
      </w:r>
      <w:r w:rsidR="00BD0AD4">
        <w:rPr>
          <w:rFonts w:ascii="Times New Roman" w:eastAsia="Times New Roman" w:hAnsi="Times New Roman" w:cs="Times New Roman"/>
          <w:color w:val="1A1A1A"/>
          <w:kern w:val="0"/>
          <w:shd w:val="clear" w:color="auto" w:fill="FFFFFF"/>
          <w:lang w:val="en-US" w:eastAsia="pl-PL"/>
        </w:rPr>
        <w:t xml:space="preserve">, </w:t>
      </w:r>
      <w:r w:rsidRPr="0018700C">
        <w:rPr>
          <w:rFonts w:ascii="Times New Roman" w:eastAsia="Times New Roman" w:hAnsi="Times New Roman" w:cs="Times New Roman"/>
          <w:color w:val="1A1A1A"/>
          <w:kern w:val="0"/>
          <w:shd w:val="clear" w:color="auto" w:fill="FFFFFF"/>
          <w:lang w:val="en-US" w:eastAsia="pl-PL"/>
        </w:rPr>
        <w:t xml:space="preserve">2-chlorodeoxyadenosine) is a purine analog and </w:t>
      </w:r>
      <w:r w:rsidR="00B10C9B">
        <w:rPr>
          <w:rFonts w:ascii="Times New Roman" w:eastAsia="Times New Roman" w:hAnsi="Times New Roman" w:cs="Times New Roman"/>
          <w:color w:val="1A1A1A"/>
          <w:kern w:val="0"/>
          <w:shd w:val="clear" w:color="auto" w:fill="FFFFFF"/>
          <w:lang w:val="en-US" w:eastAsia="pl-PL"/>
        </w:rPr>
        <w:t>is a</w:t>
      </w:r>
      <w:r w:rsidRPr="0018700C">
        <w:rPr>
          <w:rFonts w:ascii="Times New Roman" w:eastAsia="Times New Roman" w:hAnsi="Times New Roman" w:cs="Times New Roman"/>
          <w:color w:val="1A1A1A"/>
          <w:kern w:val="0"/>
          <w:shd w:val="clear" w:color="auto" w:fill="FFFFFF"/>
          <w:lang w:val="en-US" w:eastAsia="pl-PL"/>
        </w:rPr>
        <w:t xml:space="preserve"> standard therapeutic option for hairy cell leukemia (HCL)</w:t>
      </w:r>
      <w:r w:rsidR="00E22A0F" w:rsidRPr="0018700C">
        <w:rPr>
          <w:rFonts w:ascii="Times New Roman" w:eastAsia="Times New Roman" w:hAnsi="Times New Roman" w:cs="Times New Roman"/>
          <w:color w:val="1A1A1A"/>
          <w:kern w:val="0"/>
          <w:shd w:val="clear" w:color="auto" w:fill="FFFFFF"/>
          <w:lang w:val="en-US" w:eastAsia="pl-PL"/>
        </w:rPr>
        <w:t>, enabling long-lasting clinical remission even in monotherapy</w:t>
      </w:r>
      <w:r w:rsidRPr="0018700C">
        <w:rPr>
          <w:rFonts w:ascii="Times New Roman" w:eastAsia="Times New Roman" w:hAnsi="Times New Roman" w:cs="Times New Roman"/>
          <w:color w:val="1A1A1A"/>
          <w:kern w:val="0"/>
          <w:shd w:val="clear" w:color="auto" w:fill="FFFFFF"/>
          <w:lang w:val="en-US" w:eastAsia="pl-PL"/>
        </w:rPr>
        <w:t xml:space="preserve"> [1, 2]</w:t>
      </w:r>
      <w:r w:rsidR="00E22A0F" w:rsidRPr="0018700C">
        <w:rPr>
          <w:rFonts w:ascii="Times New Roman" w:eastAsia="Times New Roman" w:hAnsi="Times New Roman" w:cs="Times New Roman"/>
          <w:color w:val="1A1A1A"/>
          <w:kern w:val="0"/>
          <w:shd w:val="clear" w:color="auto" w:fill="FFFFFF"/>
          <w:lang w:val="en-US" w:eastAsia="pl-PL"/>
        </w:rPr>
        <w:t>. Cladribine combinations have also been tested in various other lymphoid and myeloid malignancies</w:t>
      </w:r>
      <w:r w:rsidR="00F0175B" w:rsidRPr="0018700C">
        <w:rPr>
          <w:rFonts w:ascii="Times New Roman" w:eastAsia="Times New Roman" w:hAnsi="Times New Roman" w:cs="Times New Roman"/>
          <w:color w:val="1A1A1A"/>
          <w:kern w:val="0"/>
          <w:shd w:val="clear" w:color="auto" w:fill="FFFFFF"/>
          <w:lang w:val="en-US" w:eastAsia="pl-PL"/>
        </w:rPr>
        <w:t>. I</w:t>
      </w:r>
      <w:r w:rsidR="00E22A0F" w:rsidRPr="0018700C">
        <w:rPr>
          <w:rFonts w:ascii="Times New Roman" w:eastAsia="Times New Roman" w:hAnsi="Times New Roman" w:cs="Times New Roman"/>
          <w:color w:val="1A1A1A"/>
          <w:kern w:val="0"/>
          <w:shd w:val="clear" w:color="auto" w:fill="FFFFFF"/>
          <w:lang w:val="en-US" w:eastAsia="pl-PL"/>
        </w:rPr>
        <w:t xml:space="preserve">ts additional demethylating properties </w:t>
      </w:r>
      <w:r w:rsidR="00B10C9B">
        <w:rPr>
          <w:rFonts w:ascii="Times New Roman" w:eastAsia="Times New Roman" w:hAnsi="Times New Roman" w:cs="Times New Roman"/>
          <w:color w:val="1A1A1A"/>
          <w:kern w:val="0"/>
          <w:shd w:val="clear" w:color="auto" w:fill="FFFFFF"/>
          <w:lang w:val="en-US" w:eastAsia="pl-PL"/>
        </w:rPr>
        <w:t>are ben</w:t>
      </w:r>
      <w:r w:rsidR="00FF6DFB">
        <w:rPr>
          <w:rFonts w:ascii="Times New Roman" w:eastAsia="Times New Roman" w:hAnsi="Times New Roman" w:cs="Times New Roman"/>
          <w:color w:val="1A1A1A"/>
          <w:kern w:val="0"/>
          <w:shd w:val="clear" w:color="auto" w:fill="FFFFFF"/>
          <w:lang w:val="en-US" w:eastAsia="pl-PL"/>
        </w:rPr>
        <w:t>e</w:t>
      </w:r>
      <w:r w:rsidR="00B10C9B">
        <w:rPr>
          <w:rFonts w:ascii="Times New Roman" w:eastAsia="Times New Roman" w:hAnsi="Times New Roman" w:cs="Times New Roman"/>
          <w:color w:val="1A1A1A"/>
          <w:kern w:val="0"/>
          <w:shd w:val="clear" w:color="auto" w:fill="FFFFFF"/>
          <w:lang w:val="en-US" w:eastAsia="pl-PL"/>
        </w:rPr>
        <w:t>ficial</w:t>
      </w:r>
      <w:r w:rsidR="00B10C9B" w:rsidRPr="0018700C">
        <w:rPr>
          <w:rFonts w:ascii="Times New Roman" w:eastAsia="Times New Roman" w:hAnsi="Times New Roman" w:cs="Times New Roman"/>
          <w:color w:val="1A1A1A"/>
          <w:kern w:val="0"/>
          <w:shd w:val="clear" w:color="auto" w:fill="FFFFFF"/>
          <w:lang w:val="en-US" w:eastAsia="pl-PL"/>
        </w:rPr>
        <w:t xml:space="preserve"> </w:t>
      </w:r>
      <w:r w:rsidR="00E22A0F" w:rsidRPr="0018700C">
        <w:rPr>
          <w:rFonts w:ascii="Times New Roman" w:eastAsia="Times New Roman" w:hAnsi="Times New Roman" w:cs="Times New Roman"/>
          <w:color w:val="1A1A1A"/>
          <w:kern w:val="0"/>
          <w:shd w:val="clear" w:color="auto" w:fill="FFFFFF"/>
          <w:lang w:val="en-US" w:eastAsia="pl-PL"/>
        </w:rPr>
        <w:t>in t</w:t>
      </w:r>
      <w:r w:rsidR="00141BE2" w:rsidRPr="0018700C">
        <w:rPr>
          <w:rFonts w:ascii="Times New Roman" w:eastAsia="Times New Roman" w:hAnsi="Times New Roman" w:cs="Times New Roman"/>
          <w:color w:val="1A1A1A"/>
          <w:kern w:val="0"/>
          <w:shd w:val="clear" w:color="auto" w:fill="FFFFFF"/>
          <w:lang w:val="en-US" w:eastAsia="pl-PL"/>
        </w:rPr>
        <w:t>reating</w:t>
      </w:r>
      <w:r w:rsidR="00E22A0F" w:rsidRPr="0018700C">
        <w:rPr>
          <w:rFonts w:ascii="Times New Roman" w:eastAsia="Times New Roman" w:hAnsi="Times New Roman" w:cs="Times New Roman"/>
          <w:color w:val="1A1A1A"/>
          <w:kern w:val="0"/>
          <w:shd w:val="clear" w:color="auto" w:fill="FFFFFF"/>
          <w:lang w:val="en-US" w:eastAsia="pl-PL"/>
        </w:rPr>
        <w:t xml:space="preserve"> some </w:t>
      </w:r>
      <w:r w:rsidR="00141BE2" w:rsidRPr="0018700C">
        <w:rPr>
          <w:rFonts w:ascii="Times New Roman" w:eastAsia="Times New Roman" w:hAnsi="Times New Roman" w:cs="Times New Roman"/>
          <w:color w:val="1A1A1A"/>
          <w:kern w:val="0"/>
          <w:shd w:val="clear" w:color="auto" w:fill="FFFFFF"/>
          <w:lang w:val="en-US" w:eastAsia="pl-PL"/>
        </w:rPr>
        <w:t xml:space="preserve">acute myeloid leukemia (AML) subtypes </w:t>
      </w:r>
      <w:r w:rsidR="00237B24" w:rsidRPr="0018700C">
        <w:rPr>
          <w:rFonts w:ascii="Times New Roman" w:eastAsia="Times New Roman" w:hAnsi="Times New Roman" w:cs="Times New Roman"/>
          <w:color w:val="1A1A1A"/>
          <w:kern w:val="0"/>
          <w:shd w:val="clear" w:color="auto" w:fill="FFFFFF"/>
          <w:lang w:val="en-US" w:eastAsia="pl-PL"/>
        </w:rPr>
        <w:t>[3, 4]</w:t>
      </w:r>
      <w:r w:rsidR="00141BE2" w:rsidRPr="0018700C">
        <w:rPr>
          <w:rFonts w:ascii="Times New Roman" w:eastAsia="Times New Roman" w:hAnsi="Times New Roman" w:cs="Times New Roman"/>
          <w:color w:val="1A1A1A"/>
          <w:kern w:val="0"/>
          <w:shd w:val="clear" w:color="auto" w:fill="FFFFFF"/>
          <w:lang w:val="en-US" w:eastAsia="pl-PL"/>
        </w:rPr>
        <w:t xml:space="preserve">. </w:t>
      </w:r>
      <w:r w:rsidR="00237B24" w:rsidRPr="0018700C">
        <w:rPr>
          <w:rFonts w:ascii="Times New Roman" w:eastAsia="Times New Roman" w:hAnsi="Times New Roman" w:cs="Times New Roman"/>
          <w:color w:val="1A1A1A"/>
          <w:kern w:val="0"/>
          <w:shd w:val="clear" w:color="auto" w:fill="FFFFFF"/>
          <w:lang w:val="en-US" w:eastAsia="pl-PL"/>
        </w:rPr>
        <w:t xml:space="preserve">A survival advantage </w:t>
      </w:r>
      <w:r w:rsidR="00237B24" w:rsidRPr="0018700C">
        <w:rPr>
          <w:rFonts w:ascii="Times New Roman" w:eastAsia="Times New Roman" w:hAnsi="Times New Roman" w:cs="Times New Roman"/>
          <w:color w:val="212121"/>
          <w:kern w:val="0"/>
          <w:shd w:val="clear" w:color="auto" w:fill="FFFFFF"/>
          <w:lang w:val="en-US" w:eastAsia="pl-PL"/>
        </w:rPr>
        <w:t xml:space="preserve">of </w:t>
      </w:r>
      <w:r w:rsidR="00141BE2" w:rsidRPr="0018700C">
        <w:rPr>
          <w:rFonts w:ascii="Times New Roman" w:eastAsia="Times New Roman" w:hAnsi="Times New Roman" w:cs="Times New Roman"/>
          <w:color w:val="212121"/>
          <w:kern w:val="0"/>
          <w:shd w:val="clear" w:color="auto" w:fill="FFFFFF"/>
          <w:lang w:val="en-US" w:eastAsia="pl-PL"/>
        </w:rPr>
        <w:t xml:space="preserve">the </w:t>
      </w:r>
      <w:r w:rsidR="00237B24" w:rsidRPr="0018700C">
        <w:rPr>
          <w:rFonts w:ascii="Times New Roman" w:eastAsia="Times New Roman" w:hAnsi="Times New Roman" w:cs="Times New Roman"/>
          <w:color w:val="1A1A1A"/>
          <w:kern w:val="0"/>
          <w:shd w:val="clear" w:color="auto" w:fill="FFFFFF"/>
          <w:lang w:val="en-US" w:eastAsia="pl-PL"/>
        </w:rPr>
        <w:t>cladribine</w:t>
      </w:r>
      <w:r w:rsidR="00141BE2" w:rsidRPr="0018700C">
        <w:rPr>
          <w:rFonts w:ascii="Times New Roman" w:eastAsia="Times New Roman" w:hAnsi="Times New Roman" w:cs="Times New Roman"/>
          <w:color w:val="1A1A1A"/>
          <w:kern w:val="0"/>
          <w:shd w:val="clear" w:color="auto" w:fill="FFFFFF"/>
          <w:lang w:val="en-US" w:eastAsia="pl-PL"/>
        </w:rPr>
        <w:t>-daunorubicin-cytarabine (</w:t>
      </w:r>
      <w:r w:rsidR="00237B24" w:rsidRPr="0018700C">
        <w:rPr>
          <w:rFonts w:ascii="Times New Roman" w:eastAsia="Times New Roman" w:hAnsi="Times New Roman" w:cs="Times New Roman"/>
          <w:color w:val="212121"/>
          <w:kern w:val="0"/>
          <w:shd w:val="clear" w:color="auto" w:fill="FFFFFF"/>
          <w:lang w:val="en-US" w:eastAsia="pl-PL"/>
        </w:rPr>
        <w:t>DAC</w:t>
      </w:r>
      <w:r w:rsidR="00141BE2" w:rsidRPr="0018700C">
        <w:rPr>
          <w:rFonts w:ascii="Times New Roman" w:eastAsia="Times New Roman" w:hAnsi="Times New Roman" w:cs="Times New Roman"/>
          <w:color w:val="212121"/>
          <w:kern w:val="0"/>
          <w:shd w:val="clear" w:color="auto" w:fill="FFFFFF"/>
          <w:lang w:val="en-US" w:eastAsia="pl-PL"/>
        </w:rPr>
        <w:t>)</w:t>
      </w:r>
      <w:r w:rsidR="00237B24" w:rsidRPr="0018700C">
        <w:rPr>
          <w:rFonts w:ascii="Times New Roman" w:eastAsia="Times New Roman" w:hAnsi="Times New Roman" w:cs="Times New Roman"/>
          <w:color w:val="212121"/>
          <w:kern w:val="0"/>
          <w:shd w:val="clear" w:color="auto" w:fill="FFFFFF"/>
          <w:lang w:val="en-US" w:eastAsia="pl-PL"/>
        </w:rPr>
        <w:t xml:space="preserve"> </w:t>
      </w:r>
      <w:r w:rsidR="0018700C" w:rsidRPr="0018700C">
        <w:rPr>
          <w:rFonts w:ascii="Times New Roman" w:eastAsia="Times New Roman" w:hAnsi="Times New Roman" w:cs="Times New Roman"/>
          <w:color w:val="212121"/>
          <w:kern w:val="0"/>
          <w:shd w:val="clear" w:color="auto" w:fill="FFFFFF"/>
          <w:lang w:val="en-US" w:eastAsia="pl-PL"/>
        </w:rPr>
        <w:t xml:space="preserve">induction </w:t>
      </w:r>
      <w:r w:rsidR="00237B24" w:rsidRPr="0018700C">
        <w:rPr>
          <w:rFonts w:ascii="Times New Roman" w:eastAsia="Times New Roman" w:hAnsi="Times New Roman" w:cs="Times New Roman"/>
          <w:color w:val="212121"/>
          <w:kern w:val="0"/>
          <w:shd w:val="clear" w:color="auto" w:fill="FFFFFF"/>
          <w:lang w:val="en-US" w:eastAsia="pl-PL"/>
        </w:rPr>
        <w:t xml:space="preserve">arm </w:t>
      </w:r>
      <w:r w:rsidR="00FF6DFB">
        <w:rPr>
          <w:rFonts w:ascii="Times New Roman" w:eastAsia="Times New Roman" w:hAnsi="Times New Roman" w:cs="Times New Roman"/>
          <w:color w:val="212121"/>
          <w:kern w:val="0"/>
          <w:shd w:val="clear" w:color="auto" w:fill="FFFFFF"/>
          <w:lang w:val="en-US" w:eastAsia="pl-PL"/>
        </w:rPr>
        <w:t>has been</w:t>
      </w:r>
      <w:r w:rsidR="00FF6DFB" w:rsidRPr="0018700C">
        <w:rPr>
          <w:rFonts w:ascii="Times New Roman" w:eastAsia="Times New Roman" w:hAnsi="Times New Roman" w:cs="Times New Roman"/>
          <w:color w:val="212121"/>
          <w:kern w:val="0"/>
          <w:shd w:val="clear" w:color="auto" w:fill="FFFFFF"/>
          <w:lang w:val="en-US" w:eastAsia="pl-PL"/>
        </w:rPr>
        <w:t xml:space="preserve"> </w:t>
      </w:r>
      <w:r w:rsidR="00237B24" w:rsidRPr="0018700C">
        <w:rPr>
          <w:rFonts w:ascii="Times New Roman" w:eastAsia="Times New Roman" w:hAnsi="Times New Roman" w:cs="Times New Roman"/>
          <w:color w:val="212121"/>
          <w:kern w:val="0"/>
          <w:shd w:val="clear" w:color="auto" w:fill="FFFFFF"/>
          <w:lang w:val="en-US" w:eastAsia="pl-PL"/>
        </w:rPr>
        <w:t>observed among patients age</w:t>
      </w:r>
      <w:r w:rsidR="00141BE2" w:rsidRPr="0018700C">
        <w:rPr>
          <w:rFonts w:ascii="Times New Roman" w:eastAsia="Times New Roman" w:hAnsi="Times New Roman" w:cs="Times New Roman"/>
          <w:color w:val="212121"/>
          <w:kern w:val="0"/>
          <w:shd w:val="clear" w:color="auto" w:fill="FFFFFF"/>
          <w:lang w:val="en-US" w:eastAsia="pl-PL"/>
        </w:rPr>
        <w:t>d</w:t>
      </w:r>
      <w:r w:rsidR="00237B24" w:rsidRPr="0018700C">
        <w:rPr>
          <w:rFonts w:ascii="Times New Roman" w:eastAsia="Times New Roman" w:hAnsi="Times New Roman" w:cs="Times New Roman"/>
          <w:color w:val="212121"/>
          <w:kern w:val="0"/>
          <w:shd w:val="clear" w:color="auto" w:fill="FFFFFF"/>
          <w:lang w:val="en-US" w:eastAsia="pl-PL"/>
        </w:rPr>
        <w:t xml:space="preserve"> 50 years or older</w:t>
      </w:r>
      <w:r w:rsidR="00141BE2" w:rsidRPr="0018700C">
        <w:rPr>
          <w:rFonts w:ascii="Times New Roman" w:eastAsia="Times New Roman" w:hAnsi="Times New Roman" w:cs="Times New Roman"/>
          <w:color w:val="212121"/>
          <w:kern w:val="0"/>
          <w:shd w:val="clear" w:color="auto" w:fill="FFFFFF"/>
          <w:lang w:val="en-US" w:eastAsia="pl-PL"/>
        </w:rPr>
        <w:t xml:space="preserve"> with high initial leukocytosis and adverse karyotype </w:t>
      </w:r>
      <w:r w:rsidR="00141BE2" w:rsidRPr="0018700C">
        <w:rPr>
          <w:rFonts w:ascii="Times New Roman" w:eastAsia="Times New Roman" w:hAnsi="Times New Roman" w:cs="Times New Roman"/>
          <w:color w:val="1A1A1A"/>
          <w:kern w:val="0"/>
          <w:shd w:val="clear" w:color="auto" w:fill="FFFFFF"/>
          <w:lang w:val="en-US" w:eastAsia="pl-PL"/>
        </w:rPr>
        <w:t xml:space="preserve">[3]. Further retrospective </w:t>
      </w:r>
      <w:r w:rsidR="005E1F8E" w:rsidRPr="0018700C">
        <w:rPr>
          <w:rFonts w:ascii="Times New Roman" w:eastAsia="Times New Roman" w:hAnsi="Times New Roman" w:cs="Times New Roman"/>
          <w:color w:val="1A1A1A"/>
          <w:kern w:val="0"/>
          <w:shd w:val="clear" w:color="auto" w:fill="FFFFFF"/>
          <w:lang w:val="en-US" w:eastAsia="pl-PL"/>
        </w:rPr>
        <w:t>analys</w:t>
      </w:r>
      <w:r w:rsidR="005E1F8E">
        <w:rPr>
          <w:rFonts w:ascii="Times New Roman" w:eastAsia="Times New Roman" w:hAnsi="Times New Roman" w:cs="Times New Roman"/>
          <w:color w:val="1A1A1A"/>
          <w:kern w:val="0"/>
          <w:shd w:val="clear" w:color="auto" w:fill="FFFFFF"/>
          <w:lang w:val="en-US" w:eastAsia="pl-PL"/>
        </w:rPr>
        <w:t>e</w:t>
      </w:r>
      <w:r w:rsidR="005E1F8E" w:rsidRPr="0018700C">
        <w:rPr>
          <w:rFonts w:ascii="Times New Roman" w:eastAsia="Times New Roman" w:hAnsi="Times New Roman" w:cs="Times New Roman"/>
          <w:color w:val="1A1A1A"/>
          <w:kern w:val="0"/>
          <w:shd w:val="clear" w:color="auto" w:fill="FFFFFF"/>
          <w:lang w:val="en-US" w:eastAsia="pl-PL"/>
        </w:rPr>
        <w:t xml:space="preserve">s </w:t>
      </w:r>
      <w:r w:rsidR="00141BE2" w:rsidRPr="0018700C">
        <w:rPr>
          <w:rFonts w:ascii="Times New Roman" w:eastAsia="Times New Roman" w:hAnsi="Times New Roman" w:cs="Times New Roman"/>
          <w:color w:val="1A1A1A"/>
          <w:kern w:val="0"/>
          <w:shd w:val="clear" w:color="auto" w:fill="FFFFFF"/>
          <w:lang w:val="en-US" w:eastAsia="pl-PL"/>
        </w:rPr>
        <w:t xml:space="preserve">showed that DAC was superior to </w:t>
      </w:r>
      <w:r w:rsidR="0018700C" w:rsidRPr="0018700C">
        <w:rPr>
          <w:rFonts w:ascii="Times New Roman" w:eastAsia="Times New Roman" w:hAnsi="Times New Roman" w:cs="Times New Roman"/>
          <w:color w:val="1A1A1A"/>
          <w:kern w:val="0"/>
          <w:shd w:val="clear" w:color="auto" w:fill="FFFFFF"/>
          <w:lang w:val="en-US" w:eastAsia="pl-PL"/>
        </w:rPr>
        <w:t>daunorubicin-cytarabine (</w:t>
      </w:r>
      <w:r w:rsidR="00141BE2" w:rsidRPr="0018700C">
        <w:rPr>
          <w:rFonts w:ascii="Times New Roman" w:eastAsia="Times New Roman" w:hAnsi="Times New Roman" w:cs="Times New Roman"/>
          <w:color w:val="1A1A1A"/>
          <w:kern w:val="0"/>
          <w:shd w:val="clear" w:color="auto" w:fill="FFFFFF"/>
          <w:lang w:val="en-US" w:eastAsia="pl-PL"/>
        </w:rPr>
        <w:t>DA</w:t>
      </w:r>
      <w:r w:rsidR="0018700C" w:rsidRPr="0018700C">
        <w:rPr>
          <w:rFonts w:ascii="Times New Roman" w:eastAsia="Times New Roman" w:hAnsi="Times New Roman" w:cs="Times New Roman"/>
          <w:color w:val="1A1A1A"/>
          <w:kern w:val="0"/>
          <w:shd w:val="clear" w:color="auto" w:fill="FFFFFF"/>
          <w:lang w:val="en-US" w:eastAsia="pl-PL"/>
        </w:rPr>
        <w:t>) induction</w:t>
      </w:r>
      <w:r w:rsidR="00141BE2" w:rsidRPr="0018700C">
        <w:rPr>
          <w:rFonts w:ascii="Times New Roman" w:eastAsia="Times New Roman" w:hAnsi="Times New Roman" w:cs="Times New Roman"/>
          <w:color w:val="1A1A1A"/>
          <w:kern w:val="0"/>
          <w:shd w:val="clear" w:color="auto" w:fill="FFFFFF"/>
          <w:lang w:val="en-US" w:eastAsia="pl-PL"/>
        </w:rPr>
        <w:t xml:space="preserve"> in AML patients bearing internal tandem duplications in the </w:t>
      </w:r>
      <w:r w:rsidR="00141BE2" w:rsidRPr="0018700C">
        <w:rPr>
          <w:rFonts w:ascii="Times New Roman" w:eastAsia="Times New Roman" w:hAnsi="Times New Roman" w:cs="Times New Roman"/>
          <w:i/>
          <w:iCs/>
          <w:color w:val="1A1A1A"/>
          <w:kern w:val="0"/>
          <w:bdr w:val="none" w:sz="0" w:space="0" w:color="auto" w:frame="1"/>
          <w:lang w:val="en-US" w:eastAsia="pl-PL"/>
        </w:rPr>
        <w:t>FLT3</w:t>
      </w:r>
      <w:r w:rsidR="00141BE2" w:rsidRPr="0018700C">
        <w:rPr>
          <w:rFonts w:ascii="Times New Roman" w:eastAsia="Times New Roman" w:hAnsi="Times New Roman" w:cs="Times New Roman"/>
          <w:color w:val="1A1A1A"/>
          <w:kern w:val="0"/>
          <w:shd w:val="clear" w:color="auto" w:fill="FFFFFF"/>
          <w:lang w:val="en-US" w:eastAsia="pl-PL"/>
        </w:rPr>
        <w:t xml:space="preserve"> gene </w:t>
      </w:r>
      <w:r w:rsidR="00141BE2" w:rsidRPr="0018700C">
        <w:rPr>
          <w:rFonts w:ascii="Times New Roman" w:eastAsia="Times New Roman" w:hAnsi="Times New Roman" w:cs="Times New Roman"/>
          <w:kern w:val="0"/>
          <w:lang w:val="en-US" w:eastAsia="pl-PL"/>
        </w:rPr>
        <w:t>(</w:t>
      </w:r>
      <w:r w:rsidR="00141BE2" w:rsidRPr="0018700C">
        <w:rPr>
          <w:rFonts w:ascii="Times New Roman" w:eastAsia="Times New Roman" w:hAnsi="Times New Roman" w:cs="Times New Roman"/>
          <w:i/>
          <w:color w:val="1A1A1A"/>
          <w:kern w:val="0"/>
          <w:shd w:val="clear" w:color="auto" w:fill="FFFFFF"/>
          <w:lang w:val="en-US" w:eastAsia="pl-PL"/>
        </w:rPr>
        <w:t>FLT3-ITD</w:t>
      </w:r>
      <w:r w:rsidR="00141BE2" w:rsidRPr="0018700C">
        <w:rPr>
          <w:rFonts w:ascii="Times New Roman" w:eastAsia="Times New Roman" w:hAnsi="Times New Roman" w:cs="Times New Roman"/>
          <w:color w:val="1A1A1A"/>
          <w:kern w:val="0"/>
          <w:shd w:val="clear" w:color="auto" w:fill="FFFFFF"/>
          <w:lang w:val="en-US" w:eastAsia="pl-PL"/>
        </w:rPr>
        <w:t xml:space="preserve"> mutations) </w:t>
      </w:r>
      <w:r w:rsidR="009E16F3" w:rsidRPr="0018700C">
        <w:rPr>
          <w:rFonts w:ascii="Times New Roman" w:eastAsia="Times New Roman" w:hAnsi="Times New Roman" w:cs="Times New Roman"/>
          <w:color w:val="1A1A1A"/>
          <w:kern w:val="0"/>
          <w:shd w:val="clear" w:color="auto" w:fill="FFFFFF"/>
          <w:lang w:val="en-US" w:eastAsia="pl-PL"/>
        </w:rPr>
        <w:t xml:space="preserve">or IDH2 mutations </w:t>
      </w:r>
      <w:r w:rsidR="00141BE2" w:rsidRPr="0018700C">
        <w:rPr>
          <w:rFonts w:ascii="Times New Roman" w:eastAsia="Times New Roman" w:hAnsi="Times New Roman" w:cs="Times New Roman"/>
          <w:color w:val="1A1A1A"/>
          <w:kern w:val="0"/>
          <w:shd w:val="clear" w:color="auto" w:fill="FFFFFF"/>
          <w:lang w:val="en-US" w:eastAsia="pl-PL"/>
        </w:rPr>
        <w:t>[4</w:t>
      </w:r>
      <w:r w:rsidR="009E16F3" w:rsidRPr="0018700C">
        <w:rPr>
          <w:rFonts w:ascii="Times New Roman" w:eastAsia="Times New Roman" w:hAnsi="Times New Roman" w:cs="Times New Roman"/>
          <w:color w:val="1A1A1A"/>
          <w:kern w:val="0"/>
          <w:shd w:val="clear" w:color="auto" w:fill="FFFFFF"/>
          <w:lang w:val="en-US" w:eastAsia="pl-PL"/>
        </w:rPr>
        <w:t>, 5</w:t>
      </w:r>
      <w:r w:rsidR="00141BE2" w:rsidRPr="0018700C">
        <w:rPr>
          <w:rFonts w:ascii="Times New Roman" w:eastAsia="Times New Roman" w:hAnsi="Times New Roman" w:cs="Times New Roman"/>
          <w:color w:val="1A1A1A"/>
          <w:kern w:val="0"/>
          <w:shd w:val="clear" w:color="auto" w:fill="FFFFFF"/>
          <w:lang w:val="en-US" w:eastAsia="pl-PL"/>
        </w:rPr>
        <w:t xml:space="preserve">]. Cladribine </w:t>
      </w:r>
      <w:r w:rsidR="00FF6DFB">
        <w:rPr>
          <w:rFonts w:ascii="Times New Roman" w:eastAsia="Times New Roman" w:hAnsi="Times New Roman" w:cs="Times New Roman"/>
          <w:color w:val="1A1A1A"/>
          <w:kern w:val="0"/>
          <w:shd w:val="clear" w:color="auto" w:fill="FFFFFF"/>
          <w:lang w:val="en-US" w:eastAsia="pl-PL"/>
        </w:rPr>
        <w:t>has</w:t>
      </w:r>
      <w:r w:rsidR="00FF6DFB" w:rsidRPr="0018700C">
        <w:rPr>
          <w:rFonts w:ascii="Times New Roman" w:eastAsia="Times New Roman" w:hAnsi="Times New Roman" w:cs="Times New Roman"/>
          <w:color w:val="1A1A1A"/>
          <w:kern w:val="0"/>
          <w:shd w:val="clear" w:color="auto" w:fill="FFFFFF"/>
          <w:lang w:val="en-US" w:eastAsia="pl-PL"/>
        </w:rPr>
        <w:t xml:space="preserve"> </w:t>
      </w:r>
      <w:r w:rsidR="00141BE2" w:rsidRPr="0018700C">
        <w:rPr>
          <w:rFonts w:ascii="Times New Roman" w:eastAsia="Times New Roman" w:hAnsi="Times New Roman" w:cs="Times New Roman"/>
          <w:color w:val="1A1A1A"/>
          <w:kern w:val="0"/>
          <w:shd w:val="clear" w:color="auto" w:fill="FFFFFF"/>
          <w:lang w:val="en-US" w:eastAsia="pl-PL"/>
        </w:rPr>
        <w:t xml:space="preserve">also </w:t>
      </w:r>
      <w:r w:rsidR="00FF6DFB">
        <w:rPr>
          <w:rFonts w:ascii="Times New Roman" w:eastAsia="Times New Roman" w:hAnsi="Times New Roman" w:cs="Times New Roman"/>
          <w:color w:val="1A1A1A"/>
          <w:kern w:val="0"/>
          <w:shd w:val="clear" w:color="auto" w:fill="FFFFFF"/>
          <w:lang w:val="en-US" w:eastAsia="pl-PL"/>
        </w:rPr>
        <w:t xml:space="preserve">been </w:t>
      </w:r>
      <w:r w:rsidR="00141BE2" w:rsidRPr="0018700C">
        <w:rPr>
          <w:rFonts w:ascii="Times New Roman" w:eastAsia="Times New Roman" w:hAnsi="Times New Roman" w:cs="Times New Roman"/>
          <w:color w:val="1A1A1A"/>
          <w:kern w:val="0"/>
          <w:shd w:val="clear" w:color="auto" w:fill="FFFFFF"/>
          <w:lang w:val="en-US" w:eastAsia="pl-PL"/>
        </w:rPr>
        <w:t>successfully incorporated into AML salvage regimens</w:t>
      </w:r>
      <w:r w:rsidR="00FF6DFB">
        <w:rPr>
          <w:rFonts w:ascii="Times New Roman" w:eastAsia="Times New Roman" w:hAnsi="Times New Roman" w:cs="Times New Roman"/>
          <w:color w:val="1A1A1A"/>
          <w:kern w:val="0"/>
          <w:shd w:val="clear" w:color="auto" w:fill="FFFFFF"/>
          <w:lang w:val="en-US" w:eastAsia="pl-PL"/>
        </w:rPr>
        <w:t xml:space="preserve">, </w:t>
      </w:r>
      <w:r w:rsidR="00141BE2" w:rsidRPr="0018700C">
        <w:rPr>
          <w:rFonts w:ascii="Times New Roman" w:eastAsia="Times New Roman" w:hAnsi="Times New Roman" w:cs="Times New Roman"/>
          <w:color w:val="1A1A1A"/>
          <w:kern w:val="0"/>
          <w:shd w:val="clear" w:color="auto" w:fill="FFFFFF"/>
          <w:lang w:val="en-US" w:eastAsia="pl-PL"/>
        </w:rPr>
        <w:t>as shown in a prospective, non</w:t>
      </w:r>
      <w:r w:rsidR="00D81867">
        <w:rPr>
          <w:rFonts w:ascii="Times New Roman" w:eastAsia="Times New Roman" w:hAnsi="Times New Roman" w:cs="Times New Roman"/>
          <w:color w:val="1A1A1A"/>
          <w:kern w:val="0"/>
          <w:shd w:val="clear" w:color="auto" w:fill="FFFFFF"/>
          <w:lang w:val="en-US" w:eastAsia="pl-PL"/>
        </w:rPr>
        <w:t>-</w:t>
      </w:r>
      <w:r w:rsidR="00141BE2" w:rsidRPr="0018700C">
        <w:rPr>
          <w:rFonts w:ascii="Times New Roman" w:eastAsia="Times New Roman" w:hAnsi="Times New Roman" w:cs="Times New Roman"/>
          <w:color w:val="1A1A1A"/>
          <w:kern w:val="0"/>
          <w:shd w:val="clear" w:color="auto" w:fill="FFFFFF"/>
          <w:lang w:val="en-US" w:eastAsia="pl-PL"/>
        </w:rPr>
        <w:t xml:space="preserve">randomized phase II study in younger AML patients who achieved unsatisfactory responses to DAC as their first induction. </w:t>
      </w:r>
      <w:r w:rsidR="009E16F3" w:rsidRPr="0018700C">
        <w:rPr>
          <w:rFonts w:ascii="Times New Roman" w:eastAsia="Times New Roman" w:hAnsi="Times New Roman" w:cs="Times New Roman"/>
          <w:color w:val="1A1A1A"/>
          <w:kern w:val="0"/>
          <w:shd w:val="clear" w:color="auto" w:fill="FFFFFF"/>
          <w:lang w:val="en-US" w:eastAsia="pl-PL"/>
        </w:rPr>
        <w:t>The a</w:t>
      </w:r>
      <w:r w:rsidR="00141BE2" w:rsidRPr="0018700C">
        <w:rPr>
          <w:rFonts w:ascii="Times New Roman" w:eastAsia="Times New Roman" w:hAnsi="Times New Roman" w:cs="Times New Roman"/>
          <w:color w:val="1A1A1A"/>
          <w:kern w:val="0"/>
          <w:shd w:val="clear" w:color="auto" w:fill="FFFFFF"/>
          <w:lang w:val="en-US" w:eastAsia="pl-PL"/>
        </w:rPr>
        <w:t>dminist</w:t>
      </w:r>
      <w:r w:rsidR="009E16F3" w:rsidRPr="0018700C">
        <w:rPr>
          <w:rFonts w:ascii="Times New Roman" w:eastAsia="Times New Roman" w:hAnsi="Times New Roman" w:cs="Times New Roman"/>
          <w:color w:val="1A1A1A"/>
          <w:kern w:val="0"/>
          <w:shd w:val="clear" w:color="auto" w:fill="FFFFFF"/>
          <w:lang w:val="en-US" w:eastAsia="pl-PL"/>
        </w:rPr>
        <w:t>r</w:t>
      </w:r>
      <w:r w:rsidR="00141BE2" w:rsidRPr="0018700C">
        <w:rPr>
          <w:rFonts w:ascii="Times New Roman" w:eastAsia="Times New Roman" w:hAnsi="Times New Roman" w:cs="Times New Roman"/>
          <w:color w:val="1A1A1A"/>
          <w:kern w:val="0"/>
          <w:shd w:val="clear" w:color="auto" w:fill="FFFFFF"/>
          <w:lang w:val="en-US" w:eastAsia="pl-PL"/>
        </w:rPr>
        <w:t>ation of cladribine combined with cytarabine and mitoxant</w:t>
      </w:r>
      <w:r w:rsidR="009E16F3" w:rsidRPr="0018700C">
        <w:rPr>
          <w:rFonts w:ascii="Times New Roman" w:eastAsia="Times New Roman" w:hAnsi="Times New Roman" w:cs="Times New Roman"/>
          <w:color w:val="1A1A1A"/>
          <w:kern w:val="0"/>
          <w:shd w:val="clear" w:color="auto" w:fill="FFFFFF"/>
          <w:lang w:val="en-US" w:eastAsia="pl-PL"/>
        </w:rPr>
        <w:t>rone</w:t>
      </w:r>
      <w:r w:rsidR="00141BE2" w:rsidRPr="0018700C">
        <w:rPr>
          <w:rFonts w:ascii="Times New Roman" w:eastAsia="Times New Roman" w:hAnsi="Times New Roman" w:cs="Times New Roman"/>
          <w:color w:val="1A1A1A"/>
          <w:kern w:val="0"/>
          <w:shd w:val="clear" w:color="auto" w:fill="FFFFFF"/>
          <w:lang w:val="en-US" w:eastAsia="pl-PL"/>
        </w:rPr>
        <w:t xml:space="preserve"> (CLAM) </w:t>
      </w:r>
      <w:r w:rsidR="009E16F3" w:rsidRPr="0018700C">
        <w:rPr>
          <w:rFonts w:ascii="Times New Roman" w:eastAsia="Times New Roman" w:hAnsi="Times New Roman" w:cs="Times New Roman"/>
          <w:color w:val="1A1A1A"/>
          <w:kern w:val="0"/>
          <w:shd w:val="clear" w:color="auto" w:fill="FFFFFF"/>
          <w:lang w:val="en-US" w:eastAsia="pl-PL"/>
        </w:rPr>
        <w:t>w</w:t>
      </w:r>
      <w:r w:rsidR="00141BE2" w:rsidRPr="0018700C">
        <w:rPr>
          <w:rFonts w:ascii="Times New Roman" w:eastAsia="Times New Roman" w:hAnsi="Times New Roman" w:cs="Times New Roman"/>
          <w:color w:val="1A1A1A"/>
          <w:kern w:val="0"/>
          <w:shd w:val="clear" w:color="auto" w:fill="FFFFFF"/>
          <w:lang w:val="en-US" w:eastAsia="pl-PL"/>
        </w:rPr>
        <w:t xml:space="preserve">as an early second induction on day 16 </w:t>
      </w:r>
      <w:r w:rsidR="009E16F3" w:rsidRPr="0018700C">
        <w:rPr>
          <w:rFonts w:ascii="Times New Roman" w:eastAsia="Times New Roman" w:hAnsi="Times New Roman" w:cs="Times New Roman"/>
          <w:color w:val="1A1A1A"/>
          <w:kern w:val="0"/>
          <w:shd w:val="clear" w:color="auto" w:fill="FFFFFF"/>
          <w:lang w:val="en-US" w:eastAsia="pl-PL"/>
        </w:rPr>
        <w:t xml:space="preserve">of the </w:t>
      </w:r>
      <w:r w:rsidR="00141BE2" w:rsidRPr="0018700C">
        <w:rPr>
          <w:rFonts w:ascii="Times New Roman" w:eastAsia="Times New Roman" w:hAnsi="Times New Roman" w:cs="Times New Roman"/>
          <w:color w:val="1A1A1A"/>
          <w:kern w:val="0"/>
          <w:shd w:val="clear" w:color="auto" w:fill="FFFFFF"/>
          <w:lang w:val="en-US" w:eastAsia="pl-PL"/>
        </w:rPr>
        <w:t>post</w:t>
      </w:r>
      <w:r w:rsidR="009E16F3" w:rsidRPr="0018700C">
        <w:rPr>
          <w:rFonts w:ascii="Times New Roman" w:eastAsia="Times New Roman" w:hAnsi="Times New Roman" w:cs="Times New Roman"/>
          <w:color w:val="1A1A1A"/>
          <w:kern w:val="0"/>
          <w:shd w:val="clear" w:color="auto" w:fill="FFFFFF"/>
          <w:lang w:val="en-US" w:eastAsia="pl-PL"/>
        </w:rPr>
        <w:t>-</w:t>
      </w:r>
      <w:r w:rsidR="00141BE2" w:rsidRPr="0018700C">
        <w:rPr>
          <w:rFonts w:ascii="Times New Roman" w:eastAsia="Times New Roman" w:hAnsi="Times New Roman" w:cs="Times New Roman"/>
          <w:color w:val="1A1A1A"/>
          <w:kern w:val="0"/>
          <w:shd w:val="clear" w:color="auto" w:fill="FFFFFF"/>
          <w:lang w:val="en-US" w:eastAsia="pl-PL"/>
        </w:rPr>
        <w:t>induction treatment</w:t>
      </w:r>
      <w:r w:rsidR="009E16F3" w:rsidRPr="0018700C">
        <w:rPr>
          <w:rFonts w:ascii="Times New Roman" w:eastAsia="Times New Roman" w:hAnsi="Times New Roman" w:cs="Times New Roman"/>
          <w:color w:val="1A1A1A"/>
          <w:kern w:val="0"/>
          <w:shd w:val="clear" w:color="auto" w:fill="FFFFFF"/>
          <w:lang w:val="en-US" w:eastAsia="pl-PL"/>
        </w:rPr>
        <w:t xml:space="preserve">. Although CLAM </w:t>
      </w:r>
      <w:r w:rsidR="005E1F8E">
        <w:rPr>
          <w:rFonts w:ascii="Times New Roman" w:eastAsia="Times New Roman" w:hAnsi="Times New Roman" w:cs="Times New Roman"/>
          <w:color w:val="1A1A1A"/>
          <w:kern w:val="0"/>
          <w:shd w:val="clear" w:color="auto" w:fill="FFFFFF"/>
          <w:lang w:val="en-US" w:eastAsia="pl-PL"/>
        </w:rPr>
        <w:t>di</w:t>
      </w:r>
      <w:r w:rsidR="005E1F8E" w:rsidRPr="0018700C">
        <w:rPr>
          <w:rFonts w:ascii="Times New Roman" w:eastAsia="Times New Roman" w:hAnsi="Times New Roman" w:cs="Times New Roman"/>
          <w:color w:val="1A1A1A"/>
          <w:kern w:val="0"/>
          <w:shd w:val="clear" w:color="auto" w:fill="FFFFFF"/>
          <w:lang w:val="en-US" w:eastAsia="pl-PL"/>
        </w:rPr>
        <w:t xml:space="preserve">d </w:t>
      </w:r>
      <w:r w:rsidR="009E16F3" w:rsidRPr="0018700C">
        <w:rPr>
          <w:rFonts w:ascii="Times New Roman" w:eastAsia="Times New Roman" w:hAnsi="Times New Roman" w:cs="Times New Roman"/>
          <w:color w:val="1A1A1A"/>
          <w:kern w:val="0"/>
          <w:shd w:val="clear" w:color="auto" w:fill="FFFFFF"/>
          <w:lang w:val="en-US" w:eastAsia="pl-PL"/>
        </w:rPr>
        <w:t xml:space="preserve">increase the complete remission rates, some concerns </w:t>
      </w:r>
      <w:r w:rsidR="00FF6DFB">
        <w:rPr>
          <w:rFonts w:ascii="Times New Roman" w:eastAsia="Times New Roman" w:hAnsi="Times New Roman" w:cs="Times New Roman"/>
          <w:color w:val="1A1A1A"/>
          <w:kern w:val="0"/>
          <w:shd w:val="clear" w:color="auto" w:fill="FFFFFF"/>
          <w:lang w:val="en-US" w:eastAsia="pl-PL"/>
        </w:rPr>
        <w:t>were</w:t>
      </w:r>
      <w:r w:rsidR="00FF6DFB" w:rsidRPr="0018700C">
        <w:rPr>
          <w:rFonts w:ascii="Times New Roman" w:eastAsia="Times New Roman" w:hAnsi="Times New Roman" w:cs="Times New Roman"/>
          <w:color w:val="1A1A1A"/>
          <w:kern w:val="0"/>
          <w:shd w:val="clear" w:color="auto" w:fill="FFFFFF"/>
          <w:lang w:val="en-US" w:eastAsia="pl-PL"/>
        </w:rPr>
        <w:t xml:space="preserve"> </w:t>
      </w:r>
      <w:r w:rsidR="009E16F3" w:rsidRPr="0018700C">
        <w:rPr>
          <w:rFonts w:ascii="Times New Roman" w:eastAsia="Times New Roman" w:hAnsi="Times New Roman" w:cs="Times New Roman"/>
          <w:color w:val="1A1A1A"/>
          <w:kern w:val="0"/>
          <w:shd w:val="clear" w:color="auto" w:fill="FFFFFF"/>
          <w:lang w:val="en-US" w:eastAsia="pl-PL"/>
        </w:rPr>
        <w:t>raised concerning increased toxicity and mortality.</w:t>
      </w:r>
    </w:p>
    <w:p w14:paraId="0C7B8FD5" w14:textId="30369769" w:rsidR="009E16F3" w:rsidRPr="0018700C" w:rsidRDefault="009E16F3" w:rsidP="0018700C">
      <w:pPr>
        <w:spacing w:line="360" w:lineRule="auto"/>
        <w:jc w:val="both"/>
        <w:rPr>
          <w:rFonts w:ascii="Times New Roman" w:eastAsia="Times New Roman" w:hAnsi="Times New Roman" w:cs="Times New Roman"/>
          <w:color w:val="212529"/>
          <w:kern w:val="0"/>
          <w:shd w:val="clear" w:color="auto" w:fill="FFFFFF"/>
          <w:lang w:val="en-US" w:eastAsia="pl-PL"/>
        </w:rPr>
      </w:pPr>
      <w:r w:rsidRPr="0018700C">
        <w:rPr>
          <w:rFonts w:ascii="Times New Roman" w:eastAsia="Times New Roman" w:hAnsi="Times New Roman" w:cs="Times New Roman"/>
          <w:color w:val="1A1A1A"/>
          <w:kern w:val="0"/>
          <w:shd w:val="clear" w:color="auto" w:fill="FFFFFF"/>
          <w:lang w:val="en-US" w:eastAsia="pl-PL"/>
        </w:rPr>
        <w:tab/>
      </w:r>
      <w:r w:rsidR="00141BE2" w:rsidRPr="0018700C">
        <w:rPr>
          <w:rFonts w:ascii="Times New Roman" w:eastAsia="Times New Roman" w:hAnsi="Times New Roman" w:cs="Times New Roman"/>
          <w:color w:val="1A1A1A"/>
          <w:kern w:val="0"/>
          <w:shd w:val="clear" w:color="auto" w:fill="FFFFFF"/>
          <w:lang w:val="en-US" w:eastAsia="pl-PL"/>
        </w:rPr>
        <w:t xml:space="preserve"> </w:t>
      </w:r>
      <w:r w:rsidRPr="0018700C">
        <w:rPr>
          <w:rFonts w:ascii="Times New Roman" w:eastAsia="Times New Roman" w:hAnsi="Times New Roman" w:cs="Times New Roman"/>
          <w:color w:val="1A1A1A"/>
          <w:kern w:val="0"/>
          <w:shd w:val="clear" w:color="auto" w:fill="FFFFFF"/>
          <w:lang w:val="en-US" w:eastAsia="pl-PL"/>
        </w:rPr>
        <w:t xml:space="preserve">In this issue, Brzozowski et al. present a retrospective analysis of </w:t>
      </w:r>
      <w:r w:rsidRPr="0018700C">
        <w:rPr>
          <w:rFonts w:ascii="Times New Roman" w:eastAsia="Times New Roman" w:hAnsi="Times New Roman" w:cs="Times New Roman"/>
          <w:color w:val="212529"/>
          <w:kern w:val="0"/>
          <w:shd w:val="clear" w:color="auto" w:fill="FFFFFF"/>
          <w:lang w:val="en-US" w:eastAsia="pl-PL"/>
        </w:rPr>
        <w:t>patients with AML aged less than 60 who had ≥10% blasts in the</w:t>
      </w:r>
      <w:r w:rsidR="00FF6DFB">
        <w:rPr>
          <w:rFonts w:ascii="Times New Roman" w:eastAsia="Times New Roman" w:hAnsi="Times New Roman" w:cs="Times New Roman"/>
          <w:color w:val="212529"/>
          <w:kern w:val="0"/>
          <w:shd w:val="clear" w:color="auto" w:fill="FFFFFF"/>
          <w:lang w:val="en-US" w:eastAsia="pl-PL"/>
        </w:rPr>
        <w:t>ir</w:t>
      </w:r>
      <w:r w:rsidRPr="0018700C">
        <w:rPr>
          <w:rFonts w:ascii="Times New Roman" w:eastAsia="Times New Roman" w:hAnsi="Times New Roman" w:cs="Times New Roman"/>
          <w:color w:val="212529"/>
          <w:kern w:val="0"/>
          <w:shd w:val="clear" w:color="auto" w:fill="FFFFFF"/>
          <w:lang w:val="en-US" w:eastAsia="pl-PL"/>
        </w:rPr>
        <w:t xml:space="preserve"> early bone marrow evaluation </w:t>
      </w:r>
      <w:r w:rsidR="00FF6DFB">
        <w:rPr>
          <w:rFonts w:ascii="Times New Roman" w:eastAsia="Times New Roman" w:hAnsi="Times New Roman" w:cs="Times New Roman"/>
          <w:color w:val="212529"/>
          <w:kern w:val="0"/>
          <w:shd w:val="clear" w:color="auto" w:fill="FFFFFF"/>
          <w:lang w:val="en-US" w:eastAsia="pl-PL"/>
        </w:rPr>
        <w:t>on</w:t>
      </w:r>
      <w:r w:rsidR="00FF6DFB" w:rsidRPr="0018700C">
        <w:rPr>
          <w:rFonts w:ascii="Times New Roman" w:eastAsia="Times New Roman" w:hAnsi="Times New Roman" w:cs="Times New Roman"/>
          <w:color w:val="212529"/>
          <w:kern w:val="0"/>
          <w:shd w:val="clear" w:color="auto" w:fill="FFFFFF"/>
          <w:lang w:val="en-US" w:eastAsia="pl-PL"/>
        </w:rPr>
        <w:t xml:space="preserve"> </w:t>
      </w:r>
      <w:r w:rsidRPr="0018700C">
        <w:rPr>
          <w:rFonts w:ascii="Times New Roman" w:eastAsia="Times New Roman" w:hAnsi="Times New Roman" w:cs="Times New Roman"/>
          <w:color w:val="212529"/>
          <w:kern w:val="0"/>
          <w:shd w:val="clear" w:color="auto" w:fill="FFFFFF"/>
          <w:lang w:val="en-US" w:eastAsia="pl-PL"/>
        </w:rPr>
        <w:t>day 14 of the</w:t>
      </w:r>
      <w:r w:rsidR="00FF6DFB">
        <w:rPr>
          <w:rFonts w:ascii="Times New Roman" w:eastAsia="Times New Roman" w:hAnsi="Times New Roman" w:cs="Times New Roman"/>
          <w:color w:val="212529"/>
          <w:kern w:val="0"/>
          <w:shd w:val="clear" w:color="auto" w:fill="FFFFFF"/>
          <w:lang w:val="en-US" w:eastAsia="pl-PL"/>
        </w:rPr>
        <w:t>ir</w:t>
      </w:r>
      <w:r w:rsidRPr="0018700C">
        <w:rPr>
          <w:rFonts w:ascii="Times New Roman" w:eastAsia="Times New Roman" w:hAnsi="Times New Roman" w:cs="Times New Roman"/>
          <w:color w:val="212529"/>
          <w:kern w:val="0"/>
          <w:shd w:val="clear" w:color="auto" w:fill="FFFFFF"/>
          <w:lang w:val="en-US" w:eastAsia="pl-PL"/>
        </w:rPr>
        <w:t xml:space="preserve"> DAC first induction cycle who were treated according to </w:t>
      </w:r>
      <w:r w:rsidR="00FF6DFB">
        <w:rPr>
          <w:rFonts w:ascii="Times New Roman" w:eastAsia="Times New Roman" w:hAnsi="Times New Roman" w:cs="Times New Roman"/>
          <w:color w:val="212529"/>
          <w:kern w:val="0"/>
          <w:shd w:val="clear" w:color="auto" w:fill="FFFFFF"/>
          <w:lang w:val="en-US" w:eastAsia="pl-PL"/>
        </w:rPr>
        <w:t xml:space="preserve">the </w:t>
      </w:r>
      <w:r w:rsidRPr="0018700C">
        <w:rPr>
          <w:rFonts w:ascii="Times New Roman" w:eastAsia="Times New Roman" w:hAnsi="Times New Roman" w:cs="Times New Roman"/>
          <w:color w:val="212529"/>
          <w:kern w:val="0"/>
          <w:shd w:val="clear" w:color="auto" w:fill="FFFFFF"/>
          <w:lang w:val="en-US" w:eastAsia="pl-PL"/>
        </w:rPr>
        <w:t>PALG-AML-1/2012 and PALG AML-1/2016 studies</w:t>
      </w:r>
      <w:r w:rsidR="00F27740" w:rsidRPr="0018700C">
        <w:rPr>
          <w:rFonts w:ascii="Times New Roman" w:eastAsia="Times New Roman" w:hAnsi="Times New Roman" w:cs="Times New Roman"/>
          <w:color w:val="212529"/>
          <w:kern w:val="0"/>
          <w:shd w:val="clear" w:color="auto" w:fill="FFFFFF"/>
          <w:lang w:val="en-US" w:eastAsia="pl-PL"/>
        </w:rPr>
        <w:t xml:space="preserve"> [7]</w:t>
      </w:r>
      <w:r w:rsidRPr="0018700C">
        <w:rPr>
          <w:rFonts w:ascii="Times New Roman" w:eastAsia="Times New Roman" w:hAnsi="Times New Roman" w:cs="Times New Roman"/>
          <w:color w:val="212529"/>
          <w:kern w:val="0"/>
          <w:shd w:val="clear" w:color="auto" w:fill="FFFFFF"/>
          <w:lang w:val="en-US" w:eastAsia="pl-PL"/>
        </w:rPr>
        <w:t>. </w:t>
      </w:r>
      <w:r w:rsidR="00F27740" w:rsidRPr="0018700C">
        <w:rPr>
          <w:rFonts w:ascii="Times New Roman" w:eastAsia="Times New Roman" w:hAnsi="Times New Roman" w:cs="Times New Roman"/>
          <w:color w:val="212529"/>
          <w:kern w:val="0"/>
          <w:shd w:val="clear" w:color="auto" w:fill="FFFFFF"/>
          <w:lang w:val="en-US" w:eastAsia="pl-PL"/>
        </w:rPr>
        <w:t xml:space="preserve">The authors compared the toxicity and effectiveness of DAC </w:t>
      </w:r>
      <w:r w:rsidR="00FF6DFB">
        <w:rPr>
          <w:rFonts w:ascii="Times New Roman" w:eastAsia="Times New Roman" w:hAnsi="Times New Roman" w:cs="Times New Roman"/>
          <w:color w:val="212529"/>
          <w:kern w:val="0"/>
          <w:shd w:val="clear" w:color="auto" w:fill="FFFFFF"/>
          <w:lang w:val="en-US" w:eastAsia="pl-PL"/>
        </w:rPr>
        <w:t>to those of</w:t>
      </w:r>
      <w:r w:rsidR="00FF6DFB" w:rsidRPr="0018700C">
        <w:rPr>
          <w:rFonts w:ascii="Times New Roman" w:eastAsia="Times New Roman" w:hAnsi="Times New Roman" w:cs="Times New Roman"/>
          <w:color w:val="212529"/>
          <w:kern w:val="0"/>
          <w:shd w:val="clear" w:color="auto" w:fill="FFFFFF"/>
          <w:lang w:val="en-US" w:eastAsia="pl-PL"/>
        </w:rPr>
        <w:t xml:space="preserve"> </w:t>
      </w:r>
      <w:r w:rsidR="00F27740" w:rsidRPr="0018700C">
        <w:rPr>
          <w:rFonts w:ascii="Times New Roman" w:eastAsia="Times New Roman" w:hAnsi="Times New Roman" w:cs="Times New Roman"/>
          <w:color w:val="212529"/>
          <w:kern w:val="0"/>
          <w:shd w:val="clear" w:color="auto" w:fill="FFFFFF"/>
          <w:lang w:val="en-US" w:eastAsia="pl-PL"/>
        </w:rPr>
        <w:t xml:space="preserve">CLAM used as a second induction regimen, showing that both regimens were comparable regarding </w:t>
      </w:r>
      <w:r w:rsidR="00FF6DFB" w:rsidRPr="0018700C">
        <w:rPr>
          <w:rFonts w:ascii="Times New Roman" w:eastAsia="Times New Roman" w:hAnsi="Times New Roman" w:cs="Times New Roman"/>
          <w:color w:val="212529"/>
          <w:kern w:val="0"/>
          <w:shd w:val="clear" w:color="auto" w:fill="FFFFFF"/>
          <w:lang w:val="en-US" w:eastAsia="pl-PL"/>
        </w:rPr>
        <w:t>th</w:t>
      </w:r>
      <w:r w:rsidR="00FF6DFB">
        <w:rPr>
          <w:rFonts w:ascii="Times New Roman" w:eastAsia="Times New Roman" w:hAnsi="Times New Roman" w:cs="Times New Roman"/>
          <w:color w:val="212529"/>
          <w:kern w:val="0"/>
          <w:shd w:val="clear" w:color="auto" w:fill="FFFFFF"/>
          <w:lang w:val="en-US" w:eastAsia="pl-PL"/>
        </w:rPr>
        <w:t>e</w:t>
      </w:r>
      <w:r w:rsidR="00FF6DFB" w:rsidRPr="0018700C">
        <w:rPr>
          <w:rFonts w:ascii="Times New Roman" w:eastAsia="Times New Roman" w:hAnsi="Times New Roman" w:cs="Times New Roman"/>
          <w:color w:val="212529"/>
          <w:kern w:val="0"/>
          <w:shd w:val="clear" w:color="auto" w:fill="FFFFFF"/>
          <w:lang w:val="en-US" w:eastAsia="pl-PL"/>
        </w:rPr>
        <w:t xml:space="preserve">se </w:t>
      </w:r>
      <w:r w:rsidR="00F27740" w:rsidRPr="0018700C">
        <w:rPr>
          <w:rFonts w:ascii="Times New Roman" w:eastAsia="Times New Roman" w:hAnsi="Times New Roman" w:cs="Times New Roman"/>
          <w:color w:val="212529"/>
          <w:kern w:val="0"/>
          <w:shd w:val="clear" w:color="auto" w:fill="FFFFFF"/>
          <w:lang w:val="en-US" w:eastAsia="pl-PL"/>
        </w:rPr>
        <w:t xml:space="preserve">two parameters. However, it </w:t>
      </w:r>
      <w:r w:rsidR="00FF6DFB">
        <w:rPr>
          <w:rFonts w:ascii="Times New Roman" w:eastAsia="Times New Roman" w:hAnsi="Times New Roman" w:cs="Times New Roman"/>
          <w:color w:val="212529"/>
          <w:kern w:val="0"/>
          <w:shd w:val="clear" w:color="auto" w:fill="FFFFFF"/>
          <w:lang w:val="en-US" w:eastAsia="pl-PL"/>
        </w:rPr>
        <w:t>must</w:t>
      </w:r>
      <w:r w:rsidR="00FF6DFB" w:rsidRPr="0018700C">
        <w:rPr>
          <w:rFonts w:ascii="Times New Roman" w:eastAsia="Times New Roman" w:hAnsi="Times New Roman" w:cs="Times New Roman"/>
          <w:color w:val="212529"/>
          <w:kern w:val="0"/>
          <w:shd w:val="clear" w:color="auto" w:fill="FFFFFF"/>
          <w:lang w:val="en-US" w:eastAsia="pl-PL"/>
        </w:rPr>
        <w:t xml:space="preserve"> </w:t>
      </w:r>
      <w:r w:rsidR="00F27740" w:rsidRPr="0018700C">
        <w:rPr>
          <w:rFonts w:ascii="Times New Roman" w:eastAsia="Times New Roman" w:hAnsi="Times New Roman" w:cs="Times New Roman"/>
          <w:color w:val="212529"/>
          <w:kern w:val="0"/>
          <w:shd w:val="clear" w:color="auto" w:fill="FFFFFF"/>
          <w:lang w:val="en-US" w:eastAsia="pl-PL"/>
        </w:rPr>
        <w:t xml:space="preserve">be emphasized that the number of analyzed patients was small, and the study was retrospective. </w:t>
      </w:r>
    </w:p>
    <w:p w14:paraId="7B499765" w14:textId="46DDBB05" w:rsidR="00F27740" w:rsidRPr="0018700C" w:rsidRDefault="00F27740" w:rsidP="0018700C">
      <w:pPr>
        <w:spacing w:line="360" w:lineRule="auto"/>
        <w:jc w:val="both"/>
        <w:rPr>
          <w:rFonts w:ascii="Times New Roman" w:eastAsia="Times New Roman" w:hAnsi="Times New Roman" w:cs="Times New Roman"/>
          <w:kern w:val="0"/>
          <w:lang w:val="en-US" w:eastAsia="pl-PL"/>
        </w:rPr>
      </w:pPr>
      <w:r w:rsidRPr="0018700C">
        <w:rPr>
          <w:rFonts w:ascii="Times New Roman" w:eastAsia="Times New Roman" w:hAnsi="Times New Roman" w:cs="Times New Roman"/>
          <w:kern w:val="0"/>
          <w:lang w:val="en-US" w:eastAsia="pl-PL"/>
        </w:rPr>
        <w:tab/>
        <w:t xml:space="preserve">Although significant progress has been made in treating AML in </w:t>
      </w:r>
      <w:r w:rsidR="00FF6DFB">
        <w:rPr>
          <w:rFonts w:ascii="Times New Roman" w:eastAsia="Times New Roman" w:hAnsi="Times New Roman" w:cs="Times New Roman"/>
          <w:kern w:val="0"/>
          <w:lang w:val="en-US" w:eastAsia="pl-PL"/>
        </w:rPr>
        <w:t>recen</w:t>
      </w:r>
      <w:r w:rsidRPr="0018700C">
        <w:rPr>
          <w:rFonts w:ascii="Times New Roman" w:eastAsia="Times New Roman" w:hAnsi="Times New Roman" w:cs="Times New Roman"/>
          <w:kern w:val="0"/>
          <w:lang w:val="en-US" w:eastAsia="pl-PL"/>
        </w:rPr>
        <w:t xml:space="preserve">t years, classical cytostatic compounds still </w:t>
      </w:r>
      <w:r w:rsidR="00FF6DFB">
        <w:rPr>
          <w:rFonts w:ascii="Times New Roman" w:eastAsia="Times New Roman" w:hAnsi="Times New Roman" w:cs="Times New Roman"/>
          <w:kern w:val="0"/>
          <w:lang w:val="en-US" w:eastAsia="pl-PL"/>
        </w:rPr>
        <w:t>constitut</w:t>
      </w:r>
      <w:r w:rsidR="00FF6DFB" w:rsidRPr="0018700C">
        <w:rPr>
          <w:rFonts w:ascii="Times New Roman" w:eastAsia="Times New Roman" w:hAnsi="Times New Roman" w:cs="Times New Roman"/>
          <w:kern w:val="0"/>
          <w:lang w:val="en-US" w:eastAsia="pl-PL"/>
        </w:rPr>
        <w:t xml:space="preserve">e </w:t>
      </w:r>
      <w:r w:rsidRPr="0018700C">
        <w:rPr>
          <w:rFonts w:ascii="Times New Roman" w:eastAsia="Times New Roman" w:hAnsi="Times New Roman" w:cs="Times New Roman"/>
          <w:kern w:val="0"/>
          <w:lang w:val="en-US" w:eastAsia="pl-PL"/>
        </w:rPr>
        <w:t>a viable treatment option. Current clinical trials often combine them with novel agents in the hope of achieving further breakthrough</w:t>
      </w:r>
      <w:r w:rsidR="0018700C" w:rsidRPr="0018700C">
        <w:rPr>
          <w:rFonts w:ascii="Times New Roman" w:eastAsia="Times New Roman" w:hAnsi="Times New Roman" w:cs="Times New Roman"/>
          <w:kern w:val="0"/>
          <w:lang w:val="en-US" w:eastAsia="pl-PL"/>
        </w:rPr>
        <w:t>s</w:t>
      </w:r>
      <w:r w:rsidRPr="0018700C">
        <w:rPr>
          <w:rFonts w:ascii="Times New Roman" w:eastAsia="Times New Roman" w:hAnsi="Times New Roman" w:cs="Times New Roman"/>
          <w:kern w:val="0"/>
          <w:lang w:val="en-US" w:eastAsia="pl-PL"/>
        </w:rPr>
        <w:t xml:space="preserve">, as was the </w:t>
      </w:r>
      <w:r w:rsidRPr="0018700C">
        <w:rPr>
          <w:rFonts w:ascii="Times New Roman" w:eastAsia="Times New Roman" w:hAnsi="Times New Roman" w:cs="Times New Roman"/>
          <w:kern w:val="0"/>
          <w:lang w:val="en-US" w:eastAsia="pl-PL"/>
        </w:rPr>
        <w:lastRenderedPageBreak/>
        <w:t xml:space="preserve">case </w:t>
      </w:r>
      <w:r w:rsidR="00FF6DFB">
        <w:rPr>
          <w:rFonts w:ascii="Times New Roman" w:eastAsia="Times New Roman" w:hAnsi="Times New Roman" w:cs="Times New Roman"/>
          <w:kern w:val="0"/>
          <w:lang w:val="en-US" w:eastAsia="pl-PL"/>
        </w:rPr>
        <w:t>in</w:t>
      </w:r>
      <w:r w:rsidR="00FF6DFB" w:rsidRPr="0018700C">
        <w:rPr>
          <w:rFonts w:ascii="Times New Roman" w:eastAsia="Times New Roman" w:hAnsi="Times New Roman" w:cs="Times New Roman"/>
          <w:kern w:val="0"/>
          <w:lang w:val="en-US" w:eastAsia="pl-PL"/>
        </w:rPr>
        <w:t xml:space="preserve"> </w:t>
      </w:r>
      <w:r w:rsidRPr="0018700C">
        <w:rPr>
          <w:rFonts w:ascii="Times New Roman" w:eastAsia="Times New Roman" w:hAnsi="Times New Roman" w:cs="Times New Roman"/>
          <w:kern w:val="0"/>
          <w:lang w:val="en-US" w:eastAsia="pl-PL"/>
        </w:rPr>
        <w:t xml:space="preserve">the </w:t>
      </w:r>
      <w:proofErr w:type="spellStart"/>
      <w:r w:rsidRPr="0018700C">
        <w:rPr>
          <w:rFonts w:ascii="Times New Roman" w:eastAsia="Times New Roman" w:hAnsi="Times New Roman" w:cs="Times New Roman"/>
          <w:kern w:val="0"/>
          <w:lang w:val="en-US" w:eastAsia="pl-PL"/>
        </w:rPr>
        <w:t>venetoclax</w:t>
      </w:r>
      <w:proofErr w:type="spellEnd"/>
      <w:r w:rsidRPr="0018700C">
        <w:rPr>
          <w:rFonts w:ascii="Times New Roman" w:eastAsia="Times New Roman" w:hAnsi="Times New Roman" w:cs="Times New Roman"/>
          <w:kern w:val="0"/>
          <w:lang w:val="en-US" w:eastAsia="pl-PL"/>
        </w:rPr>
        <w:t>-azacitidine (Ven-Aza) combination in elderly comorbid AML patients [8].</w:t>
      </w:r>
    </w:p>
    <w:p w14:paraId="514206A9" w14:textId="77777777" w:rsidR="008F033E" w:rsidRPr="0018700C" w:rsidRDefault="008F033E" w:rsidP="0018700C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p w14:paraId="6D065CBB" w14:textId="77777777" w:rsidR="008F033E" w:rsidRPr="0018700C" w:rsidRDefault="008F033E" w:rsidP="0018700C">
      <w:pPr>
        <w:spacing w:line="360" w:lineRule="auto"/>
        <w:jc w:val="both"/>
        <w:rPr>
          <w:rFonts w:ascii="Times New Roman" w:hAnsi="Times New Roman" w:cs="Times New Roman"/>
          <w:b/>
          <w:lang w:val="en-US"/>
        </w:rPr>
      </w:pPr>
      <w:r w:rsidRPr="0018700C">
        <w:rPr>
          <w:rFonts w:ascii="Times New Roman" w:hAnsi="Times New Roman" w:cs="Times New Roman"/>
          <w:b/>
          <w:lang w:val="en-US"/>
        </w:rPr>
        <w:t xml:space="preserve">Article information and declarations </w:t>
      </w:r>
    </w:p>
    <w:p w14:paraId="28205BE2" w14:textId="77777777" w:rsidR="008F033E" w:rsidRPr="0018700C" w:rsidRDefault="008F033E" w:rsidP="0018700C">
      <w:pPr>
        <w:spacing w:line="360" w:lineRule="auto"/>
        <w:jc w:val="both"/>
        <w:rPr>
          <w:rFonts w:ascii="Times New Roman" w:hAnsi="Times New Roman" w:cs="Times New Roman"/>
          <w:b/>
          <w:lang w:val="en-US"/>
        </w:rPr>
      </w:pPr>
      <w:r w:rsidRPr="0018700C">
        <w:rPr>
          <w:rFonts w:ascii="Times New Roman" w:hAnsi="Times New Roman" w:cs="Times New Roman"/>
          <w:b/>
          <w:lang w:val="en-US"/>
        </w:rPr>
        <w:t xml:space="preserve">Acknowledgments </w:t>
      </w:r>
    </w:p>
    <w:p w14:paraId="7C71C0F1" w14:textId="77777777" w:rsidR="008F033E" w:rsidRPr="0018700C" w:rsidRDefault="008F033E" w:rsidP="0018700C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18700C">
        <w:rPr>
          <w:rFonts w:ascii="Times New Roman" w:hAnsi="Times New Roman" w:cs="Times New Roman"/>
          <w:lang w:val="en-US"/>
        </w:rPr>
        <w:t xml:space="preserve">Not applicable. </w:t>
      </w:r>
    </w:p>
    <w:p w14:paraId="3303E792" w14:textId="435C885B" w:rsidR="008F033E" w:rsidRPr="0018700C" w:rsidRDefault="008F033E" w:rsidP="0018700C">
      <w:pPr>
        <w:spacing w:line="360" w:lineRule="auto"/>
        <w:jc w:val="both"/>
        <w:rPr>
          <w:rFonts w:ascii="Times New Roman" w:hAnsi="Times New Roman" w:cs="Times New Roman"/>
          <w:b/>
          <w:lang w:val="en-US"/>
        </w:rPr>
      </w:pPr>
      <w:r w:rsidRPr="0018700C">
        <w:rPr>
          <w:rFonts w:ascii="Times New Roman" w:hAnsi="Times New Roman" w:cs="Times New Roman"/>
          <w:b/>
          <w:lang w:val="en-US"/>
        </w:rPr>
        <w:t>Conflict</w:t>
      </w:r>
      <w:r w:rsidR="00FF6DFB">
        <w:rPr>
          <w:rFonts w:ascii="Times New Roman" w:hAnsi="Times New Roman" w:cs="Times New Roman"/>
          <w:b/>
          <w:lang w:val="en-US"/>
        </w:rPr>
        <w:t>s</w:t>
      </w:r>
      <w:r w:rsidRPr="0018700C">
        <w:rPr>
          <w:rFonts w:ascii="Times New Roman" w:hAnsi="Times New Roman" w:cs="Times New Roman"/>
          <w:b/>
          <w:lang w:val="en-US"/>
        </w:rPr>
        <w:t xml:space="preserve"> of interest </w:t>
      </w:r>
    </w:p>
    <w:p w14:paraId="37D795FE" w14:textId="77777777" w:rsidR="008F033E" w:rsidRPr="0018700C" w:rsidRDefault="008F033E" w:rsidP="0018700C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18700C">
        <w:rPr>
          <w:rFonts w:ascii="Times New Roman" w:hAnsi="Times New Roman" w:cs="Times New Roman"/>
          <w:lang w:val="en-US"/>
        </w:rPr>
        <w:t xml:space="preserve">The author declares no conflict of interest. </w:t>
      </w:r>
    </w:p>
    <w:p w14:paraId="64A215D3" w14:textId="77777777" w:rsidR="008F033E" w:rsidRPr="0018700C" w:rsidRDefault="008F033E" w:rsidP="0018700C">
      <w:pPr>
        <w:spacing w:line="360" w:lineRule="auto"/>
        <w:jc w:val="both"/>
        <w:rPr>
          <w:rFonts w:ascii="Times New Roman" w:hAnsi="Times New Roman" w:cs="Times New Roman"/>
          <w:b/>
          <w:lang w:val="en-US"/>
        </w:rPr>
      </w:pPr>
      <w:r w:rsidRPr="0018700C">
        <w:rPr>
          <w:rFonts w:ascii="Times New Roman" w:hAnsi="Times New Roman" w:cs="Times New Roman"/>
          <w:b/>
          <w:lang w:val="en-US"/>
        </w:rPr>
        <w:t xml:space="preserve">Funding </w:t>
      </w:r>
    </w:p>
    <w:p w14:paraId="392C36B7" w14:textId="77777777" w:rsidR="008F033E" w:rsidRPr="0018700C" w:rsidRDefault="008F033E" w:rsidP="0018700C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18700C">
        <w:rPr>
          <w:rFonts w:ascii="Times New Roman" w:hAnsi="Times New Roman" w:cs="Times New Roman"/>
          <w:lang w:val="en-US"/>
        </w:rPr>
        <w:t xml:space="preserve">None. </w:t>
      </w:r>
    </w:p>
    <w:p w14:paraId="703BD601" w14:textId="77777777" w:rsidR="008F033E" w:rsidRPr="0018700C" w:rsidRDefault="008F033E" w:rsidP="0018700C">
      <w:pPr>
        <w:spacing w:line="360" w:lineRule="auto"/>
        <w:jc w:val="both"/>
        <w:rPr>
          <w:rFonts w:ascii="Times New Roman" w:hAnsi="Times New Roman" w:cs="Times New Roman"/>
          <w:b/>
          <w:lang w:val="en-US"/>
        </w:rPr>
      </w:pPr>
      <w:r w:rsidRPr="0018700C">
        <w:rPr>
          <w:rFonts w:ascii="Times New Roman" w:hAnsi="Times New Roman" w:cs="Times New Roman"/>
          <w:b/>
          <w:lang w:val="en-US"/>
        </w:rPr>
        <w:t xml:space="preserve">Supplementary material </w:t>
      </w:r>
    </w:p>
    <w:p w14:paraId="428DE82A" w14:textId="77777777" w:rsidR="008F033E" w:rsidRPr="0018700C" w:rsidRDefault="008F033E" w:rsidP="0018700C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18700C">
        <w:rPr>
          <w:rFonts w:ascii="Times New Roman" w:hAnsi="Times New Roman" w:cs="Times New Roman"/>
          <w:lang w:val="en-US"/>
        </w:rPr>
        <w:t>None.</w:t>
      </w:r>
    </w:p>
    <w:p w14:paraId="59105A37" w14:textId="77777777" w:rsidR="008F033E" w:rsidRPr="0018700C" w:rsidRDefault="008F033E" w:rsidP="0018700C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p w14:paraId="6361CA58" w14:textId="77777777" w:rsidR="008F033E" w:rsidRPr="0018700C" w:rsidRDefault="008F033E" w:rsidP="0018700C">
      <w:pPr>
        <w:spacing w:line="360" w:lineRule="auto"/>
        <w:jc w:val="both"/>
        <w:rPr>
          <w:rFonts w:ascii="Times New Roman" w:hAnsi="Times New Roman" w:cs="Times New Roman"/>
          <w:b/>
          <w:lang w:val="en-US"/>
        </w:rPr>
      </w:pPr>
      <w:r w:rsidRPr="0018700C">
        <w:rPr>
          <w:rFonts w:ascii="Times New Roman" w:hAnsi="Times New Roman" w:cs="Times New Roman"/>
          <w:b/>
          <w:lang w:val="en-US"/>
        </w:rPr>
        <w:t>References</w:t>
      </w:r>
    </w:p>
    <w:p w14:paraId="399C6E0E" w14:textId="77777777" w:rsidR="00E22A0F" w:rsidRPr="0018700C" w:rsidRDefault="00E22A0F" w:rsidP="0018700C">
      <w:pPr>
        <w:pStyle w:val="Akapitzlist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 w:rsidRPr="0018700C">
        <w:rPr>
          <w:rFonts w:ascii="Times New Roman" w:eastAsia="Times New Roman" w:hAnsi="Times New Roman" w:cs="Times New Roman"/>
          <w:color w:val="212121"/>
          <w:kern w:val="0"/>
          <w:shd w:val="clear" w:color="auto" w:fill="FFFFFF"/>
          <w:lang w:val="en-US" w:eastAsia="pl-PL"/>
        </w:rPr>
        <w:t xml:space="preserve">Robak T, Blonski JZ, Gora-Tybor J, </w:t>
      </w:r>
      <w:proofErr w:type="spellStart"/>
      <w:r w:rsidRPr="0018700C">
        <w:rPr>
          <w:rFonts w:ascii="Times New Roman" w:eastAsia="Times New Roman" w:hAnsi="Times New Roman" w:cs="Times New Roman"/>
          <w:color w:val="212121"/>
          <w:kern w:val="0"/>
          <w:shd w:val="clear" w:color="auto" w:fill="FFFFFF"/>
          <w:lang w:val="en-US" w:eastAsia="pl-PL"/>
        </w:rPr>
        <w:t>Jamroziak</w:t>
      </w:r>
      <w:proofErr w:type="spellEnd"/>
      <w:r w:rsidRPr="0018700C">
        <w:rPr>
          <w:rFonts w:ascii="Times New Roman" w:eastAsia="Times New Roman" w:hAnsi="Times New Roman" w:cs="Times New Roman"/>
          <w:color w:val="212121"/>
          <w:kern w:val="0"/>
          <w:shd w:val="clear" w:color="auto" w:fill="FFFFFF"/>
          <w:lang w:val="en-US" w:eastAsia="pl-PL"/>
        </w:rPr>
        <w:t xml:space="preserve"> K, </w:t>
      </w:r>
      <w:proofErr w:type="spellStart"/>
      <w:r w:rsidRPr="0018700C">
        <w:rPr>
          <w:rFonts w:ascii="Times New Roman" w:eastAsia="Times New Roman" w:hAnsi="Times New Roman" w:cs="Times New Roman"/>
          <w:color w:val="212121"/>
          <w:kern w:val="0"/>
          <w:shd w:val="clear" w:color="auto" w:fill="FFFFFF"/>
          <w:lang w:val="en-US" w:eastAsia="pl-PL"/>
        </w:rPr>
        <w:t>Dwilewicz-Trojaczek</w:t>
      </w:r>
      <w:proofErr w:type="spellEnd"/>
      <w:r w:rsidRPr="0018700C">
        <w:rPr>
          <w:rFonts w:ascii="Times New Roman" w:eastAsia="Times New Roman" w:hAnsi="Times New Roman" w:cs="Times New Roman"/>
          <w:color w:val="212121"/>
          <w:kern w:val="0"/>
          <w:shd w:val="clear" w:color="auto" w:fill="FFFFFF"/>
          <w:lang w:val="en-US" w:eastAsia="pl-PL"/>
        </w:rPr>
        <w:t xml:space="preserve"> J, Tomaszewska A, Konopka L, Ceglarek B, </w:t>
      </w:r>
      <w:proofErr w:type="spellStart"/>
      <w:r w:rsidRPr="0018700C">
        <w:rPr>
          <w:rFonts w:ascii="Times New Roman" w:eastAsia="Times New Roman" w:hAnsi="Times New Roman" w:cs="Times New Roman"/>
          <w:color w:val="212121"/>
          <w:kern w:val="0"/>
          <w:shd w:val="clear" w:color="auto" w:fill="FFFFFF"/>
          <w:lang w:val="en-US" w:eastAsia="pl-PL"/>
        </w:rPr>
        <w:t>Dmoszynska</w:t>
      </w:r>
      <w:proofErr w:type="spellEnd"/>
      <w:r w:rsidRPr="0018700C">
        <w:rPr>
          <w:rFonts w:ascii="Times New Roman" w:eastAsia="Times New Roman" w:hAnsi="Times New Roman" w:cs="Times New Roman"/>
          <w:color w:val="212121"/>
          <w:kern w:val="0"/>
          <w:shd w:val="clear" w:color="auto" w:fill="FFFFFF"/>
          <w:lang w:val="en-US" w:eastAsia="pl-PL"/>
        </w:rPr>
        <w:t xml:space="preserve"> A, Kowal M, Kloczko J, Stella-</w:t>
      </w:r>
      <w:proofErr w:type="spellStart"/>
      <w:r w:rsidRPr="0018700C">
        <w:rPr>
          <w:rFonts w:ascii="Times New Roman" w:eastAsia="Times New Roman" w:hAnsi="Times New Roman" w:cs="Times New Roman"/>
          <w:color w:val="212121"/>
          <w:kern w:val="0"/>
          <w:shd w:val="clear" w:color="auto" w:fill="FFFFFF"/>
          <w:lang w:val="en-US" w:eastAsia="pl-PL"/>
        </w:rPr>
        <w:t>Holowiecka</w:t>
      </w:r>
      <w:proofErr w:type="spellEnd"/>
      <w:r w:rsidRPr="0018700C">
        <w:rPr>
          <w:rFonts w:ascii="Times New Roman" w:eastAsia="Times New Roman" w:hAnsi="Times New Roman" w:cs="Times New Roman"/>
          <w:color w:val="212121"/>
          <w:kern w:val="0"/>
          <w:shd w:val="clear" w:color="auto" w:fill="FFFFFF"/>
          <w:lang w:val="en-US" w:eastAsia="pl-PL"/>
        </w:rPr>
        <w:t xml:space="preserve"> B, Sulek K, </w:t>
      </w:r>
      <w:proofErr w:type="spellStart"/>
      <w:r w:rsidRPr="0018700C">
        <w:rPr>
          <w:rFonts w:ascii="Times New Roman" w:eastAsia="Times New Roman" w:hAnsi="Times New Roman" w:cs="Times New Roman"/>
          <w:color w:val="212121"/>
          <w:kern w:val="0"/>
          <w:shd w:val="clear" w:color="auto" w:fill="FFFFFF"/>
          <w:lang w:val="en-US" w:eastAsia="pl-PL"/>
        </w:rPr>
        <w:t>Calbecka</w:t>
      </w:r>
      <w:proofErr w:type="spellEnd"/>
      <w:r w:rsidRPr="0018700C">
        <w:rPr>
          <w:rFonts w:ascii="Times New Roman" w:eastAsia="Times New Roman" w:hAnsi="Times New Roman" w:cs="Times New Roman"/>
          <w:color w:val="212121"/>
          <w:kern w:val="0"/>
          <w:shd w:val="clear" w:color="auto" w:fill="FFFFFF"/>
          <w:lang w:val="en-US" w:eastAsia="pl-PL"/>
        </w:rPr>
        <w:t xml:space="preserve"> M, </w:t>
      </w:r>
      <w:proofErr w:type="spellStart"/>
      <w:r w:rsidRPr="0018700C">
        <w:rPr>
          <w:rFonts w:ascii="Times New Roman" w:eastAsia="Times New Roman" w:hAnsi="Times New Roman" w:cs="Times New Roman"/>
          <w:color w:val="212121"/>
          <w:kern w:val="0"/>
          <w:shd w:val="clear" w:color="auto" w:fill="FFFFFF"/>
          <w:lang w:val="en-US" w:eastAsia="pl-PL"/>
        </w:rPr>
        <w:t>Zawilska</w:t>
      </w:r>
      <w:proofErr w:type="spellEnd"/>
      <w:r w:rsidRPr="0018700C">
        <w:rPr>
          <w:rFonts w:ascii="Times New Roman" w:eastAsia="Times New Roman" w:hAnsi="Times New Roman" w:cs="Times New Roman"/>
          <w:color w:val="212121"/>
          <w:kern w:val="0"/>
          <w:shd w:val="clear" w:color="auto" w:fill="FFFFFF"/>
          <w:lang w:val="en-US" w:eastAsia="pl-PL"/>
        </w:rPr>
        <w:t xml:space="preserve"> K, </w:t>
      </w:r>
      <w:proofErr w:type="spellStart"/>
      <w:r w:rsidRPr="0018700C">
        <w:rPr>
          <w:rFonts w:ascii="Times New Roman" w:eastAsia="Times New Roman" w:hAnsi="Times New Roman" w:cs="Times New Roman"/>
          <w:color w:val="212121"/>
          <w:kern w:val="0"/>
          <w:shd w:val="clear" w:color="auto" w:fill="FFFFFF"/>
          <w:lang w:val="en-US" w:eastAsia="pl-PL"/>
        </w:rPr>
        <w:t>Kuliczkowski</w:t>
      </w:r>
      <w:proofErr w:type="spellEnd"/>
      <w:r w:rsidRPr="0018700C">
        <w:rPr>
          <w:rFonts w:ascii="Times New Roman" w:eastAsia="Times New Roman" w:hAnsi="Times New Roman" w:cs="Times New Roman"/>
          <w:color w:val="212121"/>
          <w:kern w:val="0"/>
          <w:shd w:val="clear" w:color="auto" w:fill="FFFFFF"/>
          <w:lang w:val="en-US" w:eastAsia="pl-PL"/>
        </w:rPr>
        <w:t xml:space="preserve"> K, Skotnicki AB, Warzocha K, </w:t>
      </w:r>
      <w:proofErr w:type="spellStart"/>
      <w:r w:rsidRPr="0018700C">
        <w:rPr>
          <w:rFonts w:ascii="Times New Roman" w:eastAsia="Times New Roman" w:hAnsi="Times New Roman" w:cs="Times New Roman"/>
          <w:color w:val="212121"/>
          <w:kern w:val="0"/>
          <w:shd w:val="clear" w:color="auto" w:fill="FFFFFF"/>
          <w:lang w:val="en-US" w:eastAsia="pl-PL"/>
        </w:rPr>
        <w:t>Kasznicki</w:t>
      </w:r>
      <w:proofErr w:type="spellEnd"/>
      <w:r w:rsidRPr="0018700C">
        <w:rPr>
          <w:rFonts w:ascii="Times New Roman" w:eastAsia="Times New Roman" w:hAnsi="Times New Roman" w:cs="Times New Roman"/>
          <w:color w:val="212121"/>
          <w:kern w:val="0"/>
          <w:shd w:val="clear" w:color="auto" w:fill="FFFFFF"/>
          <w:lang w:val="en-US" w:eastAsia="pl-PL"/>
        </w:rPr>
        <w:t xml:space="preserve"> M; Polish Leukemia Group (PALG CLL2). Cladribine alone and in combination with cyclophosphamide or cyclophosphamide plus mitoxantrone in the treatment of progressive chronic lymphocytic leukemia: report of a prospective, multicenter, randomized trial of the Polish Adult Leukemia Group (PALG CLL2). </w:t>
      </w:r>
      <w:r w:rsidRPr="0018700C">
        <w:rPr>
          <w:rFonts w:ascii="Times New Roman" w:eastAsia="Times New Roman" w:hAnsi="Times New Roman" w:cs="Times New Roman"/>
          <w:color w:val="212121"/>
          <w:kern w:val="0"/>
          <w:shd w:val="clear" w:color="auto" w:fill="FFFFFF"/>
          <w:lang w:eastAsia="pl-PL"/>
        </w:rPr>
        <w:t>Blood. 2006 Jul 15;108(2):473-9. doi: 10.1182/blood-2005-12-4828. Epub 2006 Mar 21. PMID: 16551966.</w:t>
      </w:r>
    </w:p>
    <w:p w14:paraId="4136F1FE" w14:textId="77777777" w:rsidR="00E22A0F" w:rsidRPr="0018700C" w:rsidRDefault="00E22A0F" w:rsidP="0018700C">
      <w:pPr>
        <w:pStyle w:val="Akapitzlist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val="en-US" w:eastAsia="pl-PL"/>
        </w:rPr>
      </w:pPr>
      <w:r w:rsidRPr="0018700C">
        <w:rPr>
          <w:rFonts w:ascii="Times New Roman" w:eastAsia="Times New Roman" w:hAnsi="Times New Roman" w:cs="Times New Roman"/>
          <w:color w:val="000000" w:themeColor="text1"/>
          <w:kern w:val="0"/>
          <w:lang w:val="en-US" w:eastAsia="pl-PL"/>
        </w:rPr>
        <w:t>Janowska A</w:t>
      </w:r>
      <w:r w:rsidRPr="0018700C">
        <w:rPr>
          <w:rFonts w:ascii="Times New Roman" w:eastAsia="Times New Roman" w:hAnsi="Times New Roman" w:cs="Times New Roman"/>
          <w:color w:val="000000" w:themeColor="text1"/>
          <w:kern w:val="0"/>
          <w:shd w:val="clear" w:color="auto" w:fill="FFFFFF"/>
          <w:lang w:val="en-US" w:eastAsia="pl-PL"/>
        </w:rPr>
        <w:t>, </w:t>
      </w:r>
      <w:r w:rsidRPr="0018700C">
        <w:rPr>
          <w:rFonts w:ascii="Times New Roman" w:eastAsia="Times New Roman" w:hAnsi="Times New Roman" w:cs="Times New Roman"/>
          <w:color w:val="000000" w:themeColor="text1"/>
          <w:kern w:val="0"/>
          <w:lang w:val="en-US" w:eastAsia="pl-PL"/>
        </w:rPr>
        <w:t>Janus A</w:t>
      </w:r>
      <w:r w:rsidRPr="0018700C">
        <w:rPr>
          <w:rFonts w:ascii="Times New Roman" w:eastAsia="Times New Roman" w:hAnsi="Times New Roman" w:cs="Times New Roman"/>
          <w:color w:val="000000" w:themeColor="text1"/>
          <w:kern w:val="0"/>
          <w:shd w:val="clear" w:color="auto" w:fill="FFFFFF"/>
          <w:lang w:val="en-US" w:eastAsia="pl-PL"/>
        </w:rPr>
        <w:t>, </w:t>
      </w:r>
      <w:r w:rsidRPr="0018700C">
        <w:rPr>
          <w:rFonts w:ascii="Times New Roman" w:eastAsia="Times New Roman" w:hAnsi="Times New Roman" w:cs="Times New Roman"/>
          <w:color w:val="000000" w:themeColor="text1"/>
          <w:kern w:val="0"/>
          <w:lang w:val="en-US" w:eastAsia="pl-PL"/>
        </w:rPr>
        <w:t xml:space="preserve">Robak T. New therapeutic options for hairy cell leukemia. </w:t>
      </w:r>
      <w:r w:rsidRPr="0018700C">
        <w:rPr>
          <w:rFonts w:ascii="Times New Roman" w:eastAsia="Times New Roman" w:hAnsi="Times New Roman" w:cs="Times New Roman"/>
          <w:color w:val="000000" w:themeColor="text1"/>
          <w:kern w:val="0"/>
          <w:shd w:val="clear" w:color="auto" w:fill="FFFFFF"/>
          <w:lang w:val="en-US" w:eastAsia="pl-PL"/>
        </w:rPr>
        <w:t xml:space="preserve">Acta </w:t>
      </w:r>
      <w:proofErr w:type="spellStart"/>
      <w:r w:rsidRPr="0018700C">
        <w:rPr>
          <w:rFonts w:ascii="Times New Roman" w:eastAsia="Times New Roman" w:hAnsi="Times New Roman" w:cs="Times New Roman"/>
          <w:color w:val="000000" w:themeColor="text1"/>
          <w:kern w:val="0"/>
          <w:shd w:val="clear" w:color="auto" w:fill="FFFFFF"/>
          <w:lang w:val="en-US" w:eastAsia="pl-PL"/>
        </w:rPr>
        <w:t>Haematol</w:t>
      </w:r>
      <w:proofErr w:type="spellEnd"/>
      <w:r w:rsidRPr="0018700C">
        <w:rPr>
          <w:rFonts w:ascii="Times New Roman" w:eastAsia="Times New Roman" w:hAnsi="Times New Roman" w:cs="Times New Roman"/>
          <w:color w:val="000000" w:themeColor="text1"/>
          <w:kern w:val="0"/>
          <w:shd w:val="clear" w:color="auto" w:fill="FFFFFF"/>
          <w:lang w:val="en-US" w:eastAsia="pl-PL"/>
        </w:rPr>
        <w:t xml:space="preserve"> Pol 2022;53(1):39-47.</w:t>
      </w:r>
    </w:p>
    <w:p w14:paraId="73EE6E1E" w14:textId="77777777" w:rsidR="00237B24" w:rsidRPr="0018700C" w:rsidRDefault="00237B24" w:rsidP="0018700C">
      <w:pPr>
        <w:pStyle w:val="Akapitzlist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kern w:val="0"/>
          <w:lang w:val="en-US" w:eastAsia="pl-PL"/>
        </w:rPr>
      </w:pPr>
      <w:r w:rsidRPr="0018700C">
        <w:rPr>
          <w:rFonts w:ascii="Times New Roman" w:eastAsia="Times New Roman" w:hAnsi="Times New Roman" w:cs="Times New Roman"/>
          <w:color w:val="212121"/>
          <w:kern w:val="0"/>
          <w:shd w:val="clear" w:color="auto" w:fill="FFFFFF"/>
          <w:lang w:eastAsia="pl-PL"/>
        </w:rPr>
        <w:t xml:space="preserve">Holowiecki J, Grosicki S, Giebel S, et al. </w:t>
      </w:r>
      <w:r w:rsidRPr="0018700C">
        <w:rPr>
          <w:rFonts w:ascii="Times New Roman" w:eastAsia="Times New Roman" w:hAnsi="Times New Roman" w:cs="Times New Roman"/>
          <w:color w:val="212121"/>
          <w:kern w:val="0"/>
          <w:shd w:val="clear" w:color="auto" w:fill="FFFFFF"/>
          <w:lang w:val="en-US" w:eastAsia="pl-PL"/>
        </w:rPr>
        <w:t>Cladribine, but not fludarabine, added to daunorubicin and cytarabine during induction prolongs survival of patients with acute myeloid leukemia: a multicenter, randomized phase III study. </w:t>
      </w:r>
      <w:r w:rsidRPr="0018700C">
        <w:rPr>
          <w:rFonts w:ascii="Times New Roman" w:eastAsia="Times New Roman" w:hAnsi="Times New Roman" w:cs="Times New Roman"/>
          <w:i/>
          <w:iCs/>
          <w:color w:val="212121"/>
          <w:kern w:val="0"/>
          <w:lang w:val="en-US" w:eastAsia="pl-PL"/>
        </w:rPr>
        <w:t>J Clin Oncol</w:t>
      </w:r>
      <w:r w:rsidRPr="0018700C">
        <w:rPr>
          <w:rFonts w:ascii="Times New Roman" w:eastAsia="Times New Roman" w:hAnsi="Times New Roman" w:cs="Times New Roman"/>
          <w:color w:val="212121"/>
          <w:kern w:val="0"/>
          <w:shd w:val="clear" w:color="auto" w:fill="FFFFFF"/>
          <w:lang w:val="en-US" w:eastAsia="pl-PL"/>
        </w:rPr>
        <w:t>. 2012;30(20):2441-2448. doi:10.1200/JCO.2011.37.1286</w:t>
      </w:r>
    </w:p>
    <w:p w14:paraId="1D0374BB" w14:textId="77777777" w:rsidR="00237B24" w:rsidRPr="0018700C" w:rsidRDefault="00237B24" w:rsidP="0018700C">
      <w:pPr>
        <w:pStyle w:val="Akapitzlist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kern w:val="0"/>
          <w:lang w:val="en-US" w:eastAsia="pl-PL"/>
        </w:rPr>
      </w:pPr>
      <w:r w:rsidRPr="0018700C">
        <w:rPr>
          <w:rFonts w:ascii="Times New Roman" w:eastAsia="Times New Roman" w:hAnsi="Times New Roman" w:cs="Times New Roman"/>
          <w:color w:val="212121"/>
          <w:kern w:val="0"/>
          <w:shd w:val="clear" w:color="auto" w:fill="FFFFFF"/>
          <w:lang w:eastAsia="pl-PL"/>
        </w:rPr>
        <w:lastRenderedPageBreak/>
        <w:t xml:space="preserve">Libura M, Giebel S, Piatkowska-Jakubas B, et al. </w:t>
      </w:r>
      <w:r w:rsidRPr="0018700C">
        <w:rPr>
          <w:rFonts w:ascii="Times New Roman" w:eastAsia="Times New Roman" w:hAnsi="Times New Roman" w:cs="Times New Roman"/>
          <w:color w:val="212121"/>
          <w:kern w:val="0"/>
          <w:shd w:val="clear" w:color="auto" w:fill="FFFFFF"/>
          <w:lang w:val="en-US" w:eastAsia="pl-PL"/>
        </w:rPr>
        <w:t>Cladribine added to daunorubicin-cytarabine induction prolongs survival of FLT3-ITD+ normal karyotype AML patients. </w:t>
      </w:r>
      <w:r w:rsidRPr="0018700C">
        <w:rPr>
          <w:rFonts w:ascii="Times New Roman" w:eastAsia="Times New Roman" w:hAnsi="Times New Roman" w:cs="Times New Roman"/>
          <w:i/>
          <w:iCs/>
          <w:color w:val="212121"/>
          <w:kern w:val="0"/>
          <w:lang w:val="en-US" w:eastAsia="pl-PL"/>
        </w:rPr>
        <w:t>Blood</w:t>
      </w:r>
      <w:r w:rsidRPr="0018700C">
        <w:rPr>
          <w:rFonts w:ascii="Times New Roman" w:eastAsia="Times New Roman" w:hAnsi="Times New Roman" w:cs="Times New Roman"/>
          <w:color w:val="212121"/>
          <w:kern w:val="0"/>
          <w:shd w:val="clear" w:color="auto" w:fill="FFFFFF"/>
          <w:lang w:val="en-US" w:eastAsia="pl-PL"/>
        </w:rPr>
        <w:t>. 2016;127(3):360-362. doi:10.1182/blood-2015-08-662130</w:t>
      </w:r>
    </w:p>
    <w:p w14:paraId="28A1D8EA" w14:textId="77777777" w:rsidR="00141BE2" w:rsidRPr="0018700C" w:rsidRDefault="00141BE2" w:rsidP="0018700C">
      <w:pPr>
        <w:pStyle w:val="Akapitzlist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kern w:val="0"/>
          <w:lang w:val="en-US" w:eastAsia="pl-PL"/>
        </w:rPr>
      </w:pPr>
      <w:r w:rsidRPr="0018700C">
        <w:rPr>
          <w:rFonts w:ascii="Times New Roman" w:eastAsia="Times New Roman" w:hAnsi="Times New Roman" w:cs="Times New Roman"/>
          <w:color w:val="212121"/>
          <w:kern w:val="0"/>
          <w:shd w:val="clear" w:color="auto" w:fill="FFFFFF"/>
          <w:lang w:eastAsia="pl-PL"/>
        </w:rPr>
        <w:t xml:space="preserve">Pluta A, Robak T, Brzozowski K, et al. </w:t>
      </w:r>
      <w:r w:rsidRPr="0018700C">
        <w:rPr>
          <w:rFonts w:ascii="Times New Roman" w:eastAsia="Times New Roman" w:hAnsi="Times New Roman" w:cs="Times New Roman"/>
          <w:color w:val="212121"/>
          <w:kern w:val="0"/>
          <w:shd w:val="clear" w:color="auto" w:fill="FFFFFF"/>
          <w:lang w:val="en-US" w:eastAsia="pl-PL"/>
        </w:rPr>
        <w:t>Early induction intensification with cladribine, cytarabine, and mitoxantrone (CLAM) in AML patients treated with the DAC induction regimen: a prospective, non-randomized, phase II study of the Polish Adult Leukemia Group (PALG). </w:t>
      </w:r>
      <w:r w:rsidRPr="0018700C">
        <w:rPr>
          <w:rFonts w:ascii="Times New Roman" w:eastAsia="Times New Roman" w:hAnsi="Times New Roman" w:cs="Times New Roman"/>
          <w:i/>
          <w:iCs/>
          <w:color w:val="212121"/>
          <w:kern w:val="0"/>
          <w:lang w:val="en-US" w:eastAsia="pl-PL"/>
        </w:rPr>
        <w:t>Leuk Lymphoma</w:t>
      </w:r>
      <w:r w:rsidRPr="0018700C">
        <w:rPr>
          <w:rFonts w:ascii="Times New Roman" w:eastAsia="Times New Roman" w:hAnsi="Times New Roman" w:cs="Times New Roman"/>
          <w:color w:val="212121"/>
          <w:kern w:val="0"/>
          <w:shd w:val="clear" w:color="auto" w:fill="FFFFFF"/>
          <w:lang w:val="en-US" w:eastAsia="pl-PL"/>
        </w:rPr>
        <w:t>. 2020;61(3):588-603. </w:t>
      </w:r>
    </w:p>
    <w:p w14:paraId="640B5E93" w14:textId="77777777" w:rsidR="00F27740" w:rsidRPr="0018700C" w:rsidRDefault="009E16F3" w:rsidP="0018700C">
      <w:pPr>
        <w:pStyle w:val="Akapitzlist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kern w:val="0"/>
          <w:lang w:val="en-US" w:eastAsia="pl-PL"/>
        </w:rPr>
      </w:pPr>
      <w:r w:rsidRPr="0018700C">
        <w:rPr>
          <w:rFonts w:ascii="Times New Roman" w:eastAsia="Times New Roman" w:hAnsi="Times New Roman" w:cs="Times New Roman"/>
          <w:color w:val="212121"/>
          <w:kern w:val="0"/>
          <w:shd w:val="clear" w:color="auto" w:fill="FFFFFF"/>
          <w:lang w:eastAsia="pl-PL"/>
        </w:rPr>
        <w:t xml:space="preserve">Libura M, Bialopiotrowicz E, Giebel S, et al. </w:t>
      </w:r>
      <w:r w:rsidRPr="0018700C">
        <w:rPr>
          <w:rFonts w:ascii="Times New Roman" w:eastAsia="Times New Roman" w:hAnsi="Times New Roman" w:cs="Times New Roman"/>
          <w:color w:val="212121"/>
          <w:kern w:val="0"/>
          <w:shd w:val="clear" w:color="auto" w:fill="FFFFFF"/>
          <w:lang w:val="en-US" w:eastAsia="pl-PL"/>
        </w:rPr>
        <w:t>IDH2 mutations in patients with normal karyotype AML predict favorable responses to daunorubicin, cytarabine and cladribine regimen. </w:t>
      </w:r>
      <w:r w:rsidRPr="0018700C">
        <w:rPr>
          <w:rFonts w:ascii="Times New Roman" w:eastAsia="Times New Roman" w:hAnsi="Times New Roman" w:cs="Times New Roman"/>
          <w:i/>
          <w:iCs/>
          <w:color w:val="212121"/>
          <w:kern w:val="0"/>
          <w:lang w:val="en-US" w:eastAsia="pl-PL"/>
        </w:rPr>
        <w:t>Sci Rep</w:t>
      </w:r>
      <w:r w:rsidRPr="0018700C">
        <w:rPr>
          <w:rFonts w:ascii="Times New Roman" w:eastAsia="Times New Roman" w:hAnsi="Times New Roman" w:cs="Times New Roman"/>
          <w:color w:val="212121"/>
          <w:kern w:val="0"/>
          <w:shd w:val="clear" w:color="auto" w:fill="FFFFFF"/>
          <w:lang w:val="en-US" w:eastAsia="pl-PL"/>
        </w:rPr>
        <w:t>. 2021;11(1):10017. Published 2021 May 11. doi:10.1038/s41598-021-88120-y</w:t>
      </w:r>
    </w:p>
    <w:p w14:paraId="233817E1" w14:textId="77777777" w:rsidR="00F27740" w:rsidRPr="0018700C" w:rsidRDefault="00F27740" w:rsidP="0018700C">
      <w:pPr>
        <w:pStyle w:val="Akapitzlist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 w:rsidRPr="0018700C">
        <w:rPr>
          <w:rFonts w:ascii="Times New Roman" w:eastAsia="Times New Roman" w:hAnsi="Times New Roman" w:cs="Times New Roman"/>
          <w:kern w:val="0"/>
          <w:lang w:eastAsia="pl-PL"/>
        </w:rPr>
        <w:t xml:space="preserve">Brzozowski et al. </w:t>
      </w:r>
      <w:r w:rsidRPr="0018700C">
        <w:rPr>
          <w:rFonts w:ascii="Times New Roman" w:eastAsia="Times New Roman" w:hAnsi="Times New Roman" w:cs="Times New Roman"/>
          <w:color w:val="212529"/>
          <w:kern w:val="0"/>
          <w:lang w:eastAsia="pl-PL"/>
        </w:rPr>
        <w:t>DOI:</w:t>
      </w:r>
      <w:r w:rsidRPr="0018700C">
        <w:rPr>
          <w:rFonts w:ascii="Times New Roman" w:eastAsia="Times New Roman" w:hAnsi="Times New Roman" w:cs="Times New Roman"/>
          <w:color w:val="212529"/>
          <w:kern w:val="0"/>
          <w:shd w:val="clear" w:color="auto" w:fill="FFFFFF"/>
          <w:lang w:eastAsia="pl-PL"/>
        </w:rPr>
        <w:t> </w:t>
      </w:r>
      <w:hyperlink r:id="rId5" w:history="1">
        <w:r w:rsidRPr="0018700C">
          <w:rPr>
            <w:rFonts w:ascii="Times New Roman" w:eastAsia="Times New Roman" w:hAnsi="Times New Roman" w:cs="Times New Roman"/>
            <w:color w:val="007BFF"/>
            <w:kern w:val="0"/>
            <w:u w:val="single"/>
            <w:lang w:eastAsia="pl-PL"/>
          </w:rPr>
          <w:t>10.5603/ahp.101972</w:t>
        </w:r>
      </w:hyperlink>
    </w:p>
    <w:p w14:paraId="39F8CA7C" w14:textId="77777777" w:rsidR="00F27740" w:rsidRPr="0018700C" w:rsidRDefault="00F27740" w:rsidP="0018700C">
      <w:pPr>
        <w:pStyle w:val="Akapitzlist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kern w:val="0"/>
          <w:lang w:val="en-US" w:eastAsia="pl-PL"/>
        </w:rPr>
      </w:pPr>
      <w:r w:rsidRPr="0018700C">
        <w:rPr>
          <w:rFonts w:ascii="Times New Roman" w:eastAsia="Times New Roman" w:hAnsi="Times New Roman" w:cs="Times New Roman"/>
          <w:color w:val="212121"/>
          <w:kern w:val="0"/>
          <w:shd w:val="clear" w:color="auto" w:fill="FFFFFF"/>
          <w:lang w:val="en-US" w:eastAsia="pl-PL"/>
        </w:rPr>
        <w:t xml:space="preserve">DiNardo CD, Jonas BA, </w:t>
      </w:r>
      <w:proofErr w:type="spellStart"/>
      <w:r w:rsidRPr="0018700C">
        <w:rPr>
          <w:rFonts w:ascii="Times New Roman" w:eastAsia="Times New Roman" w:hAnsi="Times New Roman" w:cs="Times New Roman"/>
          <w:color w:val="212121"/>
          <w:kern w:val="0"/>
          <w:shd w:val="clear" w:color="auto" w:fill="FFFFFF"/>
          <w:lang w:val="en-US" w:eastAsia="pl-PL"/>
        </w:rPr>
        <w:t>Pullarkat</w:t>
      </w:r>
      <w:proofErr w:type="spellEnd"/>
      <w:r w:rsidRPr="0018700C">
        <w:rPr>
          <w:rFonts w:ascii="Times New Roman" w:eastAsia="Times New Roman" w:hAnsi="Times New Roman" w:cs="Times New Roman"/>
          <w:color w:val="212121"/>
          <w:kern w:val="0"/>
          <w:shd w:val="clear" w:color="auto" w:fill="FFFFFF"/>
          <w:lang w:val="en-US" w:eastAsia="pl-PL"/>
        </w:rPr>
        <w:t xml:space="preserve"> V, et al. Azacitidine and </w:t>
      </w:r>
      <w:proofErr w:type="spellStart"/>
      <w:r w:rsidRPr="0018700C">
        <w:rPr>
          <w:rFonts w:ascii="Times New Roman" w:eastAsia="Times New Roman" w:hAnsi="Times New Roman" w:cs="Times New Roman"/>
          <w:color w:val="212121"/>
          <w:kern w:val="0"/>
          <w:shd w:val="clear" w:color="auto" w:fill="FFFFFF"/>
          <w:lang w:val="en-US" w:eastAsia="pl-PL"/>
        </w:rPr>
        <w:t>Venetoclax</w:t>
      </w:r>
      <w:proofErr w:type="spellEnd"/>
      <w:r w:rsidRPr="0018700C">
        <w:rPr>
          <w:rFonts w:ascii="Times New Roman" w:eastAsia="Times New Roman" w:hAnsi="Times New Roman" w:cs="Times New Roman"/>
          <w:color w:val="212121"/>
          <w:kern w:val="0"/>
          <w:shd w:val="clear" w:color="auto" w:fill="FFFFFF"/>
          <w:lang w:val="en-US" w:eastAsia="pl-PL"/>
        </w:rPr>
        <w:t xml:space="preserve"> in Previously Untreated Acute Myeloid Leukemia. </w:t>
      </w:r>
      <w:r w:rsidRPr="0018700C">
        <w:rPr>
          <w:rFonts w:ascii="Times New Roman" w:eastAsia="Times New Roman" w:hAnsi="Times New Roman" w:cs="Times New Roman"/>
          <w:i/>
          <w:iCs/>
          <w:color w:val="212121"/>
          <w:kern w:val="0"/>
          <w:lang w:val="en-US" w:eastAsia="pl-PL"/>
        </w:rPr>
        <w:t>N Engl J Med</w:t>
      </w:r>
      <w:r w:rsidRPr="0018700C">
        <w:rPr>
          <w:rFonts w:ascii="Times New Roman" w:eastAsia="Times New Roman" w:hAnsi="Times New Roman" w:cs="Times New Roman"/>
          <w:color w:val="212121"/>
          <w:kern w:val="0"/>
          <w:shd w:val="clear" w:color="auto" w:fill="FFFFFF"/>
          <w:lang w:val="en-US" w:eastAsia="pl-PL"/>
        </w:rPr>
        <w:t>. 2020;383(7):617-629. doi:10.1056/NEJMoa2012971</w:t>
      </w:r>
    </w:p>
    <w:p w14:paraId="187CD649" w14:textId="77777777" w:rsidR="008F033E" w:rsidRPr="0018700C" w:rsidRDefault="008F033E" w:rsidP="0018700C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sectPr w:rsidR="008F033E" w:rsidRPr="0018700C" w:rsidSect="008F04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001F22"/>
    <w:multiLevelType w:val="hybridMultilevel"/>
    <w:tmpl w:val="67DE1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8627ED"/>
    <w:multiLevelType w:val="hybridMultilevel"/>
    <w:tmpl w:val="B6DCCA78"/>
    <w:lvl w:ilvl="0" w:tplc="EF6C88E8">
      <w:start w:val="1"/>
      <w:numFmt w:val="decimal"/>
      <w:lvlText w:val="%1."/>
      <w:lvlJc w:val="left"/>
      <w:pPr>
        <w:ind w:left="720" w:hanging="360"/>
      </w:pPr>
      <w:rPr>
        <w:rFonts w:ascii="Helvetica Neue" w:hAnsi="Helvetica Neue" w:hint="default"/>
        <w:color w:val="2121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39091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03687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33E"/>
    <w:rsid w:val="00035796"/>
    <w:rsid w:val="000638B0"/>
    <w:rsid w:val="000905C1"/>
    <w:rsid w:val="00093F98"/>
    <w:rsid w:val="001250B7"/>
    <w:rsid w:val="00141BE2"/>
    <w:rsid w:val="0015325C"/>
    <w:rsid w:val="0018700C"/>
    <w:rsid w:val="00237154"/>
    <w:rsid w:val="00237B24"/>
    <w:rsid w:val="002E0248"/>
    <w:rsid w:val="00304310"/>
    <w:rsid w:val="00316F1F"/>
    <w:rsid w:val="004553A1"/>
    <w:rsid w:val="004978A5"/>
    <w:rsid w:val="005E1F8E"/>
    <w:rsid w:val="00630894"/>
    <w:rsid w:val="006C5CDE"/>
    <w:rsid w:val="007312C7"/>
    <w:rsid w:val="00831025"/>
    <w:rsid w:val="008F033E"/>
    <w:rsid w:val="008F0402"/>
    <w:rsid w:val="009E16F3"/>
    <w:rsid w:val="00AB3A06"/>
    <w:rsid w:val="00B10C9B"/>
    <w:rsid w:val="00BA5CF6"/>
    <w:rsid w:val="00BD0AD4"/>
    <w:rsid w:val="00D10459"/>
    <w:rsid w:val="00D81867"/>
    <w:rsid w:val="00E22A0F"/>
    <w:rsid w:val="00E86CDF"/>
    <w:rsid w:val="00F0175B"/>
    <w:rsid w:val="00F11B89"/>
    <w:rsid w:val="00F27740"/>
    <w:rsid w:val="00FF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251A0"/>
  <w15:docId w15:val="{70019C01-9350-4820-8DAD-53FECF072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0402"/>
  </w:style>
  <w:style w:type="paragraph" w:styleId="Nagwek1">
    <w:name w:val="heading 1"/>
    <w:basedOn w:val="Normalny"/>
    <w:next w:val="Normalny"/>
    <w:link w:val="Nagwek1Znak"/>
    <w:uiPriority w:val="9"/>
    <w:qFormat/>
    <w:rsid w:val="008F03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F03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F03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F03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F03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F03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F03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F03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F03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F03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F03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F03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F033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F033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F033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F033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F033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F033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F03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F03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F03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F03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F03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F033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F033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F033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F03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F033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F033E"/>
    <w:rPr>
      <w:b/>
      <w:bCs/>
      <w:smallCaps/>
      <w:color w:val="0F4761" w:themeColor="accent1" w:themeShade="BF"/>
      <w:spacing w:val="5"/>
    </w:rPr>
  </w:style>
  <w:style w:type="paragraph" w:styleId="Poprawka">
    <w:name w:val="Revision"/>
    <w:hidden/>
    <w:uiPriority w:val="99"/>
    <w:semiHidden/>
    <w:rsid w:val="008F033E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93F98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3F98"/>
    <w:rPr>
      <w:rFonts w:ascii="Times New Roman" w:hAnsi="Times New Roman" w:cs="Times New Roman"/>
      <w:sz w:val="18"/>
      <w:szCs w:val="18"/>
    </w:rPr>
  </w:style>
  <w:style w:type="character" w:customStyle="1" w:styleId="author-name">
    <w:name w:val="author-name"/>
    <w:basedOn w:val="Domylnaczcionkaakapitu"/>
    <w:rsid w:val="00E22A0F"/>
  </w:style>
  <w:style w:type="character" w:customStyle="1" w:styleId="apple-converted-space">
    <w:name w:val="apple-converted-space"/>
    <w:basedOn w:val="Domylnaczcionkaakapitu"/>
    <w:rsid w:val="00E22A0F"/>
  </w:style>
  <w:style w:type="character" w:styleId="Uwydatnienie">
    <w:name w:val="Emphasis"/>
    <w:basedOn w:val="Domylnaczcionkaakapitu"/>
    <w:uiPriority w:val="20"/>
    <w:qFormat/>
    <w:rsid w:val="00141BE2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F27740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18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18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8186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18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186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05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i.org/10.5603/ahp.10197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685</Words>
  <Characters>4110</Characters>
  <Application>Microsoft Office Word</Application>
  <DocSecurity>0</DocSecurity>
  <Lines>34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 Iskierka-Jażdżewska</dc:creator>
  <cp:keywords/>
  <dc:description/>
  <cp:lastModifiedBy>Iga Frąckiewicz</cp:lastModifiedBy>
  <cp:revision>2</cp:revision>
  <dcterms:created xsi:type="dcterms:W3CDTF">2024-10-17T11:14:00Z</dcterms:created>
  <dcterms:modified xsi:type="dcterms:W3CDTF">2024-10-17T11:14:00Z</dcterms:modified>
</cp:coreProperties>
</file>