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7908" w14:textId="71051406" w:rsidR="00490C31" w:rsidRPr="00E2204B" w:rsidRDefault="00490C31" w:rsidP="00E2204B">
      <w:pPr>
        <w:pStyle w:val="Nagwek1"/>
        <w:tabs>
          <w:tab w:val="left" w:pos="3574"/>
          <w:tab w:val="left" w:pos="7110"/>
          <w:tab w:val="left" w:pos="10646"/>
        </w:tabs>
        <w:spacing w:before="0" w:line="360" w:lineRule="auto"/>
        <w:ind w:right="37"/>
        <w:textAlignment w:val="baseline"/>
        <w:rPr>
          <w:rFonts w:ascii="Times New Roman" w:hAnsi="Times New Roman" w:cs="Times New Roman"/>
          <w:b/>
          <w:bCs/>
          <w:color w:val="auto"/>
          <w:sz w:val="24"/>
          <w:szCs w:val="24"/>
          <w:lang w:val="en-US"/>
        </w:rPr>
      </w:pPr>
      <w:r w:rsidRPr="00E2204B">
        <w:rPr>
          <w:rFonts w:ascii="Times New Roman" w:hAnsi="Times New Roman" w:cs="Times New Roman"/>
          <w:b/>
          <w:color w:val="auto"/>
          <w:sz w:val="24"/>
          <w:szCs w:val="24"/>
          <w:lang w:val="en-US"/>
        </w:rPr>
        <w:t>Table II.</w:t>
      </w:r>
      <w:r w:rsidRPr="00E2204B">
        <w:rPr>
          <w:rFonts w:ascii="Times New Roman" w:hAnsi="Times New Roman" w:cs="Times New Roman"/>
          <w:color w:val="auto"/>
          <w:sz w:val="24"/>
          <w:szCs w:val="24"/>
          <w:lang w:val="en-US"/>
        </w:rPr>
        <w:t xml:space="preserve"> Clinical trials designed to evaluate efficacy and tolerability of </w:t>
      </w:r>
      <w:proofErr w:type="spellStart"/>
      <w:r w:rsidRPr="00E2204B">
        <w:rPr>
          <w:rFonts w:ascii="Times New Roman" w:hAnsi="Times New Roman" w:cs="Times New Roman"/>
          <w:color w:val="auto"/>
          <w:sz w:val="24"/>
          <w:szCs w:val="24"/>
          <w:lang w:val="en-US"/>
        </w:rPr>
        <w:t>asciminib</w:t>
      </w:r>
      <w:proofErr w:type="spellEnd"/>
      <w:r w:rsidRPr="00E2204B">
        <w:rPr>
          <w:rFonts w:ascii="Times New Roman" w:hAnsi="Times New Roman" w:cs="Times New Roman"/>
          <w:color w:val="auto"/>
          <w:sz w:val="24"/>
          <w:szCs w:val="24"/>
          <w:lang w:val="en-US"/>
        </w:rPr>
        <w:t xml:space="preserve"> in chronic myeloid leukemia patients resistant/intolerant to ATP-competitive BCR-ABL1 tyrosine kinase inhibitors [48, 55–57]</w:t>
      </w:r>
    </w:p>
    <w:tbl>
      <w:tblPr>
        <w:tblStyle w:val="Tabela-Siatka"/>
        <w:tblW w:w="14144" w:type="dxa"/>
        <w:tblInd w:w="38" w:type="dxa"/>
        <w:tblLook w:val="04A0" w:firstRow="1" w:lastRow="0" w:firstColumn="1" w:lastColumn="0" w:noHBand="0" w:noVBand="1"/>
      </w:tblPr>
      <w:tblGrid>
        <w:gridCol w:w="3536"/>
        <w:gridCol w:w="3536"/>
        <w:gridCol w:w="3536"/>
        <w:gridCol w:w="3536"/>
      </w:tblGrid>
      <w:tr w:rsidR="00490C31" w:rsidRPr="00E2204B" w14:paraId="01CD0114" w14:textId="77777777" w:rsidTr="00490C31">
        <w:tc>
          <w:tcPr>
            <w:tcW w:w="3536" w:type="dxa"/>
          </w:tcPr>
          <w:p w14:paraId="1F12DA0B" w14:textId="53A9403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b/>
                <w:bCs/>
                <w:color w:val="auto"/>
                <w:sz w:val="24"/>
                <w:szCs w:val="24"/>
                <w:lang w:val="en-US"/>
              </w:rPr>
              <w:lastRenderedPageBreak/>
              <w:t>Trial title (study identifier)</w:t>
            </w:r>
          </w:p>
        </w:tc>
        <w:tc>
          <w:tcPr>
            <w:tcW w:w="3536" w:type="dxa"/>
          </w:tcPr>
          <w:p w14:paraId="31439EBB" w14:textId="1F1151D4"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shd w:val="clear" w:color="auto" w:fill="FFFFFF"/>
                <w:lang w:val="en-US"/>
              </w:rPr>
            </w:pPr>
            <w:r w:rsidRPr="00E2204B">
              <w:rPr>
                <w:rFonts w:ascii="Times New Roman" w:hAnsi="Times New Roman" w:cs="Times New Roman"/>
                <w:b/>
                <w:bCs/>
                <w:color w:val="auto"/>
                <w:sz w:val="24"/>
                <w:szCs w:val="24"/>
                <w:lang w:val="en-US"/>
              </w:rPr>
              <w:t>Study population/design</w:t>
            </w:r>
          </w:p>
        </w:tc>
        <w:tc>
          <w:tcPr>
            <w:tcW w:w="3536" w:type="dxa"/>
          </w:tcPr>
          <w:p w14:paraId="0A2D3165" w14:textId="767CEF4E"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shd w:val="clear" w:color="auto" w:fill="FFFFFF"/>
                <w:lang w:val="en-US"/>
              </w:rPr>
            </w:pPr>
            <w:r w:rsidRPr="00E2204B">
              <w:rPr>
                <w:rFonts w:ascii="Times New Roman" w:hAnsi="Times New Roman" w:cs="Times New Roman"/>
                <w:b/>
                <w:bCs/>
                <w:color w:val="auto"/>
                <w:sz w:val="24"/>
                <w:szCs w:val="24"/>
                <w:lang w:val="en-US"/>
              </w:rPr>
              <w:t>Main objective</w:t>
            </w:r>
          </w:p>
        </w:tc>
        <w:tc>
          <w:tcPr>
            <w:tcW w:w="3536" w:type="dxa"/>
          </w:tcPr>
          <w:p w14:paraId="02CCB1C8" w14:textId="31F57381"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b/>
                <w:bCs/>
                <w:color w:val="auto"/>
                <w:sz w:val="24"/>
                <w:szCs w:val="24"/>
                <w:lang w:val="en-US"/>
              </w:rPr>
              <w:t>Relevant data</w:t>
            </w:r>
          </w:p>
        </w:tc>
      </w:tr>
      <w:tr w:rsidR="00490C31" w:rsidRPr="00E2204B" w14:paraId="6FF393A1" w14:textId="77777777" w:rsidTr="00490C31">
        <w:tc>
          <w:tcPr>
            <w:tcW w:w="3536" w:type="dxa"/>
          </w:tcPr>
          <w:p w14:paraId="4D29683D"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1B1B1B"/>
                <w:sz w:val="24"/>
                <w:szCs w:val="24"/>
                <w:lang w:val="en-US"/>
              </w:rPr>
            </w:pPr>
            <w:r w:rsidRPr="00E2204B">
              <w:rPr>
                <w:rFonts w:ascii="Times New Roman" w:hAnsi="Times New Roman" w:cs="Times New Roman"/>
                <w:color w:val="1B1B1B"/>
                <w:sz w:val="24"/>
                <w:szCs w:val="24"/>
                <w:lang w:val="en-US"/>
              </w:rPr>
              <w:t xml:space="preserve">A phase </w:t>
            </w:r>
            <w:proofErr w:type="spellStart"/>
            <w:r w:rsidRPr="00E2204B">
              <w:rPr>
                <w:rFonts w:ascii="Times New Roman" w:hAnsi="Times New Roman" w:cs="Times New Roman"/>
                <w:color w:val="1B1B1B"/>
                <w:sz w:val="24"/>
                <w:szCs w:val="24"/>
                <w:lang w:val="en-US"/>
              </w:rPr>
              <w:t>i</w:t>
            </w:r>
            <w:proofErr w:type="spellEnd"/>
            <w:r w:rsidRPr="00E2204B">
              <w:rPr>
                <w:rFonts w:ascii="Times New Roman" w:hAnsi="Times New Roman" w:cs="Times New Roman"/>
                <w:color w:val="1B1B1B"/>
                <w:sz w:val="24"/>
                <w:szCs w:val="24"/>
                <w:lang w:val="en-US"/>
              </w:rPr>
              <w:t>, multi-center, open-label study of oral ABL001 in patients with chronic myelogenous leukemia (CML) or Philadelphia chromosome-positive acute lymphoblastic leukemia (Ph+ ALL) (NCT02081378)*</w:t>
            </w:r>
          </w:p>
          <w:p w14:paraId="7786E2F5"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212121"/>
                <w:sz w:val="24"/>
                <w:szCs w:val="24"/>
                <w:shd w:val="clear" w:color="auto" w:fill="FFFFFF"/>
                <w:lang w:val="en-US"/>
              </w:rPr>
            </w:pPr>
          </w:p>
          <w:p w14:paraId="36933E80" w14:textId="4890D6A2" w:rsidR="00490C31" w:rsidRPr="00E2204B" w:rsidRDefault="00490C31" w:rsidP="00E2204B">
            <w:pPr>
              <w:pStyle w:val="Nagwek1"/>
              <w:spacing w:before="0" w:line="360" w:lineRule="auto"/>
              <w:ind w:right="37"/>
              <w:textAlignment w:val="baseline"/>
              <w:rPr>
                <w:rFonts w:ascii="Times New Roman" w:hAnsi="Times New Roman" w:cs="Times New Roman"/>
                <w:color w:val="1C1D1F"/>
                <w:sz w:val="24"/>
                <w:szCs w:val="24"/>
                <w:lang w:val="en-US"/>
              </w:rPr>
            </w:pPr>
            <w:r w:rsidRPr="00E2204B">
              <w:rPr>
                <w:rFonts w:ascii="Times New Roman" w:hAnsi="Times New Roman" w:cs="Times New Roman"/>
                <w:color w:val="212121"/>
                <w:sz w:val="24"/>
                <w:szCs w:val="24"/>
                <w:shd w:val="clear" w:color="auto" w:fill="FFFFFF"/>
                <w:lang w:val="en-US"/>
              </w:rPr>
              <w:t>(</w:t>
            </w:r>
            <w:r w:rsidRPr="00E2204B">
              <w:rPr>
                <w:rFonts w:ascii="Times New Roman" w:hAnsi="Times New Roman" w:cs="Times New Roman"/>
                <w:color w:val="212121"/>
                <w:sz w:val="24"/>
                <w:szCs w:val="24"/>
                <w:shd w:val="clear" w:color="auto" w:fill="FFFFFF"/>
                <w:lang w:val="nb-NO"/>
              </w:rPr>
              <w:t xml:space="preserve">a </w:t>
            </w:r>
            <w:r w:rsidRPr="00E2204B">
              <w:rPr>
                <w:rFonts w:ascii="Times New Roman" w:hAnsi="Times New Roman" w:cs="Times New Roman"/>
                <w:color w:val="212121"/>
                <w:sz w:val="24"/>
                <w:szCs w:val="24"/>
                <w:shd w:val="clear" w:color="auto" w:fill="FFFFFF"/>
                <w:lang w:val="en-US"/>
              </w:rPr>
              <w:t>dose-escalation study)</w:t>
            </w:r>
          </w:p>
        </w:tc>
        <w:tc>
          <w:tcPr>
            <w:tcW w:w="3536" w:type="dxa"/>
          </w:tcPr>
          <w:p w14:paraId="49D19755" w14:textId="2DCCEF76"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shd w:val="clear" w:color="auto" w:fill="FFFFFF"/>
                <w:lang w:val="en-US"/>
              </w:rPr>
            </w:pPr>
            <w:r w:rsidRPr="00E2204B">
              <w:rPr>
                <w:rFonts w:ascii="Times New Roman" w:hAnsi="Times New Roman" w:cs="Times New Roman"/>
                <w:color w:val="212121"/>
                <w:sz w:val="24"/>
                <w:szCs w:val="24"/>
                <w:shd w:val="clear" w:color="auto" w:fill="FFFFFF"/>
                <w:lang w:val="en-US"/>
              </w:rPr>
              <w:t>141 pts with CP and 9 pts with accelerated-phase CML who had resistance to or unacceptable side effects from at least two previous ATP-competitive tyrosine kinase inhibitors (TKIs)</w:t>
            </w:r>
          </w:p>
        </w:tc>
        <w:tc>
          <w:tcPr>
            <w:tcW w:w="3536" w:type="dxa"/>
          </w:tcPr>
          <w:p w14:paraId="08A761C3" w14:textId="2A0B4A40"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shd w:val="clear" w:color="auto" w:fill="FFFFFF"/>
                <w:lang w:val="en-US"/>
              </w:rPr>
              <w:t xml:space="preserve">The primary objective was to determine the MTD or the recommended dose (or both) of </w:t>
            </w:r>
            <w:proofErr w:type="spellStart"/>
            <w:r w:rsidRPr="00E2204B">
              <w:rPr>
                <w:rFonts w:ascii="Times New Roman" w:hAnsi="Times New Roman" w:cs="Times New Roman"/>
                <w:color w:val="auto"/>
                <w:sz w:val="24"/>
                <w:szCs w:val="24"/>
                <w:shd w:val="clear" w:color="auto" w:fill="FFFFFF"/>
                <w:lang w:val="en-US"/>
              </w:rPr>
              <w:t>asciminib</w:t>
            </w:r>
            <w:proofErr w:type="spellEnd"/>
          </w:p>
        </w:tc>
        <w:tc>
          <w:tcPr>
            <w:tcW w:w="3536" w:type="dxa"/>
          </w:tcPr>
          <w:p w14:paraId="185E2D11" w14:textId="0E2C3E90"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Identification of the MTD</w:t>
            </w:r>
            <w:r w:rsidRPr="00E2204B">
              <w:rPr>
                <w:rFonts w:ascii="Times New Roman" w:hAnsi="Times New Roman" w:cs="Times New Roman"/>
                <w:color w:val="auto"/>
                <w:sz w:val="24"/>
                <w:szCs w:val="24"/>
                <w:lang w:val="nb-NO"/>
              </w:rPr>
              <w:t>,</w:t>
            </w:r>
            <w:r w:rsidRPr="00E2204B">
              <w:rPr>
                <w:rFonts w:ascii="Times New Roman" w:hAnsi="Times New Roman" w:cs="Times New Roman"/>
                <w:color w:val="auto"/>
                <w:sz w:val="24"/>
                <w:szCs w:val="24"/>
                <w:lang w:val="en-US"/>
              </w:rPr>
              <w:t xml:space="preserve"> as well as assessing the safety, pharmacokinetics and efficacy of </w:t>
            </w:r>
            <w:proofErr w:type="spellStart"/>
            <w:r w:rsidRPr="00E2204B">
              <w:rPr>
                <w:rFonts w:ascii="Times New Roman" w:hAnsi="Times New Roman" w:cs="Times New Roman"/>
                <w:color w:val="auto"/>
                <w:sz w:val="24"/>
                <w:szCs w:val="24"/>
                <w:lang w:val="en-US"/>
              </w:rPr>
              <w:t>asciminib</w:t>
            </w:r>
            <w:proofErr w:type="spellEnd"/>
          </w:p>
        </w:tc>
      </w:tr>
      <w:tr w:rsidR="00490C31" w:rsidRPr="00E2204B" w14:paraId="32720C9E" w14:textId="77777777" w:rsidTr="00490C31">
        <w:tc>
          <w:tcPr>
            <w:tcW w:w="3536" w:type="dxa"/>
          </w:tcPr>
          <w:p w14:paraId="27434CBA"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1C1D1F"/>
                <w:sz w:val="24"/>
                <w:szCs w:val="24"/>
                <w:lang w:val="en-US"/>
              </w:rPr>
              <w:lastRenderedPageBreak/>
              <w:t>ASC2ESCALATE: A phase ii, multi-center, open-</w:t>
            </w:r>
            <w:r w:rsidRPr="00E2204B">
              <w:rPr>
                <w:rFonts w:ascii="Times New Roman" w:hAnsi="Times New Roman" w:cs="Times New Roman"/>
                <w:color w:val="auto"/>
                <w:sz w:val="24"/>
                <w:szCs w:val="24"/>
                <w:lang w:val="en-US"/>
              </w:rPr>
              <w:t xml:space="preserve">label, single-arm dose escalation study of </w:t>
            </w:r>
            <w:proofErr w:type="spellStart"/>
            <w:r w:rsidRPr="00E2204B">
              <w:rPr>
                <w:rFonts w:ascii="Times New Roman" w:hAnsi="Times New Roman" w:cs="Times New Roman"/>
                <w:color w:val="auto"/>
                <w:sz w:val="24"/>
                <w:szCs w:val="24"/>
                <w:lang w:val="en-US"/>
              </w:rPr>
              <w:t>asciminib</w:t>
            </w:r>
            <w:proofErr w:type="spellEnd"/>
            <w:r w:rsidRPr="00E2204B">
              <w:rPr>
                <w:rFonts w:ascii="Times New Roman" w:hAnsi="Times New Roman" w:cs="Times New Roman"/>
                <w:color w:val="auto"/>
                <w:sz w:val="24"/>
                <w:szCs w:val="24"/>
                <w:lang w:val="en-US"/>
              </w:rPr>
              <w:t xml:space="preserve"> monotherapy in 2nd line chronic phase chronic myelogenous leukemia (NCT05384587)*</w:t>
            </w:r>
          </w:p>
          <w:p w14:paraId="3AC954E5"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p>
          <w:p w14:paraId="763BE3F1" w14:textId="5BE351E3"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w:t>
            </w:r>
            <w:r w:rsidRPr="00E2204B">
              <w:rPr>
                <w:rFonts w:ascii="Times New Roman" w:hAnsi="Times New Roman" w:cs="Times New Roman"/>
                <w:color w:val="auto"/>
                <w:sz w:val="24"/>
                <w:szCs w:val="24"/>
                <w:lang w:val="nb-NO"/>
              </w:rPr>
              <w:t xml:space="preserve">a </w:t>
            </w:r>
            <w:r w:rsidRPr="00E2204B">
              <w:rPr>
                <w:rFonts w:ascii="Times New Roman" w:hAnsi="Times New Roman" w:cs="Times New Roman"/>
                <w:color w:val="auto"/>
                <w:sz w:val="24"/>
                <w:szCs w:val="24"/>
                <w:lang w:val="en-US"/>
              </w:rPr>
              <w:t>dose escalation study)</w:t>
            </w:r>
          </w:p>
        </w:tc>
        <w:tc>
          <w:tcPr>
            <w:tcW w:w="3536" w:type="dxa"/>
          </w:tcPr>
          <w:p w14:paraId="72A4919A"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shd w:val="clear" w:color="auto" w:fill="FFFFFF"/>
                <w:lang w:val="en-US"/>
              </w:rPr>
              <w:t>Adult</w:t>
            </w:r>
            <w:r w:rsidRPr="00E2204B">
              <w:rPr>
                <w:rFonts w:ascii="Times New Roman" w:hAnsi="Times New Roman" w:cs="Times New Roman"/>
                <w:color w:val="1A1A1A"/>
                <w:sz w:val="24"/>
                <w:szCs w:val="24"/>
                <w:shd w:val="clear" w:color="auto" w:fill="FFFFFF"/>
                <w:lang w:val="en-US"/>
              </w:rPr>
              <w:t xml:space="preserve"> pts (aged ≥18 years) with CML-CP without the T315I mutation who experienced resistance (</w:t>
            </w:r>
            <w:r w:rsidRPr="00E2204B">
              <w:rPr>
                <w:rStyle w:val="Uwydatnienie"/>
                <w:rFonts w:ascii="Times New Roman" w:hAnsi="Times New Roman" w:cs="Times New Roman"/>
                <w:i w:val="0"/>
                <w:iCs w:val="0"/>
                <w:color w:val="1A1A1A"/>
                <w:sz w:val="24"/>
                <w:szCs w:val="24"/>
                <w:shd w:val="clear" w:color="auto" w:fill="FFFFFF"/>
                <w:lang w:val="en-US"/>
              </w:rPr>
              <w:t>BCR::ABL1</w:t>
            </w:r>
            <w:r w:rsidRPr="00E2204B">
              <w:rPr>
                <w:rFonts w:ascii="Times New Roman" w:hAnsi="Times New Roman" w:cs="Times New Roman"/>
                <w:color w:val="1A1A1A"/>
                <w:sz w:val="24"/>
                <w:szCs w:val="24"/>
                <w:shd w:val="clear" w:color="auto" w:fill="FFFFFF"/>
                <w:vertAlign w:val="superscript"/>
                <w:lang w:val="en-US"/>
              </w:rPr>
              <w:t>IS</w:t>
            </w:r>
            <w:r w:rsidRPr="00E2204B">
              <w:rPr>
                <w:rFonts w:ascii="Times New Roman" w:hAnsi="Times New Roman" w:cs="Times New Roman"/>
                <w:color w:val="1A1A1A"/>
                <w:sz w:val="24"/>
                <w:szCs w:val="24"/>
                <w:shd w:val="clear" w:color="auto" w:fill="FFFFFF"/>
                <w:lang w:val="en-US"/>
              </w:rPr>
              <w:t xml:space="preserve"> &gt;1% with 6–12 months of 1L treatment or &gt;10% with &gt;12 months of 1</w:t>
            </w:r>
            <w:r w:rsidRPr="00E2204B">
              <w:rPr>
                <w:rFonts w:ascii="Times New Roman" w:hAnsi="Times New Roman" w:cs="Times New Roman"/>
                <w:color w:val="1A1A1A"/>
                <w:sz w:val="24"/>
                <w:szCs w:val="24"/>
                <w:shd w:val="clear" w:color="auto" w:fill="FFFFFF"/>
                <w:vertAlign w:val="superscript"/>
                <w:lang w:val="en-US"/>
              </w:rPr>
              <w:t>st</w:t>
            </w:r>
            <w:r w:rsidRPr="00E2204B">
              <w:rPr>
                <w:rFonts w:ascii="Times New Roman" w:hAnsi="Times New Roman" w:cs="Times New Roman"/>
                <w:color w:val="1A1A1A"/>
                <w:sz w:val="24"/>
                <w:szCs w:val="24"/>
                <w:shd w:val="clear" w:color="auto" w:fill="FFFFFF"/>
                <w:lang w:val="en-US"/>
              </w:rPr>
              <w:t>-line treatment) or intolerance (</w:t>
            </w:r>
            <w:r w:rsidRPr="00E2204B">
              <w:rPr>
                <w:rStyle w:val="Uwydatnienie"/>
                <w:rFonts w:ascii="Times New Roman" w:hAnsi="Times New Roman" w:cs="Times New Roman"/>
                <w:i w:val="0"/>
                <w:iCs w:val="0"/>
                <w:color w:val="1A1A1A"/>
                <w:sz w:val="24"/>
                <w:szCs w:val="24"/>
                <w:shd w:val="clear" w:color="auto" w:fill="FFFFFF"/>
                <w:lang w:val="en-US"/>
              </w:rPr>
              <w:t>BCR::ABL1</w:t>
            </w:r>
            <w:r w:rsidRPr="00E2204B">
              <w:rPr>
                <w:rFonts w:ascii="Times New Roman" w:hAnsi="Times New Roman" w:cs="Times New Roman"/>
                <w:color w:val="1A1A1A"/>
                <w:sz w:val="24"/>
                <w:szCs w:val="24"/>
                <w:shd w:val="clear" w:color="auto" w:fill="FFFFFF"/>
                <w:vertAlign w:val="superscript"/>
                <w:lang w:val="en-US"/>
              </w:rPr>
              <w:t>IS</w:t>
            </w:r>
            <w:r w:rsidRPr="00E2204B">
              <w:rPr>
                <w:rFonts w:ascii="Times New Roman" w:hAnsi="Times New Roman" w:cs="Times New Roman"/>
                <w:color w:val="1A1A1A"/>
                <w:sz w:val="24"/>
                <w:szCs w:val="24"/>
                <w:shd w:val="clear" w:color="auto" w:fill="FFFFFF"/>
                <w:lang w:val="en-US"/>
              </w:rPr>
              <w:t xml:space="preserve"> &gt;0.1%) with ≥6 months of treatment with 1 prior ATP-competitive TKI are eligible. All pts will initiate treatment with </w:t>
            </w:r>
            <w:proofErr w:type="spellStart"/>
            <w:r w:rsidRPr="00E2204B">
              <w:rPr>
                <w:rFonts w:ascii="Times New Roman" w:hAnsi="Times New Roman" w:cs="Times New Roman"/>
                <w:color w:val="1A1A1A"/>
                <w:sz w:val="24"/>
                <w:szCs w:val="24"/>
                <w:shd w:val="clear" w:color="auto" w:fill="FFFFFF"/>
                <w:lang w:val="en-US"/>
              </w:rPr>
              <w:t>asciminib</w:t>
            </w:r>
            <w:proofErr w:type="spellEnd"/>
            <w:r w:rsidRPr="00E2204B">
              <w:rPr>
                <w:rFonts w:ascii="Times New Roman" w:hAnsi="Times New Roman" w:cs="Times New Roman"/>
                <w:color w:val="1A1A1A"/>
                <w:sz w:val="24"/>
                <w:szCs w:val="24"/>
                <w:shd w:val="clear" w:color="auto" w:fill="FFFFFF"/>
                <w:lang w:val="en-US"/>
              </w:rPr>
              <w:t xml:space="preserve"> 80 mg once a day. For pts not achieving </w:t>
            </w:r>
            <w:r w:rsidRPr="00E2204B">
              <w:rPr>
                <w:rStyle w:val="Uwydatnienie"/>
                <w:rFonts w:ascii="Times New Roman" w:hAnsi="Times New Roman" w:cs="Times New Roman"/>
                <w:i w:val="0"/>
                <w:iCs w:val="0"/>
                <w:color w:val="1A1A1A"/>
                <w:sz w:val="24"/>
                <w:szCs w:val="24"/>
                <w:shd w:val="clear" w:color="auto" w:fill="FFFFFF"/>
                <w:lang w:val="en-US"/>
              </w:rPr>
              <w:t>BCR::ABL1</w:t>
            </w:r>
            <w:r w:rsidRPr="00E2204B">
              <w:rPr>
                <w:rFonts w:ascii="Times New Roman" w:hAnsi="Times New Roman" w:cs="Times New Roman"/>
                <w:color w:val="1A1A1A"/>
                <w:sz w:val="24"/>
                <w:szCs w:val="24"/>
                <w:shd w:val="clear" w:color="auto" w:fill="FFFFFF"/>
                <w:vertAlign w:val="superscript"/>
                <w:lang w:val="en-US"/>
              </w:rPr>
              <w:t>IS</w:t>
            </w:r>
            <w:r w:rsidRPr="00E2204B">
              <w:rPr>
                <w:rFonts w:ascii="Times New Roman" w:hAnsi="Times New Roman" w:cs="Times New Roman"/>
                <w:color w:val="1A1A1A"/>
                <w:sz w:val="24"/>
                <w:szCs w:val="24"/>
                <w:shd w:val="clear" w:color="auto" w:fill="FFFFFF"/>
                <w:lang w:val="en-US"/>
              </w:rPr>
              <w:t xml:space="preserve"> &lt;1% at 6 months, dose will be escalated to 200 mg once a day if pts do not have grade ≥3 toxicity or persistent grade 2 toxicity refractory to optimal management. In pts not achieving MMR at 12 months, either dose </w:t>
            </w:r>
            <w:r w:rsidRPr="00E2204B">
              <w:rPr>
                <w:rFonts w:ascii="Times New Roman" w:hAnsi="Times New Roman" w:cs="Times New Roman"/>
                <w:color w:val="auto"/>
                <w:sz w:val="24"/>
                <w:szCs w:val="24"/>
                <w:shd w:val="clear" w:color="auto" w:fill="FFFFFF"/>
                <w:lang w:val="en-US"/>
              </w:rPr>
              <w:lastRenderedPageBreak/>
              <w:t xml:space="preserve">escalation from 80 to 200 mg once a day or from 200 mg </w:t>
            </w:r>
            <w:r w:rsidRPr="00E2204B">
              <w:rPr>
                <w:rFonts w:ascii="Times New Roman" w:hAnsi="Times New Roman" w:cs="Times New Roman"/>
                <w:color w:val="auto"/>
                <w:sz w:val="24"/>
                <w:szCs w:val="24"/>
                <w:shd w:val="clear" w:color="auto" w:fill="FFFFFF"/>
                <w:lang w:val="en-US"/>
              </w:rPr>
              <w:t>once a day</w:t>
            </w:r>
            <w:r w:rsidRPr="00E2204B">
              <w:rPr>
                <w:rFonts w:ascii="Times New Roman" w:hAnsi="Times New Roman" w:cs="Times New Roman"/>
                <w:color w:val="auto"/>
                <w:sz w:val="24"/>
                <w:szCs w:val="24"/>
                <w:shd w:val="clear" w:color="auto" w:fill="FFFFFF"/>
                <w:lang w:val="en-US"/>
              </w:rPr>
              <w:t xml:space="preserve"> to 200 mg twice a day will occur or the pts will discontinue study treatment. Pts who achieve MMR at 12 months will continue </w:t>
            </w:r>
            <w:proofErr w:type="spellStart"/>
            <w:r w:rsidRPr="00E2204B">
              <w:rPr>
                <w:rFonts w:ascii="Times New Roman" w:hAnsi="Times New Roman" w:cs="Times New Roman"/>
                <w:color w:val="auto"/>
                <w:sz w:val="24"/>
                <w:szCs w:val="24"/>
                <w:shd w:val="clear" w:color="auto" w:fill="FFFFFF"/>
                <w:lang w:val="en-US"/>
              </w:rPr>
              <w:t>asciminib</w:t>
            </w:r>
            <w:proofErr w:type="spellEnd"/>
            <w:r w:rsidRPr="00E2204B">
              <w:rPr>
                <w:rFonts w:ascii="Times New Roman" w:hAnsi="Times New Roman" w:cs="Times New Roman"/>
                <w:color w:val="auto"/>
                <w:sz w:val="24"/>
                <w:szCs w:val="24"/>
                <w:shd w:val="clear" w:color="auto" w:fill="FFFFFF"/>
                <w:lang w:val="en-US"/>
              </w:rPr>
              <w:t xml:space="preserve"> at their current dose. Pts deriving clinical benefit from </w:t>
            </w:r>
            <w:proofErr w:type="spellStart"/>
            <w:r w:rsidRPr="00E2204B">
              <w:rPr>
                <w:rFonts w:ascii="Times New Roman" w:hAnsi="Times New Roman" w:cs="Times New Roman"/>
                <w:color w:val="auto"/>
                <w:sz w:val="24"/>
                <w:szCs w:val="24"/>
                <w:shd w:val="clear" w:color="auto" w:fill="FFFFFF"/>
                <w:lang w:val="en-US"/>
              </w:rPr>
              <w:t>asciminib</w:t>
            </w:r>
            <w:proofErr w:type="spellEnd"/>
            <w:r w:rsidRPr="00E2204B">
              <w:rPr>
                <w:rFonts w:ascii="Times New Roman" w:hAnsi="Times New Roman" w:cs="Times New Roman"/>
                <w:color w:val="auto"/>
                <w:sz w:val="24"/>
                <w:szCs w:val="24"/>
                <w:shd w:val="clear" w:color="auto" w:fill="FFFFFF"/>
                <w:lang w:val="en-US"/>
              </w:rPr>
              <w:t xml:space="preserve"> per investigator assessment may receive post-trial access</w:t>
            </w:r>
          </w:p>
        </w:tc>
        <w:tc>
          <w:tcPr>
            <w:tcW w:w="3536" w:type="dxa"/>
          </w:tcPr>
          <w:p w14:paraId="192337B5"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lastRenderedPageBreak/>
              <w:t>Percentage of participants who MMR (time frame: baseline up to 12 months)</w:t>
            </w:r>
          </w:p>
          <w:p w14:paraId="280F22BE"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p>
          <w:p w14:paraId="7DD23A4D" w14:textId="77777777" w:rsidR="00A84F06"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Secondary endpoints include</w:t>
            </w:r>
            <w:r w:rsidR="00A84F06" w:rsidRPr="00E2204B">
              <w:rPr>
                <w:rFonts w:ascii="Times New Roman" w:hAnsi="Times New Roman" w:cs="Times New Roman"/>
                <w:color w:val="auto"/>
                <w:sz w:val="24"/>
                <w:szCs w:val="24"/>
                <w:lang w:val="en-US"/>
              </w:rPr>
              <w:t>:</w:t>
            </w:r>
          </w:p>
          <w:p w14:paraId="7BA5E2A0" w14:textId="77777777" w:rsidR="00A84F06" w:rsidRPr="00E2204B" w:rsidRDefault="00490C31" w:rsidP="00E2204B">
            <w:pPr>
              <w:pStyle w:val="Nagwek1"/>
              <w:numPr>
                <w:ilvl w:val="0"/>
                <w:numId w:val="4"/>
              </w:numPr>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MMR rates by 3, 6, 18, and 24 months</w:t>
            </w:r>
          </w:p>
          <w:p w14:paraId="20A87897" w14:textId="77777777" w:rsidR="00A84F06" w:rsidRPr="00E2204B" w:rsidRDefault="00490C31" w:rsidP="00E2204B">
            <w:pPr>
              <w:pStyle w:val="Nagwek1"/>
              <w:numPr>
                <w:ilvl w:val="0"/>
                <w:numId w:val="4"/>
              </w:numPr>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MR</w:t>
            </w:r>
            <w:r w:rsidRPr="00E2204B">
              <w:rPr>
                <w:rFonts w:ascii="Times New Roman" w:hAnsi="Times New Roman" w:cs="Times New Roman"/>
                <w:color w:val="auto"/>
                <w:sz w:val="24"/>
                <w:szCs w:val="24"/>
                <w:vertAlign w:val="superscript"/>
                <w:lang w:val="en-US"/>
              </w:rPr>
              <w:t>4.5</w:t>
            </w:r>
            <w:r w:rsidRPr="00E2204B">
              <w:rPr>
                <w:rFonts w:ascii="Times New Roman" w:hAnsi="Times New Roman" w:cs="Times New Roman"/>
                <w:color w:val="auto"/>
                <w:sz w:val="24"/>
                <w:szCs w:val="24"/>
                <w:lang w:val="en-US"/>
              </w:rPr>
              <w:t xml:space="preserve"> (BCR::ABL1</w:t>
            </w:r>
            <w:r w:rsidRPr="00E2204B">
              <w:rPr>
                <w:rFonts w:ascii="Times New Roman" w:hAnsi="Times New Roman" w:cs="Times New Roman"/>
                <w:color w:val="auto"/>
                <w:sz w:val="24"/>
                <w:szCs w:val="24"/>
                <w:vertAlign w:val="superscript"/>
                <w:lang w:val="en-US"/>
              </w:rPr>
              <w:t>IS</w:t>
            </w:r>
            <w:r w:rsidRPr="00E2204B">
              <w:rPr>
                <w:rFonts w:ascii="Times New Roman" w:hAnsi="Times New Roman" w:cs="Times New Roman"/>
                <w:color w:val="auto"/>
                <w:sz w:val="24"/>
                <w:szCs w:val="24"/>
                <w:lang w:val="en-US"/>
              </w:rPr>
              <w:t xml:space="preserve"> ≤0.0032%) at 24 months</w:t>
            </w:r>
          </w:p>
          <w:p w14:paraId="0F6FE79E" w14:textId="77777777" w:rsidR="00A84F06" w:rsidRPr="00E2204B" w:rsidRDefault="00490C31" w:rsidP="00E2204B">
            <w:pPr>
              <w:pStyle w:val="Nagwek1"/>
              <w:numPr>
                <w:ilvl w:val="0"/>
                <w:numId w:val="4"/>
              </w:numPr>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time to and duration of MMR</w:t>
            </w:r>
          </w:p>
          <w:p w14:paraId="2E72C74B" w14:textId="5E5F7748" w:rsidR="00490C31" w:rsidRPr="00E2204B" w:rsidRDefault="00490C31" w:rsidP="00E2204B">
            <w:pPr>
              <w:pStyle w:val="Nagwek1"/>
              <w:numPr>
                <w:ilvl w:val="0"/>
                <w:numId w:val="4"/>
              </w:numPr>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time to treatment failure; and safety/tolerability</w:t>
            </w:r>
          </w:p>
        </w:tc>
        <w:tc>
          <w:tcPr>
            <w:tcW w:w="3536" w:type="dxa"/>
          </w:tcPr>
          <w:p w14:paraId="045455F3" w14:textId="77777777" w:rsidR="00490C31" w:rsidRPr="00E2204B" w:rsidRDefault="00490C31" w:rsidP="00E2204B">
            <w:pPr>
              <w:pStyle w:val="Nagwek1"/>
              <w:spacing w:before="0" w:line="360" w:lineRule="auto"/>
              <w:ind w:right="37"/>
              <w:textAlignment w:val="baseline"/>
              <w:rPr>
                <w:rFonts w:ascii="Times New Roman" w:hAnsi="Times New Roman" w:cs="Times New Roman"/>
                <w:color w:val="auto"/>
                <w:sz w:val="24"/>
                <w:szCs w:val="24"/>
                <w:lang w:val="en-US"/>
              </w:rPr>
            </w:pPr>
            <w:r w:rsidRPr="00E2204B">
              <w:rPr>
                <w:rFonts w:ascii="Times New Roman" w:hAnsi="Times New Roman" w:cs="Times New Roman"/>
                <w:color w:val="auto"/>
                <w:sz w:val="24"/>
                <w:szCs w:val="24"/>
                <w:lang w:val="en-US"/>
              </w:rPr>
              <w:t>Ongoing trial (data not published yet</w:t>
            </w:r>
            <w:r w:rsidRPr="00E2204B">
              <w:rPr>
                <w:rFonts w:ascii="Times New Roman" w:hAnsi="Times New Roman" w:cs="Times New Roman"/>
                <w:color w:val="auto"/>
                <w:sz w:val="24"/>
                <w:szCs w:val="24"/>
                <w:lang w:val="nb-NO"/>
              </w:rPr>
              <w:t>)</w:t>
            </w:r>
          </w:p>
        </w:tc>
      </w:tr>
      <w:tr w:rsidR="00A84F06" w:rsidRPr="00E2204B" w14:paraId="0C0987CA" w14:textId="77777777" w:rsidTr="00490C31">
        <w:tc>
          <w:tcPr>
            <w:tcW w:w="3536" w:type="dxa"/>
          </w:tcPr>
          <w:p w14:paraId="5BAA26D2" w14:textId="26ECD549" w:rsidR="00A84F06" w:rsidRPr="00E2204B" w:rsidRDefault="00A84F06" w:rsidP="00E2204B">
            <w:pPr>
              <w:pStyle w:val="Nagwek1"/>
              <w:spacing w:before="0" w:line="360" w:lineRule="auto"/>
              <w:ind w:right="37"/>
              <w:textAlignment w:val="baseline"/>
              <w:rPr>
                <w:rFonts w:ascii="Times New Roman" w:hAnsi="Times New Roman" w:cs="Times New Roman"/>
                <w:color w:val="000000"/>
                <w:sz w:val="24"/>
                <w:szCs w:val="24"/>
                <w:lang w:val="en-US"/>
              </w:rPr>
            </w:pPr>
            <w:r w:rsidRPr="00E2204B">
              <w:rPr>
                <w:rFonts w:ascii="Times New Roman" w:hAnsi="Times New Roman" w:cs="Times New Roman"/>
                <w:color w:val="000000"/>
                <w:sz w:val="24"/>
                <w:szCs w:val="24"/>
                <w:lang w:val="en-US"/>
              </w:rPr>
              <w:lastRenderedPageBreak/>
              <w:t xml:space="preserve">A </w:t>
            </w:r>
            <w:r w:rsidRPr="00E2204B">
              <w:rPr>
                <w:rFonts w:ascii="Times New Roman" w:hAnsi="Times New Roman" w:cs="Times New Roman"/>
                <w:color w:val="000000"/>
                <w:sz w:val="24"/>
                <w:szCs w:val="24"/>
                <w:lang w:val="en-US"/>
              </w:rPr>
              <w:t xml:space="preserve">phase III, multi-center, open-label, randomized study of oral abl001 versus bosutinib in patients with chronic myelogenous leukemia in chronic phase </w:t>
            </w:r>
            <w:r w:rsidRPr="00E2204B">
              <w:rPr>
                <w:rFonts w:ascii="Times New Roman" w:hAnsi="Times New Roman" w:cs="Times New Roman"/>
                <w:color w:val="000000"/>
                <w:sz w:val="24"/>
                <w:szCs w:val="24"/>
                <w:lang w:val="en-US"/>
              </w:rPr>
              <w:t xml:space="preserve">(CML-CP), Previously </w:t>
            </w:r>
            <w:r w:rsidRPr="00E2204B">
              <w:rPr>
                <w:rFonts w:ascii="Times New Roman" w:hAnsi="Times New Roman" w:cs="Times New Roman"/>
                <w:color w:val="000000"/>
                <w:sz w:val="24"/>
                <w:szCs w:val="24"/>
                <w:lang w:val="en-US"/>
              </w:rPr>
              <w:t>treated with two or more tyrosine kinase inhibitors</w:t>
            </w:r>
          </w:p>
          <w:p w14:paraId="7FAF9BA3" w14:textId="77777777" w:rsidR="00A84F06" w:rsidRPr="00E2204B" w:rsidRDefault="00A84F06" w:rsidP="00E2204B">
            <w:pPr>
              <w:pStyle w:val="Nagwek1"/>
              <w:spacing w:before="0" w:line="360" w:lineRule="auto"/>
              <w:ind w:right="37"/>
              <w:textAlignment w:val="baseline"/>
              <w:rPr>
                <w:rFonts w:ascii="Times New Roman" w:hAnsi="Times New Roman" w:cs="Times New Roman"/>
                <w:color w:val="000000"/>
                <w:sz w:val="24"/>
                <w:szCs w:val="24"/>
                <w:lang w:val="en-US"/>
              </w:rPr>
            </w:pPr>
          </w:p>
          <w:p w14:paraId="5334ACB0" w14:textId="29A024C6" w:rsidR="00A84F06" w:rsidRPr="00E2204B" w:rsidRDefault="00A84F06" w:rsidP="00E2204B">
            <w:pPr>
              <w:pStyle w:val="Nagwek1"/>
              <w:spacing w:before="0" w:line="360" w:lineRule="auto"/>
              <w:ind w:right="37"/>
              <w:textAlignment w:val="baseline"/>
              <w:rPr>
                <w:rFonts w:ascii="Times New Roman" w:hAnsi="Times New Roman" w:cs="Times New Roman"/>
                <w:color w:val="1C1D1F"/>
                <w:sz w:val="24"/>
                <w:szCs w:val="24"/>
                <w:lang w:val="en-US"/>
              </w:rPr>
            </w:pPr>
            <w:r w:rsidRPr="00E2204B">
              <w:rPr>
                <w:rFonts w:ascii="Times New Roman" w:hAnsi="Times New Roman" w:cs="Times New Roman"/>
                <w:color w:val="212121"/>
                <w:sz w:val="24"/>
                <w:szCs w:val="24"/>
                <w:lang w:val="en-US"/>
              </w:rPr>
              <w:t xml:space="preserve">(ASCEMBL, </w:t>
            </w:r>
            <w:r w:rsidRPr="00E2204B">
              <w:rPr>
                <w:rFonts w:ascii="Times New Roman" w:hAnsi="Times New Roman" w:cs="Times New Roman"/>
                <w:color w:val="1A1A1A"/>
                <w:sz w:val="24"/>
                <w:szCs w:val="24"/>
                <w:shd w:val="clear" w:color="auto" w:fill="FFFFFF"/>
                <w:lang w:val="en-US"/>
              </w:rPr>
              <w:t>NCT03106779)*</w:t>
            </w:r>
          </w:p>
        </w:tc>
        <w:tc>
          <w:tcPr>
            <w:tcW w:w="3536" w:type="dxa"/>
          </w:tcPr>
          <w:p w14:paraId="30C4609E" w14:textId="77777777" w:rsidR="00A84F06" w:rsidRPr="00E2204B" w:rsidRDefault="00A84F06" w:rsidP="00E2204B">
            <w:pPr>
              <w:pStyle w:val="Nagwek1"/>
              <w:spacing w:before="0" w:line="360" w:lineRule="auto"/>
              <w:ind w:right="37"/>
              <w:textAlignment w:val="baseline"/>
              <w:rPr>
                <w:rFonts w:ascii="Times New Roman" w:hAnsi="Times New Roman" w:cs="Times New Roman"/>
                <w:color w:val="212121"/>
                <w:sz w:val="24"/>
                <w:szCs w:val="24"/>
                <w:shd w:val="clear" w:color="auto" w:fill="FFFFFF"/>
                <w:lang w:val="en-US"/>
              </w:rPr>
            </w:pPr>
            <w:r w:rsidRPr="00E2204B">
              <w:rPr>
                <w:rFonts w:ascii="Times New Roman" w:hAnsi="Times New Roman" w:cs="Times New Roman"/>
                <w:color w:val="212121"/>
                <w:sz w:val="24"/>
                <w:szCs w:val="24"/>
                <w:shd w:val="clear" w:color="auto" w:fill="FFFFFF"/>
                <w:lang w:val="en-US"/>
              </w:rPr>
              <w:t xml:space="preserve">Pts with CML-CP previously treated with ≥2 TKIs randomized (2:1) to receive third-line </w:t>
            </w:r>
            <w:proofErr w:type="spellStart"/>
            <w:r w:rsidRPr="00E2204B">
              <w:rPr>
                <w:rFonts w:ascii="Times New Roman" w:hAnsi="Times New Roman" w:cs="Times New Roman"/>
                <w:color w:val="212121"/>
                <w:sz w:val="24"/>
                <w:szCs w:val="24"/>
                <w:shd w:val="clear" w:color="auto" w:fill="FFFFFF"/>
                <w:lang w:val="en-US"/>
              </w:rPr>
              <w:t>asciminib</w:t>
            </w:r>
            <w:proofErr w:type="spellEnd"/>
            <w:r w:rsidRPr="00E2204B">
              <w:rPr>
                <w:rFonts w:ascii="Times New Roman" w:hAnsi="Times New Roman" w:cs="Times New Roman"/>
                <w:color w:val="212121"/>
                <w:sz w:val="24"/>
                <w:szCs w:val="24"/>
                <w:shd w:val="clear" w:color="auto" w:fill="FFFFFF"/>
                <w:lang w:val="en-US"/>
              </w:rPr>
              <w:t xml:space="preserve"> 40 mg </w:t>
            </w:r>
            <w:r w:rsidRPr="00E2204B">
              <w:rPr>
                <w:rFonts w:ascii="Times New Roman" w:hAnsi="Times New Roman" w:cs="Times New Roman"/>
                <w:color w:val="212121"/>
                <w:sz w:val="24"/>
                <w:szCs w:val="24"/>
                <w:shd w:val="clear" w:color="auto" w:fill="FFFFFF"/>
                <w:lang w:val="en-US"/>
              </w:rPr>
              <w:t>twice a day</w:t>
            </w:r>
            <w:r w:rsidRPr="00E2204B">
              <w:rPr>
                <w:rFonts w:ascii="Times New Roman" w:hAnsi="Times New Roman" w:cs="Times New Roman"/>
                <w:color w:val="212121"/>
                <w:sz w:val="24"/>
                <w:szCs w:val="24"/>
                <w:shd w:val="clear" w:color="auto" w:fill="FFFFFF"/>
                <w:lang w:val="en-US"/>
              </w:rPr>
              <w:t xml:space="preserve"> vs. bosutinib 500 mg </w:t>
            </w:r>
            <w:r w:rsidRPr="00E2204B">
              <w:rPr>
                <w:rFonts w:ascii="Times New Roman" w:hAnsi="Times New Roman" w:cs="Times New Roman"/>
                <w:color w:val="212121"/>
                <w:sz w:val="24"/>
                <w:szCs w:val="24"/>
                <w:shd w:val="clear" w:color="auto" w:fill="FFFFFF"/>
                <w:lang w:val="en-US"/>
              </w:rPr>
              <w:t>once a day</w:t>
            </w:r>
          </w:p>
          <w:p w14:paraId="45388614" w14:textId="77777777" w:rsidR="00A84F06" w:rsidRPr="00E2204B" w:rsidRDefault="00A84F06" w:rsidP="00E2204B">
            <w:pPr>
              <w:pStyle w:val="Nagwek1"/>
              <w:spacing w:before="0" w:line="360" w:lineRule="auto"/>
              <w:ind w:right="37"/>
              <w:textAlignment w:val="baseline"/>
              <w:rPr>
                <w:rFonts w:ascii="Times New Roman" w:hAnsi="Times New Roman" w:cs="Times New Roman"/>
                <w:color w:val="212121"/>
                <w:sz w:val="24"/>
                <w:szCs w:val="24"/>
                <w:shd w:val="clear" w:color="auto" w:fill="FFFFFF"/>
                <w:lang w:val="en-US"/>
              </w:rPr>
            </w:pPr>
          </w:p>
          <w:p w14:paraId="26D1B87A" w14:textId="78BB51A8" w:rsidR="00A84F06" w:rsidRPr="00E2204B" w:rsidRDefault="00A84F06" w:rsidP="00E2204B">
            <w:pPr>
              <w:pStyle w:val="Nagwek1"/>
              <w:spacing w:before="0" w:line="360" w:lineRule="auto"/>
              <w:ind w:right="37"/>
              <w:textAlignment w:val="baseline"/>
              <w:rPr>
                <w:rFonts w:ascii="Times New Roman" w:hAnsi="Times New Roman" w:cs="Times New Roman"/>
                <w:color w:val="auto"/>
                <w:sz w:val="24"/>
                <w:szCs w:val="24"/>
                <w:shd w:val="clear" w:color="auto" w:fill="FFFFFF"/>
                <w:lang w:val="en-US"/>
              </w:rPr>
            </w:pPr>
            <w:r w:rsidRPr="00E2204B">
              <w:rPr>
                <w:rFonts w:ascii="Times New Roman" w:hAnsi="Times New Roman" w:cs="Times New Roman"/>
                <w:color w:val="212121"/>
                <w:sz w:val="24"/>
                <w:szCs w:val="24"/>
                <w:shd w:val="clear" w:color="auto" w:fill="FFFFFF"/>
                <w:lang w:val="en-US"/>
              </w:rPr>
              <w:t xml:space="preserve">Randomization was stratified by </w:t>
            </w:r>
            <w:proofErr w:type="spellStart"/>
            <w:r w:rsidRPr="00E2204B">
              <w:rPr>
                <w:rFonts w:ascii="Times New Roman" w:hAnsi="Times New Roman" w:cs="Times New Roman"/>
                <w:color w:val="212121"/>
                <w:sz w:val="24"/>
                <w:szCs w:val="24"/>
                <w:shd w:val="clear" w:color="auto" w:fill="FFFFFF"/>
                <w:lang w:val="en-US"/>
              </w:rPr>
              <w:t>MCyR</w:t>
            </w:r>
            <w:proofErr w:type="spellEnd"/>
            <w:r w:rsidRPr="00E2204B">
              <w:rPr>
                <w:rFonts w:ascii="Times New Roman" w:hAnsi="Times New Roman" w:cs="Times New Roman"/>
                <w:color w:val="212121"/>
                <w:sz w:val="24"/>
                <w:szCs w:val="24"/>
                <w:shd w:val="clear" w:color="auto" w:fill="FFFFFF"/>
                <w:lang w:val="en-US"/>
              </w:rPr>
              <w:t xml:space="preserve"> status at baseline. Pts with documented treatment failure (specifically meeting the lack of efficacy criteria adapted from the 2013 ELN recommendations) while on bosutinib treatment were offered the option to switch to </w:t>
            </w:r>
            <w:proofErr w:type="spellStart"/>
            <w:r w:rsidRPr="00E2204B">
              <w:rPr>
                <w:rFonts w:ascii="Times New Roman" w:hAnsi="Times New Roman" w:cs="Times New Roman"/>
                <w:color w:val="212121"/>
                <w:sz w:val="24"/>
                <w:szCs w:val="24"/>
                <w:shd w:val="clear" w:color="auto" w:fill="FFFFFF"/>
                <w:lang w:val="en-US"/>
              </w:rPr>
              <w:t>asciminib</w:t>
            </w:r>
            <w:proofErr w:type="spellEnd"/>
            <w:r w:rsidRPr="00E2204B">
              <w:rPr>
                <w:rFonts w:ascii="Times New Roman" w:hAnsi="Times New Roman" w:cs="Times New Roman"/>
                <w:color w:val="212121"/>
                <w:sz w:val="24"/>
                <w:szCs w:val="24"/>
                <w:shd w:val="clear" w:color="auto" w:fill="FFFFFF"/>
                <w:lang w:val="en-US"/>
              </w:rPr>
              <w:t xml:space="preserve"> treatment within 96 weeks after the last pt was randomized to the study</w:t>
            </w:r>
          </w:p>
        </w:tc>
        <w:tc>
          <w:tcPr>
            <w:tcW w:w="3536" w:type="dxa"/>
          </w:tcPr>
          <w:p w14:paraId="569EE04F" w14:textId="3D1CBFE3" w:rsidR="00A84F06" w:rsidRPr="00E2204B" w:rsidRDefault="00A84F06" w:rsidP="00E2204B">
            <w:pPr>
              <w:pStyle w:val="Nagwek1"/>
              <w:spacing w:before="0" w:line="360" w:lineRule="auto"/>
              <w:ind w:right="37"/>
              <w:textAlignment w:val="baseline"/>
              <w:rPr>
                <w:rFonts w:ascii="Times New Roman" w:hAnsi="Times New Roman" w:cs="Times New Roman"/>
                <w:color w:val="000000" w:themeColor="text1"/>
                <w:sz w:val="24"/>
                <w:szCs w:val="24"/>
                <w:lang w:val="en-US"/>
              </w:rPr>
            </w:pPr>
            <w:r w:rsidRPr="00E2204B">
              <w:rPr>
                <w:rFonts w:ascii="Times New Roman" w:hAnsi="Times New Roman" w:cs="Times New Roman"/>
                <w:color w:val="000000" w:themeColor="text1"/>
                <w:sz w:val="24"/>
                <w:szCs w:val="24"/>
                <w:lang w:val="en-US"/>
              </w:rPr>
              <w:t>Number of participants with MMR rate at 24 and 96 weeks</w:t>
            </w:r>
          </w:p>
        </w:tc>
        <w:tc>
          <w:tcPr>
            <w:tcW w:w="3536" w:type="dxa"/>
          </w:tcPr>
          <w:p w14:paraId="35AD37DB" w14:textId="77777777" w:rsidR="008F0A1D" w:rsidRPr="00E2204B" w:rsidRDefault="008F0A1D" w:rsidP="00E2204B">
            <w:pPr>
              <w:pStyle w:val="Nagwek1"/>
              <w:spacing w:before="0" w:line="360" w:lineRule="auto"/>
              <w:ind w:right="37"/>
              <w:textAlignment w:val="baseline"/>
              <w:rPr>
                <w:rFonts w:ascii="Times New Roman" w:hAnsi="Times New Roman" w:cs="Times New Roman"/>
                <w:color w:val="000000" w:themeColor="text1"/>
                <w:sz w:val="24"/>
                <w:szCs w:val="24"/>
                <w:lang w:val="en-US"/>
              </w:rPr>
            </w:pPr>
            <w:r w:rsidRPr="00E2204B">
              <w:rPr>
                <w:rFonts w:ascii="Times New Roman" w:hAnsi="Times New Roman" w:cs="Times New Roman"/>
                <w:color w:val="000000" w:themeColor="text1"/>
                <w:sz w:val="24"/>
                <w:szCs w:val="24"/>
                <w:lang w:val="en-US"/>
              </w:rPr>
              <w:t>MMR rate:</w:t>
            </w:r>
          </w:p>
          <w:p w14:paraId="37A22290" w14:textId="77777777" w:rsidR="008F0A1D" w:rsidRPr="00E2204B" w:rsidRDefault="008F0A1D" w:rsidP="00E2204B">
            <w:pPr>
              <w:pStyle w:val="Nagwek1"/>
              <w:numPr>
                <w:ilvl w:val="0"/>
                <w:numId w:val="5"/>
              </w:numPr>
              <w:spacing w:before="0" w:line="360" w:lineRule="auto"/>
              <w:ind w:right="37"/>
              <w:textAlignment w:val="baseline"/>
              <w:rPr>
                <w:rFonts w:ascii="Times New Roman" w:hAnsi="Times New Roman" w:cs="Times New Roman"/>
                <w:color w:val="000000" w:themeColor="text1"/>
                <w:sz w:val="24"/>
                <w:szCs w:val="24"/>
                <w:lang w:val="en-US"/>
              </w:rPr>
            </w:pPr>
            <w:r w:rsidRPr="00E2204B">
              <w:rPr>
                <w:rFonts w:ascii="Times New Roman" w:hAnsi="Times New Roman" w:cs="Times New Roman"/>
                <w:color w:val="000000" w:themeColor="text1"/>
                <w:sz w:val="24"/>
                <w:szCs w:val="24"/>
                <w:lang w:val="en-US"/>
              </w:rPr>
              <w:t>a</w:t>
            </w:r>
            <w:r w:rsidRPr="00E2204B">
              <w:rPr>
                <w:rFonts w:ascii="Times New Roman" w:hAnsi="Times New Roman" w:cs="Times New Roman"/>
                <w:color w:val="000000" w:themeColor="text1"/>
                <w:sz w:val="24"/>
                <w:szCs w:val="24"/>
                <w:lang w:val="en-US"/>
              </w:rPr>
              <w:t>t 24 weeks: 25.5% vs. 13.2% (bosutinib)</w:t>
            </w:r>
          </w:p>
          <w:p w14:paraId="28101530" w14:textId="4FF68CDE" w:rsidR="00A84F06" w:rsidRPr="00E2204B" w:rsidRDefault="008F0A1D" w:rsidP="00E2204B">
            <w:pPr>
              <w:pStyle w:val="Nagwek1"/>
              <w:numPr>
                <w:ilvl w:val="0"/>
                <w:numId w:val="5"/>
              </w:numPr>
              <w:spacing w:before="0" w:line="360" w:lineRule="auto"/>
              <w:ind w:right="37"/>
              <w:textAlignment w:val="baseline"/>
              <w:rPr>
                <w:rFonts w:ascii="Times New Roman" w:hAnsi="Times New Roman" w:cs="Times New Roman"/>
                <w:color w:val="000000" w:themeColor="text1"/>
                <w:sz w:val="24"/>
                <w:szCs w:val="24"/>
                <w:lang w:val="en-US"/>
              </w:rPr>
            </w:pPr>
            <w:r w:rsidRPr="00E2204B">
              <w:rPr>
                <w:rFonts w:ascii="Times New Roman" w:hAnsi="Times New Roman" w:cs="Times New Roman"/>
                <w:color w:val="000000" w:themeColor="text1"/>
                <w:sz w:val="24"/>
                <w:szCs w:val="24"/>
                <w:lang w:val="en-US"/>
              </w:rPr>
              <w:t>a</w:t>
            </w:r>
            <w:r w:rsidRPr="00E2204B">
              <w:rPr>
                <w:rFonts w:ascii="Times New Roman" w:hAnsi="Times New Roman" w:cs="Times New Roman"/>
                <w:color w:val="000000" w:themeColor="text1"/>
                <w:sz w:val="24"/>
                <w:szCs w:val="24"/>
                <w:lang w:val="en-US"/>
              </w:rPr>
              <w:t>t 96 weeks: 37.6% vs. 15.8% (bosutinib)</w:t>
            </w:r>
          </w:p>
        </w:tc>
      </w:tr>
      <w:tr w:rsidR="008F0A1D" w:rsidRPr="00E2204B" w14:paraId="01E8D509" w14:textId="77777777" w:rsidTr="00490C31">
        <w:tc>
          <w:tcPr>
            <w:tcW w:w="3536" w:type="dxa"/>
          </w:tcPr>
          <w:p w14:paraId="21102FAD" w14:textId="030DB389" w:rsidR="008F0A1D" w:rsidRPr="00E2204B" w:rsidRDefault="008F0A1D" w:rsidP="00E2204B">
            <w:pPr>
              <w:pStyle w:val="Nagwek1"/>
              <w:spacing w:before="0" w:line="360" w:lineRule="auto"/>
              <w:ind w:right="37"/>
              <w:textAlignment w:val="baseline"/>
              <w:rPr>
                <w:rFonts w:ascii="Times New Roman" w:hAnsi="Times New Roman" w:cs="Times New Roman"/>
                <w:color w:val="000000"/>
                <w:sz w:val="24"/>
                <w:szCs w:val="24"/>
                <w:lang w:val="en-US"/>
              </w:rPr>
            </w:pPr>
            <w:r w:rsidRPr="00E2204B">
              <w:rPr>
                <w:rFonts w:ascii="Times New Roman" w:hAnsi="Times New Roman" w:cs="Times New Roman"/>
                <w:color w:val="000000"/>
                <w:sz w:val="24"/>
                <w:szCs w:val="24"/>
                <w:shd w:val="clear" w:color="auto" w:fill="FFFFFF"/>
                <w:lang w:val="en-US"/>
              </w:rPr>
              <w:lastRenderedPageBreak/>
              <w:t xml:space="preserve">A phase II, multi-center, open-label, randomized study of oral </w:t>
            </w:r>
            <w:proofErr w:type="spellStart"/>
            <w:r w:rsidRPr="00E2204B">
              <w:rPr>
                <w:rFonts w:ascii="Times New Roman" w:hAnsi="Times New Roman" w:cs="Times New Roman"/>
                <w:color w:val="000000"/>
                <w:sz w:val="24"/>
                <w:szCs w:val="24"/>
                <w:shd w:val="clear" w:color="auto" w:fill="FFFFFF"/>
                <w:lang w:val="en-US"/>
              </w:rPr>
              <w:t>asciminib</w:t>
            </w:r>
            <w:proofErr w:type="spellEnd"/>
            <w:r w:rsidRPr="00E2204B">
              <w:rPr>
                <w:rFonts w:ascii="Times New Roman" w:hAnsi="Times New Roman" w:cs="Times New Roman"/>
                <w:color w:val="000000"/>
                <w:sz w:val="24"/>
                <w:szCs w:val="24"/>
                <w:shd w:val="clear" w:color="auto" w:fill="FFFFFF"/>
                <w:lang w:val="en-US"/>
              </w:rPr>
              <w:t xml:space="preserve"> added to imatinib versus continued imatinib versus switch to nilotinib in patients with CML-CP who have been previously treated with Imatinib and have not achieved deep molecular response </w:t>
            </w:r>
            <w:r w:rsidRPr="00E2204B">
              <w:rPr>
                <w:rStyle w:val="title-text"/>
                <w:rFonts w:ascii="Times New Roman" w:hAnsi="Times New Roman" w:cs="Times New Roman"/>
                <w:color w:val="1F1F1F"/>
                <w:sz w:val="24"/>
                <w:szCs w:val="24"/>
                <w:lang w:val="en-US"/>
              </w:rPr>
              <w:t>(</w:t>
            </w:r>
            <w:r w:rsidRPr="00E2204B">
              <w:rPr>
                <w:rFonts w:ascii="Times New Roman" w:hAnsi="Times New Roman" w:cs="Times New Roman"/>
                <w:color w:val="1F1F1F"/>
                <w:sz w:val="24"/>
                <w:szCs w:val="24"/>
                <w:lang w:val="en-US"/>
              </w:rPr>
              <w:t>ASC4MORE,</w:t>
            </w:r>
            <w:r w:rsidRPr="00E2204B">
              <w:rPr>
                <w:rFonts w:ascii="Times New Roman" w:hAnsi="Times New Roman" w:cs="Times New Roman"/>
                <w:sz w:val="24"/>
                <w:szCs w:val="24"/>
                <w:lang w:val="en-US"/>
              </w:rPr>
              <w:t xml:space="preserve"> </w:t>
            </w:r>
            <w:r w:rsidRPr="00E2204B">
              <w:rPr>
                <w:rStyle w:val="title-text"/>
                <w:rFonts w:ascii="Times New Roman" w:hAnsi="Times New Roman" w:cs="Times New Roman"/>
                <w:color w:val="1F1F1F"/>
                <w:sz w:val="24"/>
                <w:szCs w:val="24"/>
                <w:lang w:val="en-US"/>
              </w:rPr>
              <w:t>NCT03578367)*</w:t>
            </w:r>
          </w:p>
        </w:tc>
        <w:tc>
          <w:tcPr>
            <w:tcW w:w="3536" w:type="dxa"/>
          </w:tcPr>
          <w:p w14:paraId="5B0FC128" w14:textId="77777777" w:rsidR="008F0A1D" w:rsidRPr="00E2204B" w:rsidRDefault="008F0A1D" w:rsidP="00E2204B">
            <w:pPr>
              <w:pStyle w:val="Nagwek1"/>
              <w:spacing w:before="0" w:line="360" w:lineRule="auto"/>
              <w:ind w:right="37"/>
              <w:textAlignment w:val="baseline"/>
              <w:rPr>
                <w:rFonts w:ascii="Times New Roman" w:hAnsi="Times New Roman" w:cs="Times New Roman"/>
                <w:color w:val="1F1F1F"/>
                <w:sz w:val="24"/>
                <w:szCs w:val="24"/>
                <w:lang w:val="en-US"/>
              </w:rPr>
            </w:pPr>
            <w:r w:rsidRPr="00E2204B">
              <w:rPr>
                <w:rFonts w:ascii="Times New Roman" w:hAnsi="Times New Roman" w:cs="Times New Roman"/>
                <w:color w:val="1F1F1F"/>
                <w:sz w:val="24"/>
                <w:szCs w:val="24"/>
                <w:lang w:val="en-US"/>
              </w:rPr>
              <w:t xml:space="preserve">Pts aged ≥18 years, have CML-CP, and have been treated with </w:t>
            </w:r>
            <w:r w:rsidRPr="00E2204B">
              <w:rPr>
                <w:rFonts w:ascii="Times New Roman" w:hAnsi="Times New Roman" w:cs="Times New Roman"/>
                <w:color w:val="1F1F1F"/>
                <w:sz w:val="24"/>
                <w:szCs w:val="24"/>
                <w:lang w:val="en-US"/>
              </w:rPr>
              <w:t>1</w:t>
            </w:r>
            <w:r w:rsidRPr="00E2204B">
              <w:rPr>
                <w:rFonts w:ascii="Times New Roman" w:hAnsi="Times New Roman" w:cs="Times New Roman"/>
                <w:color w:val="1F1F1F"/>
                <w:sz w:val="24"/>
                <w:szCs w:val="24"/>
                <w:vertAlign w:val="superscript"/>
                <w:lang w:val="en-US"/>
              </w:rPr>
              <w:t>st</w:t>
            </w:r>
            <w:r w:rsidRPr="00E2204B">
              <w:rPr>
                <w:rFonts w:ascii="Times New Roman" w:hAnsi="Times New Roman" w:cs="Times New Roman"/>
                <w:color w:val="1F1F1F"/>
                <w:sz w:val="24"/>
                <w:szCs w:val="24"/>
                <w:lang w:val="en-US"/>
              </w:rPr>
              <w:t>-line</w:t>
            </w:r>
            <w:r w:rsidRPr="00E2204B">
              <w:rPr>
                <w:rFonts w:ascii="Times New Roman" w:hAnsi="Times New Roman" w:cs="Times New Roman"/>
                <w:color w:val="1F1F1F"/>
                <w:sz w:val="24"/>
                <w:szCs w:val="24"/>
                <w:lang w:val="en-US"/>
              </w:rPr>
              <w:t xml:space="preserve"> IM for ≥12 months. Study entry requires patients to be receiving IM 400 mg </w:t>
            </w:r>
            <w:r w:rsidRPr="00E2204B">
              <w:rPr>
                <w:rFonts w:ascii="Times New Roman" w:hAnsi="Times New Roman" w:cs="Times New Roman"/>
                <w:color w:val="1F1F1F"/>
                <w:sz w:val="24"/>
                <w:szCs w:val="24"/>
                <w:lang w:val="en-US"/>
              </w:rPr>
              <w:t>once a day</w:t>
            </w:r>
            <w:r w:rsidRPr="00E2204B">
              <w:rPr>
                <w:rFonts w:ascii="Times New Roman" w:hAnsi="Times New Roman" w:cs="Times New Roman"/>
                <w:color w:val="1F1F1F"/>
                <w:sz w:val="24"/>
                <w:szCs w:val="24"/>
                <w:lang w:val="en-US"/>
              </w:rPr>
              <w:t xml:space="preserve"> at randomization, have </w:t>
            </w:r>
            <w:r w:rsidRPr="00E2204B">
              <w:rPr>
                <w:rStyle w:val="Uwydatnienie"/>
                <w:rFonts w:ascii="Times New Roman" w:hAnsi="Times New Roman" w:cs="Times New Roman"/>
                <w:i w:val="0"/>
                <w:iCs w:val="0"/>
                <w:color w:val="1F1F1F"/>
                <w:sz w:val="24"/>
                <w:szCs w:val="24"/>
                <w:lang w:val="en-US"/>
              </w:rPr>
              <w:t>BCR-ABL1</w:t>
            </w:r>
            <w:r w:rsidRPr="00E2204B">
              <w:rPr>
                <w:rStyle w:val="Uwydatnienie"/>
                <w:rFonts w:ascii="Times New Roman" w:hAnsi="Times New Roman" w:cs="Times New Roman"/>
                <w:color w:val="1F1F1F"/>
                <w:sz w:val="24"/>
                <w:szCs w:val="24"/>
                <w:lang w:val="en-US"/>
              </w:rPr>
              <w:t xml:space="preserve"> </w:t>
            </w:r>
            <w:r w:rsidRPr="00E2204B">
              <w:rPr>
                <w:rFonts w:ascii="Times New Roman" w:hAnsi="Times New Roman" w:cs="Times New Roman"/>
                <w:color w:val="1F1F1F"/>
                <w:sz w:val="24"/>
                <w:szCs w:val="24"/>
                <w:lang w:val="en-US"/>
              </w:rPr>
              <w:t>transcript levels in the range of ≤1% to &gt;0.01% on the IS, no prior achievement of MR</w:t>
            </w:r>
            <w:r w:rsidRPr="00E2204B">
              <w:rPr>
                <w:rFonts w:ascii="Times New Roman" w:hAnsi="Times New Roman" w:cs="Times New Roman"/>
                <w:color w:val="1F1F1F"/>
                <w:sz w:val="24"/>
                <w:szCs w:val="24"/>
                <w:vertAlign w:val="superscript"/>
                <w:lang w:val="en-US"/>
              </w:rPr>
              <w:t>4</w:t>
            </w:r>
            <w:r w:rsidRPr="00E2204B">
              <w:rPr>
                <w:rFonts w:ascii="Times New Roman" w:hAnsi="Times New Roman" w:cs="Times New Roman"/>
                <w:color w:val="1F1F1F"/>
                <w:sz w:val="24"/>
                <w:szCs w:val="24"/>
                <w:lang w:val="en-US"/>
              </w:rPr>
              <w:t xml:space="preserve"> (</w:t>
            </w:r>
            <w:r w:rsidRPr="00E2204B">
              <w:rPr>
                <w:rStyle w:val="Uwydatnienie"/>
                <w:rFonts w:ascii="Times New Roman" w:hAnsi="Times New Roman" w:cs="Times New Roman"/>
                <w:i w:val="0"/>
                <w:iCs w:val="0"/>
                <w:color w:val="1F1F1F"/>
                <w:sz w:val="24"/>
                <w:szCs w:val="24"/>
                <w:lang w:val="en-US"/>
              </w:rPr>
              <w:t>BCR-ABL1</w:t>
            </w:r>
            <w:r w:rsidRPr="00E2204B">
              <w:rPr>
                <w:rFonts w:ascii="Times New Roman" w:hAnsi="Times New Roman" w:cs="Times New Roman"/>
                <w:color w:val="1F1F1F"/>
                <w:sz w:val="24"/>
                <w:szCs w:val="24"/>
                <w:vertAlign w:val="superscript"/>
                <w:lang w:val="en-US"/>
              </w:rPr>
              <w:t>IS</w:t>
            </w:r>
            <w:r w:rsidRPr="00E2204B">
              <w:rPr>
                <w:rFonts w:ascii="Times New Roman" w:hAnsi="Times New Roman" w:cs="Times New Roman"/>
                <w:color w:val="1F1F1F"/>
                <w:sz w:val="24"/>
                <w:szCs w:val="24"/>
                <w:lang w:val="en-US"/>
              </w:rPr>
              <w:t xml:space="preserve"> ≤0.01%) confirmed by two consecutive tests, and no prior treatment failure</w:t>
            </w:r>
          </w:p>
          <w:p w14:paraId="656F15CA" w14:textId="77777777" w:rsidR="008F0A1D" w:rsidRPr="00E2204B" w:rsidRDefault="008F0A1D" w:rsidP="00E2204B">
            <w:pPr>
              <w:spacing w:line="360" w:lineRule="auto"/>
              <w:rPr>
                <w:rFonts w:ascii="Times New Roman" w:hAnsi="Times New Roman" w:cs="Times New Roman"/>
                <w:sz w:val="24"/>
                <w:szCs w:val="24"/>
                <w:lang w:val="en-US"/>
              </w:rPr>
            </w:pPr>
          </w:p>
          <w:p w14:paraId="0501B3A1" w14:textId="2CFE640C" w:rsidR="008F0A1D" w:rsidRPr="00E2204B" w:rsidRDefault="008F0A1D" w:rsidP="00E2204B">
            <w:pPr>
              <w:spacing w:line="360" w:lineRule="auto"/>
              <w:rPr>
                <w:rFonts w:ascii="Times New Roman" w:hAnsi="Times New Roman" w:cs="Times New Roman"/>
                <w:sz w:val="24"/>
                <w:szCs w:val="24"/>
                <w:lang w:val="en-US"/>
              </w:rPr>
            </w:pPr>
            <w:r w:rsidRPr="00E2204B">
              <w:rPr>
                <w:rFonts w:ascii="Times New Roman" w:hAnsi="Times New Roman" w:cs="Times New Roman"/>
                <w:color w:val="000000" w:themeColor="text1"/>
                <w:sz w:val="24"/>
                <w:szCs w:val="24"/>
                <w:lang w:val="en-US"/>
              </w:rPr>
              <w:t xml:space="preserve">The study evaluates the efficacy of </w:t>
            </w:r>
            <w:proofErr w:type="spellStart"/>
            <w:r w:rsidRPr="00E2204B">
              <w:rPr>
                <w:rFonts w:ascii="Times New Roman" w:hAnsi="Times New Roman" w:cs="Times New Roman"/>
                <w:color w:val="000000" w:themeColor="text1"/>
                <w:sz w:val="24"/>
                <w:szCs w:val="24"/>
                <w:lang w:val="en-US"/>
              </w:rPr>
              <w:t>asciminib</w:t>
            </w:r>
            <w:proofErr w:type="spellEnd"/>
            <w:r w:rsidRPr="00E2204B">
              <w:rPr>
                <w:rFonts w:ascii="Times New Roman" w:hAnsi="Times New Roman" w:cs="Times New Roman"/>
                <w:color w:val="000000" w:themeColor="text1"/>
                <w:sz w:val="24"/>
                <w:szCs w:val="24"/>
                <w:lang w:val="en-US"/>
              </w:rPr>
              <w:t xml:space="preserve"> in two different doses (40 mg or 60 mg) in combination with IM 400 mg vs. continued IM vs</w:t>
            </w:r>
            <w:r w:rsidR="00E2204B" w:rsidRPr="00E2204B">
              <w:rPr>
                <w:rFonts w:ascii="Times New Roman" w:hAnsi="Times New Roman" w:cs="Times New Roman"/>
                <w:color w:val="000000" w:themeColor="text1"/>
                <w:sz w:val="24"/>
                <w:szCs w:val="24"/>
                <w:lang w:val="en-US"/>
              </w:rPr>
              <w:t>.</w:t>
            </w:r>
            <w:r w:rsidRPr="00E2204B">
              <w:rPr>
                <w:rFonts w:ascii="Times New Roman" w:hAnsi="Times New Roman" w:cs="Times New Roman"/>
                <w:color w:val="000000" w:themeColor="text1"/>
                <w:sz w:val="24"/>
                <w:szCs w:val="24"/>
                <w:lang w:val="en-US"/>
              </w:rPr>
              <w:t xml:space="preserve"> switch to nilotinib, vs. </w:t>
            </w:r>
            <w:proofErr w:type="spellStart"/>
            <w:r w:rsidRPr="00E2204B">
              <w:rPr>
                <w:rFonts w:ascii="Times New Roman" w:hAnsi="Times New Roman" w:cs="Times New Roman"/>
                <w:color w:val="000000" w:themeColor="text1"/>
                <w:sz w:val="24"/>
                <w:szCs w:val="24"/>
                <w:lang w:val="en-US"/>
              </w:rPr>
              <w:t>asciminib</w:t>
            </w:r>
            <w:proofErr w:type="spellEnd"/>
            <w:r w:rsidRPr="00E2204B">
              <w:rPr>
                <w:rFonts w:ascii="Times New Roman" w:hAnsi="Times New Roman" w:cs="Times New Roman"/>
                <w:color w:val="000000" w:themeColor="text1"/>
                <w:sz w:val="24"/>
                <w:szCs w:val="24"/>
                <w:lang w:val="en-US"/>
              </w:rPr>
              <w:t xml:space="preserve"> 80 mg single agent in subjects with </w:t>
            </w:r>
            <w:r w:rsidRPr="00E2204B">
              <w:rPr>
                <w:rFonts w:ascii="Times New Roman" w:hAnsi="Times New Roman" w:cs="Times New Roman"/>
                <w:color w:val="000000" w:themeColor="text1"/>
                <w:sz w:val="24"/>
                <w:szCs w:val="24"/>
                <w:lang w:val="en-US"/>
              </w:rPr>
              <w:lastRenderedPageBreak/>
              <w:t>CML-CP who have been previously treated with IM 1</w:t>
            </w:r>
            <w:r w:rsidR="00E2204B" w:rsidRPr="00E2204B">
              <w:rPr>
                <w:rFonts w:ascii="Times New Roman" w:hAnsi="Times New Roman" w:cs="Times New Roman"/>
                <w:color w:val="000000" w:themeColor="text1"/>
                <w:sz w:val="24"/>
                <w:szCs w:val="24"/>
                <w:vertAlign w:val="superscript"/>
                <w:lang w:val="en-US"/>
              </w:rPr>
              <w:t>st</w:t>
            </w:r>
            <w:r w:rsidR="00E2204B" w:rsidRPr="00E2204B">
              <w:rPr>
                <w:rFonts w:ascii="Times New Roman" w:hAnsi="Times New Roman" w:cs="Times New Roman"/>
                <w:color w:val="000000" w:themeColor="text1"/>
                <w:sz w:val="24"/>
                <w:szCs w:val="24"/>
                <w:lang w:val="en-US"/>
              </w:rPr>
              <w:t>-line</w:t>
            </w:r>
            <w:r w:rsidRPr="00E2204B">
              <w:rPr>
                <w:rFonts w:ascii="Times New Roman" w:hAnsi="Times New Roman" w:cs="Times New Roman"/>
                <w:color w:val="000000" w:themeColor="text1"/>
                <w:sz w:val="24"/>
                <w:szCs w:val="24"/>
                <w:lang w:val="en-US"/>
              </w:rPr>
              <w:t xml:space="preserve"> therapy for at least one year and have not achieved DMR. 84 eligible subjects were randomized 1:1:1:1 to receive </w:t>
            </w:r>
            <w:proofErr w:type="spellStart"/>
            <w:r w:rsidRPr="00E2204B">
              <w:rPr>
                <w:rFonts w:ascii="Times New Roman" w:hAnsi="Times New Roman" w:cs="Times New Roman"/>
                <w:color w:val="000000" w:themeColor="text1"/>
                <w:sz w:val="24"/>
                <w:szCs w:val="24"/>
                <w:lang w:val="en-US"/>
              </w:rPr>
              <w:t>asciminib</w:t>
            </w:r>
            <w:proofErr w:type="spellEnd"/>
            <w:r w:rsidRPr="00E2204B">
              <w:rPr>
                <w:rFonts w:ascii="Times New Roman" w:hAnsi="Times New Roman" w:cs="Times New Roman"/>
                <w:color w:val="000000" w:themeColor="text1"/>
                <w:sz w:val="24"/>
                <w:szCs w:val="24"/>
                <w:lang w:val="en-US"/>
              </w:rPr>
              <w:t xml:space="preserve"> 60 mg </w:t>
            </w:r>
            <w:r w:rsidR="00E2204B" w:rsidRPr="00E2204B">
              <w:rPr>
                <w:rFonts w:ascii="Times New Roman" w:hAnsi="Times New Roman" w:cs="Times New Roman"/>
                <w:color w:val="000000" w:themeColor="text1"/>
                <w:sz w:val="24"/>
                <w:szCs w:val="24"/>
                <w:lang w:val="en-US"/>
              </w:rPr>
              <w:t>once a day</w:t>
            </w:r>
            <w:r w:rsidRPr="00E2204B">
              <w:rPr>
                <w:rFonts w:ascii="Times New Roman" w:hAnsi="Times New Roman" w:cs="Times New Roman"/>
                <w:color w:val="000000" w:themeColor="text1"/>
                <w:sz w:val="24"/>
                <w:szCs w:val="24"/>
                <w:lang w:val="en-US"/>
              </w:rPr>
              <w:t xml:space="preserve"> as add</w:t>
            </w:r>
            <w:r w:rsidR="00E2204B" w:rsidRPr="00E2204B">
              <w:rPr>
                <w:rFonts w:ascii="Times New Roman" w:hAnsi="Times New Roman" w:cs="Times New Roman"/>
                <w:sz w:val="24"/>
                <w:szCs w:val="24"/>
                <w:lang w:val="en-US"/>
              </w:rPr>
              <w:t>–</w:t>
            </w:r>
            <w:r w:rsidRPr="00E2204B">
              <w:rPr>
                <w:rFonts w:ascii="Times New Roman" w:hAnsi="Times New Roman" w:cs="Times New Roman"/>
                <w:color w:val="000000" w:themeColor="text1"/>
                <w:sz w:val="24"/>
                <w:szCs w:val="24"/>
                <w:lang w:val="en-US"/>
              </w:rPr>
              <w:t xml:space="preserve">on therapy to IM 400 mg </w:t>
            </w:r>
            <w:r w:rsidR="00E2204B" w:rsidRPr="00E2204B">
              <w:rPr>
                <w:rFonts w:ascii="Times New Roman" w:hAnsi="Times New Roman" w:cs="Times New Roman"/>
                <w:color w:val="000000" w:themeColor="text1"/>
                <w:sz w:val="24"/>
                <w:szCs w:val="24"/>
                <w:lang w:val="en-US"/>
              </w:rPr>
              <w:t>once a day</w:t>
            </w:r>
            <w:r w:rsidRPr="00E2204B">
              <w:rPr>
                <w:rFonts w:ascii="Times New Roman" w:hAnsi="Times New Roman" w:cs="Times New Roman"/>
                <w:color w:val="000000" w:themeColor="text1"/>
                <w:sz w:val="24"/>
                <w:szCs w:val="24"/>
                <w:lang w:val="en-US"/>
              </w:rPr>
              <w:t xml:space="preserve">, or 40 mg </w:t>
            </w:r>
            <w:r w:rsidR="00E2204B" w:rsidRPr="00E2204B">
              <w:rPr>
                <w:rFonts w:ascii="Times New Roman" w:hAnsi="Times New Roman" w:cs="Times New Roman"/>
                <w:color w:val="000000" w:themeColor="text1"/>
                <w:sz w:val="24"/>
                <w:szCs w:val="24"/>
                <w:lang w:val="en-US"/>
              </w:rPr>
              <w:t>once a day</w:t>
            </w:r>
            <w:r w:rsidRPr="00E2204B">
              <w:rPr>
                <w:rFonts w:ascii="Times New Roman" w:hAnsi="Times New Roman" w:cs="Times New Roman"/>
                <w:color w:val="000000" w:themeColor="text1"/>
                <w:sz w:val="24"/>
                <w:szCs w:val="24"/>
                <w:lang w:val="en-US"/>
              </w:rPr>
              <w:t xml:space="preserve"> as add</w:t>
            </w:r>
            <w:r w:rsidR="00E2204B" w:rsidRPr="00E2204B">
              <w:rPr>
                <w:rFonts w:ascii="Times New Roman" w:hAnsi="Times New Roman" w:cs="Times New Roman"/>
                <w:color w:val="000000" w:themeColor="text1"/>
                <w:sz w:val="24"/>
                <w:szCs w:val="24"/>
                <w:lang w:val="en-US"/>
              </w:rPr>
              <w:t>–</w:t>
            </w:r>
            <w:r w:rsidRPr="00E2204B">
              <w:rPr>
                <w:rFonts w:ascii="Times New Roman" w:hAnsi="Times New Roman" w:cs="Times New Roman"/>
                <w:color w:val="000000" w:themeColor="text1"/>
                <w:sz w:val="24"/>
                <w:szCs w:val="24"/>
                <w:lang w:val="en-US"/>
              </w:rPr>
              <w:t xml:space="preserve">on therapy to IM 400 mg </w:t>
            </w:r>
            <w:r w:rsidR="00E2204B" w:rsidRPr="00E2204B">
              <w:rPr>
                <w:rFonts w:ascii="Times New Roman" w:hAnsi="Times New Roman" w:cs="Times New Roman"/>
                <w:color w:val="000000" w:themeColor="text1"/>
                <w:sz w:val="24"/>
                <w:szCs w:val="24"/>
                <w:lang w:val="en-US"/>
              </w:rPr>
              <w:t>once a day</w:t>
            </w:r>
            <w:r w:rsidRPr="00E2204B">
              <w:rPr>
                <w:rFonts w:ascii="Times New Roman" w:hAnsi="Times New Roman" w:cs="Times New Roman"/>
                <w:color w:val="000000" w:themeColor="text1"/>
                <w:sz w:val="24"/>
                <w:szCs w:val="24"/>
                <w:lang w:val="en-US"/>
              </w:rPr>
              <w:t xml:space="preserve">, or to continue IM 400 mg </w:t>
            </w:r>
            <w:r w:rsidR="00E2204B" w:rsidRPr="00E2204B">
              <w:rPr>
                <w:rFonts w:ascii="Times New Roman" w:hAnsi="Times New Roman" w:cs="Times New Roman"/>
                <w:color w:val="000000" w:themeColor="text1"/>
                <w:sz w:val="24"/>
                <w:szCs w:val="24"/>
                <w:lang w:val="en-US"/>
              </w:rPr>
              <w:t>once a day</w:t>
            </w:r>
            <w:r w:rsidRPr="00E2204B">
              <w:rPr>
                <w:rFonts w:ascii="Times New Roman" w:hAnsi="Times New Roman" w:cs="Times New Roman"/>
                <w:color w:val="000000" w:themeColor="text1"/>
                <w:sz w:val="24"/>
                <w:szCs w:val="24"/>
                <w:lang w:val="en-US"/>
              </w:rPr>
              <w:t>, or to switch to nilotinib 300 mg twice a day</w:t>
            </w:r>
          </w:p>
        </w:tc>
        <w:tc>
          <w:tcPr>
            <w:tcW w:w="3536" w:type="dxa"/>
          </w:tcPr>
          <w:p w14:paraId="2D54C84F" w14:textId="04753BA1" w:rsidR="008F0A1D" w:rsidRPr="00E2204B" w:rsidRDefault="00E2204B" w:rsidP="00E2204B">
            <w:pPr>
              <w:pStyle w:val="Nagwek1"/>
              <w:spacing w:before="0" w:line="360" w:lineRule="auto"/>
              <w:ind w:right="37"/>
              <w:textAlignment w:val="baseline"/>
              <w:rPr>
                <w:rFonts w:ascii="Times New Roman" w:hAnsi="Times New Roman" w:cs="Times New Roman"/>
                <w:color w:val="000000" w:themeColor="text1"/>
                <w:sz w:val="24"/>
                <w:szCs w:val="24"/>
                <w:lang w:val="en-US"/>
              </w:rPr>
            </w:pPr>
            <w:r w:rsidRPr="00E2204B">
              <w:rPr>
                <w:rFonts w:ascii="Times New Roman" w:hAnsi="Times New Roman" w:cs="Times New Roman"/>
                <w:color w:val="000000"/>
                <w:sz w:val="24"/>
                <w:szCs w:val="24"/>
                <w:shd w:val="clear" w:color="auto" w:fill="FFFFFF"/>
                <w:lang w:val="en-US"/>
              </w:rPr>
              <w:lastRenderedPageBreak/>
              <w:t xml:space="preserve">Molecular </w:t>
            </w:r>
            <w:r w:rsidRPr="00E2204B">
              <w:rPr>
                <w:rFonts w:ascii="Times New Roman" w:hAnsi="Times New Roman" w:cs="Times New Roman"/>
                <w:color w:val="000000"/>
                <w:sz w:val="24"/>
                <w:szCs w:val="24"/>
                <w:shd w:val="clear" w:color="auto" w:fill="FFFFFF"/>
                <w:lang w:val="en-US"/>
              </w:rPr>
              <w:t>r</w:t>
            </w:r>
            <w:r w:rsidRPr="00E2204B">
              <w:rPr>
                <w:rFonts w:ascii="Times New Roman" w:hAnsi="Times New Roman" w:cs="Times New Roman"/>
                <w:color w:val="000000"/>
                <w:sz w:val="24"/>
                <w:szCs w:val="24"/>
                <w:shd w:val="clear" w:color="auto" w:fill="FFFFFF"/>
                <w:lang w:val="en-US"/>
              </w:rPr>
              <w:t>esponse (MR</w:t>
            </w:r>
            <w:r w:rsidRPr="00E2204B">
              <w:rPr>
                <w:rFonts w:ascii="Times New Roman" w:hAnsi="Times New Roman" w:cs="Times New Roman"/>
                <w:color w:val="000000"/>
                <w:sz w:val="24"/>
                <w:szCs w:val="24"/>
                <w:shd w:val="clear" w:color="auto" w:fill="FFFFFF"/>
                <w:vertAlign w:val="superscript"/>
                <w:lang w:val="en-US"/>
              </w:rPr>
              <w:t>4.5</w:t>
            </w:r>
            <w:r w:rsidRPr="00E2204B">
              <w:rPr>
                <w:rFonts w:ascii="Times New Roman" w:hAnsi="Times New Roman" w:cs="Times New Roman"/>
                <w:color w:val="000000"/>
                <w:sz w:val="24"/>
                <w:szCs w:val="24"/>
                <w:shd w:val="clear" w:color="auto" w:fill="FFFFFF"/>
                <w:lang w:val="en-US"/>
              </w:rPr>
              <w:t xml:space="preserve">) rate between </w:t>
            </w:r>
            <w:proofErr w:type="spellStart"/>
            <w:r w:rsidRPr="00E2204B">
              <w:rPr>
                <w:rFonts w:ascii="Times New Roman" w:hAnsi="Times New Roman" w:cs="Times New Roman"/>
                <w:color w:val="000000"/>
                <w:sz w:val="24"/>
                <w:szCs w:val="24"/>
                <w:shd w:val="clear" w:color="auto" w:fill="FFFFFF"/>
                <w:lang w:val="en-US"/>
              </w:rPr>
              <w:t>asciminib</w:t>
            </w:r>
            <w:proofErr w:type="spellEnd"/>
            <w:r w:rsidRPr="00E2204B">
              <w:rPr>
                <w:rFonts w:ascii="Times New Roman" w:hAnsi="Times New Roman" w:cs="Times New Roman"/>
                <w:color w:val="000000"/>
                <w:sz w:val="24"/>
                <w:szCs w:val="24"/>
                <w:shd w:val="clear" w:color="auto" w:fill="FFFFFF"/>
                <w:lang w:val="en-US"/>
              </w:rPr>
              <w:t xml:space="preserve"> + IM and IM alone </w:t>
            </w:r>
            <w:r w:rsidRPr="00E2204B">
              <w:rPr>
                <w:rFonts w:ascii="Times New Roman" w:hAnsi="Times New Roman" w:cs="Times New Roman"/>
                <w:color w:val="000000"/>
                <w:sz w:val="24"/>
                <w:szCs w:val="24"/>
                <w:shd w:val="clear" w:color="auto" w:fill="FFFFFF"/>
                <w:lang w:val="en-US"/>
              </w:rPr>
              <w:t>(</w:t>
            </w:r>
            <w:r w:rsidRPr="00E2204B">
              <w:rPr>
                <w:rFonts w:ascii="Times New Roman" w:hAnsi="Times New Roman" w:cs="Times New Roman"/>
                <w:color w:val="000000"/>
                <w:sz w:val="24"/>
                <w:szCs w:val="24"/>
                <w:shd w:val="clear" w:color="auto" w:fill="FFFFFF"/>
                <w:lang w:val="en-US"/>
              </w:rPr>
              <w:t>time frame: at 48 weeks</w:t>
            </w:r>
            <w:r w:rsidRPr="00E2204B">
              <w:rPr>
                <w:rFonts w:ascii="Times New Roman" w:hAnsi="Times New Roman" w:cs="Times New Roman"/>
                <w:color w:val="000000"/>
                <w:sz w:val="24"/>
                <w:szCs w:val="24"/>
                <w:shd w:val="clear" w:color="auto" w:fill="FFFFFF"/>
                <w:lang w:val="en-US"/>
              </w:rPr>
              <w:t>)</w:t>
            </w:r>
          </w:p>
        </w:tc>
        <w:tc>
          <w:tcPr>
            <w:tcW w:w="3536" w:type="dxa"/>
          </w:tcPr>
          <w:p w14:paraId="7EC36B48" w14:textId="56E74FED" w:rsidR="00E2204B" w:rsidRPr="00E2204B" w:rsidRDefault="00E2204B" w:rsidP="00E2204B">
            <w:pPr>
              <w:spacing w:line="360" w:lineRule="auto"/>
              <w:ind w:right="119"/>
              <w:rPr>
                <w:rFonts w:ascii="Times New Roman" w:hAnsi="Times New Roman" w:cs="Times New Roman"/>
                <w:sz w:val="24"/>
                <w:szCs w:val="24"/>
                <w:lang w:val="en-US"/>
              </w:rPr>
            </w:pPr>
            <w:r w:rsidRPr="00E2204B">
              <w:rPr>
                <w:rFonts w:ascii="Times New Roman" w:hAnsi="Times New Roman" w:cs="Times New Roman"/>
                <w:sz w:val="24"/>
                <w:szCs w:val="24"/>
                <w:lang w:val="en-US"/>
              </w:rPr>
              <w:t xml:space="preserve">At week 96, 19.0%, 19.0%, 4.8%, and 9.5% of pts in the 40-mg </w:t>
            </w:r>
            <w:proofErr w:type="spellStart"/>
            <w:r w:rsidRPr="00E2204B">
              <w:rPr>
                <w:rFonts w:ascii="Times New Roman" w:hAnsi="Times New Roman" w:cs="Times New Roman"/>
                <w:sz w:val="24"/>
                <w:szCs w:val="24"/>
                <w:lang w:val="en-US"/>
              </w:rPr>
              <w:t>asciminib</w:t>
            </w:r>
            <w:proofErr w:type="spellEnd"/>
            <w:r w:rsidRPr="00E2204B">
              <w:rPr>
                <w:rFonts w:ascii="Times New Roman" w:hAnsi="Times New Roman" w:cs="Times New Roman"/>
                <w:sz w:val="24"/>
                <w:szCs w:val="24"/>
                <w:lang w:val="en-US"/>
              </w:rPr>
              <w:t xml:space="preserve"> add–on, 60-mg </w:t>
            </w:r>
            <w:proofErr w:type="spellStart"/>
            <w:r w:rsidRPr="00E2204B">
              <w:rPr>
                <w:rFonts w:ascii="Times New Roman" w:hAnsi="Times New Roman" w:cs="Times New Roman"/>
                <w:sz w:val="24"/>
                <w:szCs w:val="24"/>
                <w:lang w:val="en-US"/>
              </w:rPr>
              <w:t>asciminib</w:t>
            </w:r>
            <w:proofErr w:type="spellEnd"/>
            <w:r w:rsidRPr="00E2204B">
              <w:rPr>
                <w:rFonts w:ascii="Times New Roman" w:hAnsi="Times New Roman" w:cs="Times New Roman"/>
                <w:sz w:val="24"/>
                <w:szCs w:val="24"/>
                <w:lang w:val="en-US"/>
              </w:rPr>
              <w:t xml:space="preserve"> add–on n, IM, and NIL arms, respectively, were in MR</w:t>
            </w:r>
            <w:r w:rsidRPr="00E2204B">
              <w:rPr>
                <w:rFonts w:ascii="Times New Roman" w:hAnsi="Times New Roman" w:cs="Times New Roman"/>
                <w:sz w:val="24"/>
                <w:szCs w:val="24"/>
                <w:vertAlign w:val="superscript"/>
                <w:lang w:val="en-US"/>
              </w:rPr>
              <w:t>4.5</w:t>
            </w:r>
          </w:p>
          <w:p w14:paraId="507FEE57" w14:textId="77777777" w:rsidR="008F0A1D" w:rsidRPr="00E2204B" w:rsidRDefault="008F0A1D" w:rsidP="00E2204B">
            <w:pPr>
              <w:pStyle w:val="Nagwek1"/>
              <w:spacing w:before="0" w:line="360" w:lineRule="auto"/>
              <w:ind w:right="37"/>
              <w:textAlignment w:val="baseline"/>
              <w:rPr>
                <w:rFonts w:ascii="Times New Roman" w:hAnsi="Times New Roman" w:cs="Times New Roman"/>
                <w:color w:val="000000" w:themeColor="text1"/>
                <w:sz w:val="24"/>
                <w:szCs w:val="24"/>
                <w:lang w:val="en-US"/>
              </w:rPr>
            </w:pPr>
          </w:p>
          <w:p w14:paraId="6C4383F3" w14:textId="77777777" w:rsidR="00E2204B" w:rsidRPr="00E2204B" w:rsidRDefault="00E2204B" w:rsidP="00E2204B">
            <w:pPr>
              <w:spacing w:line="360" w:lineRule="auto"/>
              <w:ind w:right="119"/>
              <w:rPr>
                <w:rFonts w:ascii="Times New Roman" w:hAnsi="Times New Roman" w:cs="Times New Roman"/>
                <w:sz w:val="24"/>
                <w:szCs w:val="24"/>
                <w:lang w:val="en-US"/>
              </w:rPr>
            </w:pPr>
            <w:r w:rsidRPr="00E2204B">
              <w:rPr>
                <w:rFonts w:ascii="Times New Roman" w:hAnsi="Times New Roman" w:cs="Times New Roman"/>
                <w:sz w:val="24"/>
                <w:szCs w:val="24"/>
                <w:lang w:val="en-US"/>
              </w:rPr>
              <w:t>Cumulative MR</w:t>
            </w:r>
            <w:r w:rsidRPr="00E2204B">
              <w:rPr>
                <w:rFonts w:ascii="Times New Roman" w:hAnsi="Times New Roman" w:cs="Times New Roman"/>
                <w:sz w:val="24"/>
                <w:szCs w:val="24"/>
                <w:vertAlign w:val="superscript"/>
                <w:lang w:val="en-US"/>
              </w:rPr>
              <w:t>4.5</w:t>
            </w:r>
            <w:r w:rsidRPr="00E2204B">
              <w:rPr>
                <w:rFonts w:ascii="Times New Roman" w:hAnsi="Times New Roman" w:cs="Times New Roman"/>
                <w:sz w:val="24"/>
                <w:szCs w:val="24"/>
                <w:lang w:val="en-US"/>
              </w:rPr>
              <w:t>rates at week 96 were 28.6%, 28.6%, 9.5%, and 19.0%, respectively</w:t>
            </w:r>
          </w:p>
          <w:p w14:paraId="664B6BA7" w14:textId="77777777" w:rsidR="00E2204B" w:rsidRPr="00E2204B" w:rsidRDefault="00E2204B" w:rsidP="00E2204B">
            <w:pPr>
              <w:spacing w:line="360" w:lineRule="auto"/>
              <w:rPr>
                <w:rFonts w:ascii="Times New Roman" w:hAnsi="Times New Roman" w:cs="Times New Roman"/>
                <w:sz w:val="24"/>
                <w:szCs w:val="24"/>
                <w:lang w:val="en-US"/>
              </w:rPr>
            </w:pPr>
          </w:p>
          <w:p w14:paraId="2895479B" w14:textId="5D562FF1" w:rsidR="00E2204B" w:rsidRPr="00E2204B" w:rsidRDefault="00E2204B" w:rsidP="00E2204B">
            <w:pPr>
              <w:spacing w:line="360" w:lineRule="auto"/>
              <w:ind w:right="119"/>
              <w:rPr>
                <w:rFonts w:ascii="Times New Roman" w:hAnsi="Times New Roman" w:cs="Times New Roman"/>
                <w:sz w:val="24"/>
                <w:szCs w:val="24"/>
                <w:lang w:val="en-US"/>
              </w:rPr>
            </w:pPr>
            <w:r w:rsidRPr="00E2204B">
              <w:rPr>
                <w:rFonts w:ascii="Times New Roman" w:hAnsi="Times New Roman" w:cs="Times New Roman"/>
                <w:sz w:val="24"/>
                <w:szCs w:val="24"/>
                <w:lang w:val="en-US"/>
              </w:rPr>
              <w:t xml:space="preserve">Despite longer median durations of exposure with </w:t>
            </w:r>
            <w:proofErr w:type="spellStart"/>
            <w:r w:rsidRPr="00E2204B">
              <w:rPr>
                <w:rFonts w:ascii="Times New Roman" w:hAnsi="Times New Roman" w:cs="Times New Roman"/>
                <w:sz w:val="24"/>
                <w:szCs w:val="24"/>
                <w:lang w:val="en-US"/>
              </w:rPr>
              <w:t>asciminib</w:t>
            </w:r>
            <w:proofErr w:type="spellEnd"/>
            <w:r w:rsidRPr="00E2204B">
              <w:rPr>
                <w:rFonts w:ascii="Times New Roman" w:hAnsi="Times New Roman" w:cs="Times New Roman"/>
                <w:sz w:val="24"/>
                <w:szCs w:val="24"/>
                <w:lang w:val="en-US"/>
              </w:rPr>
              <w:t xml:space="preserve"> add–on, fewer pts experienced adverse </w:t>
            </w:r>
            <w:proofErr w:type="spellStart"/>
            <w:r w:rsidRPr="00E2204B">
              <w:rPr>
                <w:rFonts w:ascii="Times New Roman" w:hAnsi="Times New Roman" w:cs="Times New Roman"/>
                <w:sz w:val="24"/>
                <w:szCs w:val="24"/>
                <w:lang w:val="en-US"/>
              </w:rPr>
              <w:t>evenst</w:t>
            </w:r>
            <w:proofErr w:type="spellEnd"/>
            <w:r w:rsidRPr="00E2204B">
              <w:rPr>
                <w:rFonts w:ascii="Times New Roman" w:hAnsi="Times New Roman" w:cs="Times New Roman"/>
                <w:sz w:val="24"/>
                <w:szCs w:val="24"/>
                <w:lang w:val="en-US"/>
              </w:rPr>
              <w:t xml:space="preserve"> leading to discontinuation with </w:t>
            </w:r>
            <w:proofErr w:type="spellStart"/>
            <w:r w:rsidRPr="00E2204B">
              <w:rPr>
                <w:rFonts w:ascii="Times New Roman" w:hAnsi="Times New Roman" w:cs="Times New Roman"/>
                <w:sz w:val="24"/>
                <w:szCs w:val="24"/>
                <w:lang w:val="en-US"/>
              </w:rPr>
              <w:t>asciminib</w:t>
            </w:r>
            <w:proofErr w:type="spellEnd"/>
            <w:r w:rsidRPr="00E2204B">
              <w:rPr>
                <w:rFonts w:ascii="Times New Roman" w:hAnsi="Times New Roman" w:cs="Times New Roman"/>
                <w:sz w:val="24"/>
                <w:szCs w:val="24"/>
                <w:lang w:val="en-US"/>
              </w:rPr>
              <w:t xml:space="preserve"> 40 mg (4.8%) and 60 mg (14.3%) add–on vs. switching to NIL (33.3%). Rates of discontinuation with </w:t>
            </w:r>
            <w:proofErr w:type="spellStart"/>
            <w:r w:rsidRPr="00E2204B">
              <w:rPr>
                <w:rFonts w:ascii="Times New Roman" w:hAnsi="Times New Roman" w:cs="Times New Roman"/>
                <w:sz w:val="24"/>
                <w:szCs w:val="24"/>
                <w:lang w:val="en-US"/>
              </w:rPr>
              <w:t>asciminib</w:t>
            </w:r>
            <w:proofErr w:type="spellEnd"/>
            <w:r w:rsidRPr="00E2204B">
              <w:rPr>
                <w:rFonts w:ascii="Times New Roman" w:hAnsi="Times New Roman" w:cs="Times New Roman"/>
                <w:sz w:val="24"/>
                <w:szCs w:val="24"/>
                <w:lang w:val="en-US"/>
              </w:rPr>
              <w:t xml:space="preserve"> add–on did not increase with </w:t>
            </w:r>
            <w:r w:rsidRPr="00E2204B">
              <w:rPr>
                <w:rFonts w:ascii="Times New Roman" w:hAnsi="Times New Roman" w:cs="Times New Roman"/>
                <w:sz w:val="24"/>
                <w:szCs w:val="24"/>
                <w:lang w:val="en-US"/>
              </w:rPr>
              <w:lastRenderedPageBreak/>
              <w:t>longer follow up compared to the primary analysis</w:t>
            </w:r>
          </w:p>
        </w:tc>
      </w:tr>
    </w:tbl>
    <w:p w14:paraId="610B8881" w14:textId="553FA07C" w:rsidR="00E2204B" w:rsidRPr="00E2204B" w:rsidRDefault="00B66DDA" w:rsidP="00E2204B">
      <w:pPr>
        <w:spacing w:after="0" w:line="360" w:lineRule="auto"/>
        <w:rPr>
          <w:rFonts w:ascii="Times New Roman" w:hAnsi="Times New Roman" w:cs="Times New Roman"/>
          <w:sz w:val="24"/>
          <w:szCs w:val="24"/>
        </w:rPr>
      </w:pPr>
      <w:r w:rsidRPr="00E2204B">
        <w:rPr>
          <w:rFonts w:ascii="Times New Roman" w:hAnsi="Times New Roman" w:cs="Times New Roman"/>
          <w:kern w:val="24"/>
          <w:sz w:val="24"/>
          <w:szCs w:val="24"/>
        </w:rPr>
        <w:t>*</w:t>
      </w:r>
      <w:hyperlink r:id="rId5" w:history="1">
        <w:r w:rsidRPr="00E2204B">
          <w:rPr>
            <w:rStyle w:val="Hipercze"/>
            <w:rFonts w:ascii="Times New Roman" w:hAnsi="Times New Roman" w:cs="Times New Roman"/>
            <w:color w:val="auto"/>
            <w:kern w:val="24"/>
            <w:sz w:val="24"/>
            <w:szCs w:val="24"/>
            <w:u w:val="none"/>
          </w:rPr>
          <w:t>https://clinicaltrials.gov/</w:t>
        </w:r>
      </w:hyperlink>
      <w:r w:rsidRPr="00E2204B">
        <w:rPr>
          <w:rFonts w:ascii="Times New Roman" w:hAnsi="Times New Roman" w:cs="Times New Roman"/>
          <w:kern w:val="24"/>
          <w:sz w:val="24"/>
          <w:szCs w:val="24"/>
        </w:rPr>
        <w:t xml:space="preserve">; </w:t>
      </w:r>
      <w:r w:rsidRPr="00E2204B">
        <w:rPr>
          <w:rFonts w:ascii="Times New Roman" w:hAnsi="Times New Roman" w:cs="Times New Roman"/>
          <w:sz w:val="24"/>
          <w:szCs w:val="24"/>
        </w:rPr>
        <w:t xml:space="preserve">ATP </w:t>
      </w:r>
      <w:r w:rsidRPr="00E2204B">
        <w:rPr>
          <w:rFonts w:ascii="Times New Roman" w:hAnsi="Times New Roman" w:cs="Times New Roman"/>
          <w:sz w:val="24"/>
          <w:szCs w:val="24"/>
          <w:shd w:val="clear" w:color="auto" w:fill="FFFFFF"/>
        </w:rPr>
        <w:t>—</w:t>
      </w:r>
      <w:r w:rsidRPr="00E2204B">
        <w:rPr>
          <w:rFonts w:ascii="Times New Roman" w:hAnsi="Times New Roman" w:cs="Times New Roman"/>
          <w:sz w:val="24"/>
          <w:szCs w:val="24"/>
          <w:shd w:val="clear" w:color="auto" w:fill="FFFFFF"/>
        </w:rPr>
        <w:t xml:space="preserve"> </w:t>
      </w:r>
      <w:proofErr w:type="spellStart"/>
      <w:r w:rsidRPr="00E2204B">
        <w:rPr>
          <w:rFonts w:ascii="Times New Roman" w:hAnsi="Times New Roman" w:cs="Times New Roman"/>
          <w:sz w:val="24"/>
          <w:szCs w:val="24"/>
        </w:rPr>
        <w:t>adenosine</w:t>
      </w:r>
      <w:proofErr w:type="spellEnd"/>
      <w:r w:rsidRPr="00E2204B">
        <w:rPr>
          <w:rFonts w:ascii="Times New Roman" w:hAnsi="Times New Roman" w:cs="Times New Roman"/>
          <w:sz w:val="24"/>
          <w:szCs w:val="24"/>
        </w:rPr>
        <w:t xml:space="preserve"> </w:t>
      </w:r>
      <w:proofErr w:type="spellStart"/>
      <w:r w:rsidRPr="00E2204B">
        <w:rPr>
          <w:rFonts w:ascii="Times New Roman" w:hAnsi="Times New Roman" w:cs="Times New Roman"/>
          <w:sz w:val="24"/>
          <w:szCs w:val="24"/>
        </w:rPr>
        <w:t>triphosphate</w:t>
      </w:r>
      <w:proofErr w:type="spellEnd"/>
      <w:r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 xml:space="preserve">ELN — </w:t>
      </w:r>
      <w:proofErr w:type="spellStart"/>
      <w:r w:rsidR="00E2204B" w:rsidRPr="00E2204B">
        <w:rPr>
          <w:rFonts w:ascii="Times New Roman" w:hAnsi="Times New Roman" w:cs="Times New Roman"/>
          <w:sz w:val="24"/>
          <w:szCs w:val="24"/>
          <w:shd w:val="clear" w:color="auto" w:fill="FFFFFF"/>
        </w:rPr>
        <w:t>European</w:t>
      </w:r>
      <w:proofErr w:type="spellEnd"/>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LeukiemiaNet</w:t>
      </w:r>
      <w:proofErr w:type="spellEnd"/>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IM —</w:t>
      </w:r>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imatinib</w:t>
      </w:r>
      <w:proofErr w:type="spellEnd"/>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 xml:space="preserve">IS — International </w:t>
      </w:r>
      <w:proofErr w:type="spellStart"/>
      <w:r w:rsidR="00E2204B" w:rsidRPr="00E2204B">
        <w:rPr>
          <w:rFonts w:ascii="Times New Roman" w:hAnsi="Times New Roman" w:cs="Times New Roman"/>
          <w:sz w:val="24"/>
          <w:szCs w:val="24"/>
          <w:shd w:val="clear" w:color="auto" w:fill="FFFFFF"/>
        </w:rPr>
        <w:t>Scale</w:t>
      </w:r>
      <w:proofErr w:type="spellEnd"/>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MMR —</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 xml:space="preserve">major </w:t>
      </w:r>
      <w:proofErr w:type="spellStart"/>
      <w:r w:rsidR="00E2204B" w:rsidRPr="00E2204B">
        <w:rPr>
          <w:rFonts w:ascii="Times New Roman" w:hAnsi="Times New Roman" w:cs="Times New Roman"/>
          <w:sz w:val="24"/>
          <w:szCs w:val="24"/>
          <w:shd w:val="clear" w:color="auto" w:fill="FFFFFF"/>
        </w:rPr>
        <w:t>molecular</w:t>
      </w:r>
      <w:proofErr w:type="spellEnd"/>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response</w:t>
      </w:r>
      <w:proofErr w:type="spellEnd"/>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MTD —</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 xml:space="preserve">maximum </w:t>
      </w:r>
      <w:proofErr w:type="spellStart"/>
      <w:r w:rsidR="00E2204B" w:rsidRPr="00E2204B">
        <w:rPr>
          <w:rFonts w:ascii="Times New Roman" w:hAnsi="Times New Roman" w:cs="Times New Roman"/>
          <w:sz w:val="24"/>
          <w:szCs w:val="24"/>
          <w:shd w:val="clear" w:color="auto" w:fill="FFFFFF"/>
        </w:rPr>
        <w:t>tolerated</w:t>
      </w:r>
      <w:proofErr w:type="spellEnd"/>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dose</w:t>
      </w:r>
      <w:proofErr w:type="spellEnd"/>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shd w:val="clear" w:color="auto" w:fill="FFFFFF"/>
        </w:rPr>
        <w:t>NIL —</w:t>
      </w:r>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nilotinib</w:t>
      </w:r>
      <w:proofErr w:type="spellEnd"/>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rPr>
        <w:t>pts</w:t>
      </w:r>
      <w:proofErr w:type="spellEnd"/>
      <w:r w:rsidR="00E2204B" w:rsidRPr="00E2204B">
        <w:rPr>
          <w:rFonts w:ascii="Times New Roman" w:hAnsi="Times New Roman" w:cs="Times New Roman"/>
          <w:sz w:val="24"/>
          <w:szCs w:val="24"/>
        </w:rPr>
        <w:t xml:space="preserve"> </w:t>
      </w:r>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shd w:val="clear" w:color="auto" w:fill="FFFFFF"/>
        </w:rPr>
        <w:t>patients</w:t>
      </w:r>
      <w:proofErr w:type="spellEnd"/>
      <w:r w:rsidR="00E2204B" w:rsidRPr="00E2204B">
        <w:rPr>
          <w:rFonts w:ascii="Times New Roman" w:hAnsi="Times New Roman" w:cs="Times New Roman"/>
          <w:sz w:val="24"/>
          <w:szCs w:val="24"/>
          <w:shd w:val="clear" w:color="auto" w:fill="FFFFFF"/>
        </w:rPr>
        <w:t xml:space="preserve">; </w:t>
      </w:r>
      <w:r w:rsidR="00E2204B" w:rsidRPr="00E2204B">
        <w:rPr>
          <w:rFonts w:ascii="Times New Roman" w:hAnsi="Times New Roman" w:cs="Times New Roman"/>
          <w:sz w:val="24"/>
          <w:szCs w:val="24"/>
        </w:rPr>
        <w:t xml:space="preserve">TKI </w:t>
      </w:r>
      <w:r w:rsidR="00E2204B" w:rsidRPr="00E2204B">
        <w:rPr>
          <w:rFonts w:ascii="Times New Roman" w:hAnsi="Times New Roman" w:cs="Times New Roman"/>
          <w:sz w:val="24"/>
          <w:szCs w:val="24"/>
          <w:shd w:val="clear" w:color="auto" w:fill="FFFFFF"/>
        </w:rPr>
        <w:t>—</w:t>
      </w:r>
      <w:r w:rsidR="00E2204B" w:rsidRPr="00E2204B">
        <w:rPr>
          <w:rFonts w:ascii="Times New Roman" w:hAnsi="Times New Roman" w:cs="Times New Roman"/>
          <w:sz w:val="24"/>
          <w:szCs w:val="24"/>
          <w:shd w:val="clear" w:color="auto" w:fill="FFFFFF"/>
        </w:rPr>
        <w:t xml:space="preserve"> </w:t>
      </w:r>
      <w:proofErr w:type="spellStart"/>
      <w:r w:rsidR="00E2204B" w:rsidRPr="00E2204B">
        <w:rPr>
          <w:rFonts w:ascii="Times New Roman" w:hAnsi="Times New Roman" w:cs="Times New Roman"/>
          <w:sz w:val="24"/>
          <w:szCs w:val="24"/>
        </w:rPr>
        <w:t>tyrosine</w:t>
      </w:r>
      <w:proofErr w:type="spellEnd"/>
      <w:r w:rsidR="00E2204B" w:rsidRPr="00E2204B">
        <w:rPr>
          <w:rFonts w:ascii="Times New Roman" w:hAnsi="Times New Roman" w:cs="Times New Roman"/>
          <w:sz w:val="24"/>
          <w:szCs w:val="24"/>
        </w:rPr>
        <w:t xml:space="preserve"> </w:t>
      </w:r>
      <w:proofErr w:type="spellStart"/>
      <w:r w:rsidR="00E2204B" w:rsidRPr="00E2204B">
        <w:rPr>
          <w:rFonts w:ascii="Times New Roman" w:hAnsi="Times New Roman" w:cs="Times New Roman"/>
          <w:sz w:val="24"/>
          <w:szCs w:val="24"/>
        </w:rPr>
        <w:t>kinase</w:t>
      </w:r>
      <w:proofErr w:type="spellEnd"/>
      <w:r w:rsidR="00E2204B" w:rsidRPr="00E2204B">
        <w:rPr>
          <w:rFonts w:ascii="Times New Roman" w:hAnsi="Times New Roman" w:cs="Times New Roman"/>
          <w:sz w:val="24"/>
          <w:szCs w:val="24"/>
        </w:rPr>
        <w:t xml:space="preserve"> </w:t>
      </w:r>
      <w:proofErr w:type="spellStart"/>
      <w:r w:rsidR="00E2204B" w:rsidRPr="00E2204B">
        <w:rPr>
          <w:rFonts w:ascii="Times New Roman" w:hAnsi="Times New Roman" w:cs="Times New Roman"/>
          <w:sz w:val="24"/>
          <w:szCs w:val="24"/>
        </w:rPr>
        <w:t>inhibitors</w:t>
      </w:r>
      <w:proofErr w:type="spellEnd"/>
    </w:p>
    <w:sectPr w:rsidR="00E2204B" w:rsidRPr="00E2204B" w:rsidSect="007535E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6AD1"/>
    <w:multiLevelType w:val="hybridMultilevel"/>
    <w:tmpl w:val="47444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EC3C00"/>
    <w:multiLevelType w:val="multilevel"/>
    <w:tmpl w:val="24EC3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E003F2"/>
    <w:multiLevelType w:val="hybridMultilevel"/>
    <w:tmpl w:val="09CC4FD2"/>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 w15:restartNumberingAfterBreak="0">
    <w:nsid w:val="65611010"/>
    <w:multiLevelType w:val="hybridMultilevel"/>
    <w:tmpl w:val="C4DCB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5A16876"/>
    <w:multiLevelType w:val="hybridMultilevel"/>
    <w:tmpl w:val="947AB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7979385">
    <w:abstractNumId w:val="1"/>
  </w:num>
  <w:num w:numId="2" w16cid:durableId="1190532106">
    <w:abstractNumId w:val="4"/>
  </w:num>
  <w:num w:numId="3" w16cid:durableId="916286483">
    <w:abstractNumId w:val="0"/>
  </w:num>
  <w:num w:numId="4" w16cid:durableId="283389793">
    <w:abstractNumId w:val="2"/>
  </w:num>
  <w:num w:numId="5" w16cid:durableId="195887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60"/>
    <w:rsid w:val="0000369C"/>
    <w:rsid w:val="000A2B60"/>
    <w:rsid w:val="000B0211"/>
    <w:rsid w:val="000C4D48"/>
    <w:rsid w:val="000E0CBF"/>
    <w:rsid w:val="00157BAA"/>
    <w:rsid w:val="001D7F66"/>
    <w:rsid w:val="002F26DC"/>
    <w:rsid w:val="00355334"/>
    <w:rsid w:val="00434826"/>
    <w:rsid w:val="00490C31"/>
    <w:rsid w:val="004C00AA"/>
    <w:rsid w:val="005A7018"/>
    <w:rsid w:val="007535ED"/>
    <w:rsid w:val="008912DE"/>
    <w:rsid w:val="008F0A1D"/>
    <w:rsid w:val="00A84F06"/>
    <w:rsid w:val="00B04505"/>
    <w:rsid w:val="00B05C7C"/>
    <w:rsid w:val="00B551AE"/>
    <w:rsid w:val="00B66DDA"/>
    <w:rsid w:val="00D64753"/>
    <w:rsid w:val="00E2204B"/>
    <w:rsid w:val="00E35E9B"/>
    <w:rsid w:val="00E410B5"/>
    <w:rsid w:val="00E91D0A"/>
    <w:rsid w:val="00E96C9D"/>
    <w:rsid w:val="00EA7376"/>
    <w:rsid w:val="00EF1DC9"/>
    <w:rsid w:val="00F6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C64"/>
  <w15:docId w15:val="{2595FCEA-DF67-423E-B31B-97EFF6EA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B60"/>
  </w:style>
  <w:style w:type="paragraph" w:styleId="Nagwek1">
    <w:name w:val="heading 1"/>
    <w:basedOn w:val="Normalny"/>
    <w:next w:val="Normalny"/>
    <w:link w:val="Nagwek1Znak"/>
    <w:uiPriority w:val="9"/>
    <w:qFormat/>
    <w:rsid w:val="000A2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A2B60"/>
    <w:rPr>
      <w:rFonts w:asciiTheme="majorHAnsi" w:eastAsiaTheme="majorEastAsia" w:hAnsiTheme="majorHAnsi" w:cstheme="majorBidi"/>
      <w:color w:val="2F5496" w:themeColor="accent1" w:themeShade="BF"/>
      <w:sz w:val="32"/>
      <w:szCs w:val="32"/>
    </w:rPr>
  </w:style>
  <w:style w:type="character" w:styleId="Uwydatnienie">
    <w:name w:val="Emphasis"/>
    <w:basedOn w:val="Domylnaczcionkaakapitu"/>
    <w:uiPriority w:val="20"/>
    <w:qFormat/>
    <w:rsid w:val="000A2B60"/>
    <w:rPr>
      <w:i/>
      <w:iCs/>
    </w:rPr>
  </w:style>
  <w:style w:type="table" w:styleId="Tabela-Siatka">
    <w:name w:val="Table Grid"/>
    <w:basedOn w:val="Standardowy"/>
    <w:uiPriority w:val="39"/>
    <w:rsid w:val="000A2B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A2B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itle-text">
    <w:name w:val="title-text"/>
    <w:basedOn w:val="Domylnaczcionkaakapitu"/>
    <w:qFormat/>
    <w:rsid w:val="000A2B60"/>
  </w:style>
  <w:style w:type="paragraph" w:styleId="Tekstdymka">
    <w:name w:val="Balloon Text"/>
    <w:basedOn w:val="Normalny"/>
    <w:link w:val="TekstdymkaZnak"/>
    <w:uiPriority w:val="99"/>
    <w:semiHidden/>
    <w:unhideWhenUsed/>
    <w:rsid w:val="00434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4826"/>
    <w:rPr>
      <w:rFonts w:ascii="Tahoma" w:hAnsi="Tahoma" w:cs="Tahoma"/>
      <w:sz w:val="16"/>
      <w:szCs w:val="16"/>
    </w:rPr>
  </w:style>
  <w:style w:type="paragraph" w:styleId="Poprawka">
    <w:name w:val="Revision"/>
    <w:hidden/>
    <w:uiPriority w:val="99"/>
    <w:semiHidden/>
    <w:rsid w:val="00F65423"/>
    <w:pPr>
      <w:spacing w:after="0" w:line="240" w:lineRule="auto"/>
    </w:pPr>
  </w:style>
  <w:style w:type="character" w:styleId="Hipercze">
    <w:name w:val="Hyperlink"/>
    <w:basedOn w:val="Domylnaczcionkaakapitu"/>
    <w:uiPriority w:val="99"/>
    <w:unhideWhenUsed/>
    <w:rsid w:val="00EA7376"/>
    <w:rPr>
      <w:color w:val="0563C1" w:themeColor="hyperlink"/>
      <w:u w:val="single"/>
    </w:rPr>
  </w:style>
  <w:style w:type="character" w:styleId="Nierozpoznanawzmianka">
    <w:name w:val="Unresolved Mention"/>
    <w:basedOn w:val="Domylnaczcionkaakapitu"/>
    <w:uiPriority w:val="99"/>
    <w:semiHidden/>
    <w:unhideWhenUsed/>
    <w:rsid w:val="00EA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nicaltrials.gov/"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712</Words>
  <Characters>4726</Characters>
  <Application>Microsoft Office Word</Application>
  <DocSecurity>0</DocSecurity>
  <Lines>205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Joanna Gajkowska</cp:lastModifiedBy>
  <cp:revision>3</cp:revision>
  <dcterms:created xsi:type="dcterms:W3CDTF">2024-02-01T00:34:00Z</dcterms:created>
  <dcterms:modified xsi:type="dcterms:W3CDTF">2024-02-01T00:47:00Z</dcterms:modified>
</cp:coreProperties>
</file>