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EE" w:rsidRPr="00036EA3" w:rsidRDefault="00DC02EE" w:rsidP="00DC02EE">
      <w:pPr>
        <w:spacing w:line="360" w:lineRule="auto"/>
        <w:ind w:right="-426"/>
        <w:rPr>
          <w:rFonts w:ascii="Times New Roman" w:hAnsi="Times New Roman" w:cs="Times New Roman"/>
          <w:sz w:val="24"/>
          <w:szCs w:val="24"/>
        </w:rPr>
      </w:pPr>
    </w:p>
    <w:tbl>
      <w:tblPr>
        <w:tblpPr w:leftFromText="141" w:rightFromText="141" w:vertAnchor="page" w:horzAnchor="page" w:tblpXSpec="center" w:tblpY="1"/>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268"/>
        <w:gridCol w:w="1134"/>
        <w:gridCol w:w="1275"/>
        <w:gridCol w:w="2268"/>
        <w:gridCol w:w="2127"/>
        <w:gridCol w:w="2409"/>
        <w:gridCol w:w="2410"/>
      </w:tblGrid>
      <w:tr w:rsidR="00DC02EE" w:rsidRPr="00036EA3" w:rsidTr="00DC02EE">
        <w:trPr>
          <w:trHeight w:val="433"/>
          <w:jc w:val="center"/>
        </w:trPr>
        <w:tc>
          <w:tcPr>
            <w:tcW w:w="2122" w:type="dxa"/>
            <w:shd w:val="clear" w:color="auto" w:fill="D6E3BC"/>
            <w:vAlign w:val="center"/>
          </w:tcPr>
          <w:p w:rsidR="00DC02EE" w:rsidRPr="00CA050D" w:rsidRDefault="00DC02EE" w:rsidP="00DF09B5">
            <w:pPr>
              <w:ind w:right="-426"/>
              <w:rPr>
                <w:rFonts w:ascii="Times New Roman" w:hAnsi="Times New Roman" w:cs="Times New Roman"/>
                <w:b/>
                <w:sz w:val="24"/>
                <w:szCs w:val="24"/>
              </w:rPr>
            </w:pPr>
            <w:r w:rsidRPr="00CA050D">
              <w:rPr>
                <w:rFonts w:ascii="Times New Roman" w:hAnsi="Times New Roman" w:cs="Times New Roman"/>
                <w:b/>
                <w:sz w:val="24"/>
                <w:szCs w:val="24"/>
              </w:rPr>
              <w:lastRenderedPageBreak/>
              <w:t>TKI/</w:t>
            </w:r>
            <w:r w:rsidRPr="00CA050D">
              <w:rPr>
                <w:rFonts w:ascii="Times New Roman" w:hAnsi="Times New Roman" w:cs="Times New Roman"/>
                <w:b/>
                <w:sz w:val="24"/>
                <w:szCs w:val="24"/>
                <w:lang w:val="en-GB"/>
              </w:rPr>
              <w:t>drug</w:t>
            </w:r>
            <w:r w:rsidRPr="00CA050D">
              <w:rPr>
                <w:rFonts w:ascii="Times New Roman" w:hAnsi="Times New Roman" w:cs="Times New Roman"/>
                <w:b/>
                <w:sz w:val="24"/>
                <w:szCs w:val="24"/>
              </w:rPr>
              <w:t xml:space="preserve"> </w:t>
            </w:r>
            <w:r w:rsidRPr="00CA050D">
              <w:rPr>
                <w:rFonts w:ascii="Times New Roman" w:hAnsi="Times New Roman" w:cs="Times New Roman"/>
                <w:b/>
                <w:sz w:val="24"/>
                <w:szCs w:val="24"/>
                <w:lang w:val="en-GB"/>
              </w:rPr>
              <w:t>properties</w:t>
            </w:r>
          </w:p>
        </w:tc>
        <w:tc>
          <w:tcPr>
            <w:tcW w:w="2268" w:type="dxa"/>
            <w:shd w:val="clear" w:color="auto" w:fill="D6E3BC"/>
          </w:tcPr>
          <w:p w:rsidR="00DC02EE" w:rsidRPr="00CA050D" w:rsidRDefault="00DC02EE" w:rsidP="00DF09B5">
            <w:pPr>
              <w:ind w:right="-426"/>
              <w:rPr>
                <w:rFonts w:ascii="Times New Roman" w:hAnsi="Times New Roman" w:cs="Times New Roman"/>
                <w:b/>
                <w:sz w:val="24"/>
                <w:szCs w:val="24"/>
              </w:rPr>
            </w:pPr>
            <w:r w:rsidRPr="00CA050D">
              <w:rPr>
                <w:rFonts w:ascii="Times New Roman" w:hAnsi="Times New Roman" w:cs="Times New Roman"/>
                <w:b/>
                <w:sz w:val="24"/>
                <w:szCs w:val="24"/>
              </w:rPr>
              <w:t>Imatinib</w:t>
            </w:r>
          </w:p>
        </w:tc>
        <w:tc>
          <w:tcPr>
            <w:tcW w:w="2409" w:type="dxa"/>
            <w:gridSpan w:val="2"/>
            <w:shd w:val="clear" w:color="auto" w:fill="D6E3BC"/>
            <w:vAlign w:val="center"/>
          </w:tcPr>
          <w:p w:rsidR="00DC02EE" w:rsidRPr="00CA050D" w:rsidRDefault="00DC02EE" w:rsidP="00DF09B5">
            <w:pPr>
              <w:ind w:right="-426"/>
              <w:rPr>
                <w:rFonts w:ascii="Times New Roman" w:hAnsi="Times New Roman" w:cs="Times New Roman"/>
                <w:b/>
                <w:sz w:val="24"/>
                <w:szCs w:val="24"/>
              </w:rPr>
            </w:pPr>
            <w:r w:rsidRPr="00CA050D">
              <w:rPr>
                <w:rFonts w:ascii="Times New Roman" w:hAnsi="Times New Roman" w:cs="Times New Roman"/>
                <w:b/>
                <w:sz w:val="24"/>
                <w:szCs w:val="24"/>
              </w:rPr>
              <w:t>Nilotinib</w:t>
            </w:r>
          </w:p>
        </w:tc>
        <w:tc>
          <w:tcPr>
            <w:tcW w:w="2268" w:type="dxa"/>
            <w:shd w:val="clear" w:color="auto" w:fill="D6E3BC"/>
            <w:vAlign w:val="center"/>
          </w:tcPr>
          <w:p w:rsidR="00DC02EE" w:rsidRPr="00CA050D" w:rsidRDefault="00DC02EE" w:rsidP="00DF09B5">
            <w:pPr>
              <w:ind w:right="-426"/>
              <w:rPr>
                <w:rFonts w:ascii="Times New Roman" w:hAnsi="Times New Roman" w:cs="Times New Roman"/>
                <w:b/>
                <w:sz w:val="24"/>
                <w:szCs w:val="24"/>
              </w:rPr>
            </w:pPr>
            <w:r w:rsidRPr="00CA050D">
              <w:rPr>
                <w:rFonts w:ascii="Times New Roman" w:hAnsi="Times New Roman" w:cs="Times New Roman"/>
                <w:b/>
                <w:sz w:val="24"/>
                <w:szCs w:val="24"/>
              </w:rPr>
              <w:t>Dazatinib</w:t>
            </w:r>
          </w:p>
        </w:tc>
        <w:tc>
          <w:tcPr>
            <w:tcW w:w="2127" w:type="dxa"/>
            <w:shd w:val="clear" w:color="auto" w:fill="D6E3BC"/>
          </w:tcPr>
          <w:p w:rsidR="00DC02EE" w:rsidRPr="00CA050D" w:rsidRDefault="00DC02EE" w:rsidP="00DF09B5">
            <w:pPr>
              <w:ind w:right="-426"/>
              <w:rPr>
                <w:rFonts w:ascii="Times New Roman" w:hAnsi="Times New Roman" w:cs="Times New Roman"/>
                <w:b/>
                <w:sz w:val="24"/>
                <w:szCs w:val="24"/>
              </w:rPr>
            </w:pPr>
            <w:r w:rsidRPr="00CA050D">
              <w:rPr>
                <w:rFonts w:ascii="Times New Roman" w:hAnsi="Times New Roman" w:cs="Times New Roman"/>
                <w:b/>
                <w:sz w:val="24"/>
                <w:szCs w:val="24"/>
              </w:rPr>
              <w:t>Bosutinib</w:t>
            </w:r>
          </w:p>
        </w:tc>
        <w:tc>
          <w:tcPr>
            <w:tcW w:w="2409" w:type="dxa"/>
            <w:shd w:val="clear" w:color="auto" w:fill="D6E3BC"/>
          </w:tcPr>
          <w:p w:rsidR="00DC02EE" w:rsidRPr="00CA050D" w:rsidRDefault="00DC02EE" w:rsidP="00DF09B5">
            <w:pPr>
              <w:ind w:right="-426"/>
              <w:rPr>
                <w:rFonts w:ascii="Times New Roman" w:hAnsi="Times New Roman" w:cs="Times New Roman"/>
                <w:b/>
                <w:sz w:val="24"/>
                <w:szCs w:val="24"/>
              </w:rPr>
            </w:pPr>
            <w:r w:rsidRPr="00CA050D">
              <w:rPr>
                <w:rFonts w:ascii="Times New Roman" w:hAnsi="Times New Roman" w:cs="Times New Roman"/>
                <w:b/>
                <w:sz w:val="24"/>
                <w:szCs w:val="24"/>
              </w:rPr>
              <w:t>Ponatinib</w:t>
            </w:r>
          </w:p>
        </w:tc>
        <w:tc>
          <w:tcPr>
            <w:tcW w:w="2410" w:type="dxa"/>
            <w:shd w:val="clear" w:color="auto" w:fill="D6E3BC"/>
          </w:tcPr>
          <w:p w:rsidR="00DC02EE" w:rsidRPr="00CA050D" w:rsidRDefault="00DC02EE" w:rsidP="00DF09B5">
            <w:pPr>
              <w:ind w:right="-426"/>
              <w:rPr>
                <w:rFonts w:ascii="Times New Roman" w:hAnsi="Times New Roman" w:cs="Times New Roman"/>
                <w:b/>
                <w:sz w:val="24"/>
                <w:szCs w:val="24"/>
              </w:rPr>
            </w:pPr>
            <w:r w:rsidRPr="00CA050D">
              <w:rPr>
                <w:rFonts w:ascii="Times New Roman" w:hAnsi="Times New Roman" w:cs="Times New Roman"/>
                <w:b/>
                <w:sz w:val="24"/>
                <w:szCs w:val="24"/>
              </w:rPr>
              <w:t>Asciminib</w:t>
            </w:r>
          </w:p>
        </w:tc>
      </w:tr>
      <w:tr w:rsidR="00DC02EE" w:rsidRPr="00DC02EE" w:rsidTr="00DC02EE">
        <w:trPr>
          <w:trHeight w:val="1309"/>
          <w:jc w:val="center"/>
        </w:trPr>
        <w:tc>
          <w:tcPr>
            <w:tcW w:w="2122" w:type="dxa"/>
          </w:tcPr>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Chemical structure</w:t>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noProof/>
                <w:sz w:val="20"/>
                <w:szCs w:val="20"/>
                <w:lang w:eastAsia="pl-PL"/>
              </w:rPr>
              <w:drawing>
                <wp:inline distT="0" distB="0" distL="0" distR="0" wp14:anchorId="27E7AC12" wp14:editId="7DC108C0">
                  <wp:extent cx="1118166" cy="16478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ini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9397" cy="1679112"/>
                          </a:xfrm>
                          <a:prstGeom prst="rect">
                            <a:avLst/>
                          </a:prstGeom>
                        </pic:spPr>
                      </pic:pic>
                    </a:graphicData>
                  </a:graphic>
                </wp:inline>
              </w:drawing>
            </w:r>
          </w:p>
        </w:tc>
        <w:tc>
          <w:tcPr>
            <w:tcW w:w="2409" w:type="dxa"/>
            <w:gridSpan w:val="2"/>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noProof/>
                <w:sz w:val="20"/>
                <w:szCs w:val="20"/>
                <w:lang w:eastAsia="pl-PL"/>
              </w:rPr>
              <w:drawing>
                <wp:inline distT="0" distB="0" distL="0" distR="0" wp14:anchorId="7179A243" wp14:editId="6252CF8F">
                  <wp:extent cx="941971" cy="17811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lotini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0066" cy="1834300"/>
                          </a:xfrm>
                          <a:prstGeom prst="rect">
                            <a:avLst/>
                          </a:prstGeom>
                        </pic:spPr>
                      </pic:pic>
                    </a:graphicData>
                  </a:graphic>
                </wp:inline>
              </w:drawing>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noProof/>
                <w:sz w:val="20"/>
                <w:szCs w:val="20"/>
                <w:lang w:eastAsia="pl-PL"/>
              </w:rPr>
              <w:drawing>
                <wp:inline distT="0" distB="0" distL="0" distR="0" wp14:anchorId="1DF19E75" wp14:editId="5958AB7F">
                  <wp:extent cx="794385" cy="1800225"/>
                  <wp:effectExtent l="0" t="0" r="571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satini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283" cy="1836253"/>
                          </a:xfrm>
                          <a:prstGeom prst="rect">
                            <a:avLst/>
                          </a:prstGeom>
                        </pic:spPr>
                      </pic:pic>
                    </a:graphicData>
                  </a:graphic>
                </wp:inline>
              </w:drawing>
            </w:r>
          </w:p>
        </w:tc>
        <w:tc>
          <w:tcPr>
            <w:tcW w:w="2127"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noProof/>
                <w:sz w:val="20"/>
                <w:szCs w:val="20"/>
                <w:lang w:eastAsia="pl-PL"/>
              </w:rPr>
              <w:drawing>
                <wp:inline distT="0" distB="0" distL="0" distR="0" wp14:anchorId="39B7FB6F" wp14:editId="6235920F">
                  <wp:extent cx="1505659" cy="17526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sutini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2513" cy="1772218"/>
                          </a:xfrm>
                          <a:prstGeom prst="rect">
                            <a:avLst/>
                          </a:prstGeom>
                        </pic:spPr>
                      </pic:pic>
                    </a:graphicData>
                  </a:graphic>
                </wp:inline>
              </w:drawing>
            </w:r>
          </w:p>
        </w:tc>
        <w:tc>
          <w:tcPr>
            <w:tcW w:w="2409"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noProof/>
                <w:sz w:val="20"/>
                <w:szCs w:val="20"/>
                <w:lang w:eastAsia="pl-PL"/>
              </w:rPr>
              <w:drawing>
                <wp:inline distT="0" distB="0" distL="0" distR="0" wp14:anchorId="3C314741" wp14:editId="4987617A">
                  <wp:extent cx="1150991" cy="18478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natini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131" cy="1880184"/>
                          </a:xfrm>
                          <a:prstGeom prst="rect">
                            <a:avLst/>
                          </a:prstGeom>
                        </pic:spPr>
                      </pic:pic>
                    </a:graphicData>
                  </a:graphic>
                </wp:inline>
              </w:drawing>
            </w:r>
          </w:p>
        </w:tc>
        <w:tc>
          <w:tcPr>
            <w:tcW w:w="2410"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noProof/>
                <w:sz w:val="20"/>
                <w:szCs w:val="20"/>
                <w:lang w:eastAsia="pl-PL"/>
              </w:rPr>
              <w:drawing>
                <wp:inline distT="0" distB="0" distL="0" distR="0" wp14:anchorId="69B36F7E" wp14:editId="23C91D60">
                  <wp:extent cx="772704" cy="1771650"/>
                  <wp:effectExtent l="0" t="0" r="889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cimini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405" cy="1825991"/>
                          </a:xfrm>
                          <a:prstGeom prst="rect">
                            <a:avLst/>
                          </a:prstGeom>
                        </pic:spPr>
                      </pic:pic>
                    </a:graphicData>
                  </a:graphic>
                </wp:inline>
              </w:drawing>
            </w:r>
          </w:p>
        </w:tc>
      </w:tr>
      <w:tr w:rsidR="00DC02EE" w:rsidRPr="00DC02EE" w:rsidTr="00DC02EE">
        <w:trPr>
          <w:trHeight w:val="833"/>
          <w:jc w:val="center"/>
        </w:trPr>
        <w:tc>
          <w:tcPr>
            <w:tcW w:w="2122" w:type="dxa"/>
          </w:tcPr>
          <w:p w:rsidR="00DC02EE" w:rsidRPr="00A13D6B" w:rsidRDefault="00DC02EE" w:rsidP="00DF09B5">
            <w:pPr>
              <w:ind w:right="-267"/>
              <w:rPr>
                <w:rFonts w:ascii="Times New Roman" w:hAnsi="Times New Roman" w:cs="Times New Roman"/>
                <w:sz w:val="20"/>
                <w:szCs w:val="20"/>
              </w:rPr>
            </w:pPr>
            <w:r w:rsidRPr="00A13D6B">
              <w:rPr>
                <w:rFonts w:ascii="Times New Roman" w:hAnsi="Times New Roman" w:cs="Times New Roman"/>
                <w:sz w:val="20"/>
                <w:szCs w:val="20"/>
              </w:rPr>
              <w:t>International Union of Pure and Applied Chemistry (IUAPC) name</w:t>
            </w:r>
          </w:p>
        </w:tc>
        <w:tc>
          <w:tcPr>
            <w:tcW w:w="2268" w:type="dxa"/>
          </w:tcPr>
          <w:p w:rsidR="00DC02EE" w:rsidRPr="00A13D6B" w:rsidRDefault="00DC02EE" w:rsidP="00DF09B5">
            <w:pPr>
              <w:adjustRightInd w:val="0"/>
              <w:ind w:right="-48"/>
              <w:rPr>
                <w:rFonts w:ascii="Times New Roman" w:hAnsi="Times New Roman" w:cs="Times New Roman"/>
                <w:sz w:val="20"/>
                <w:szCs w:val="20"/>
              </w:rPr>
            </w:pPr>
            <w:r w:rsidRPr="00A13D6B">
              <w:rPr>
                <w:rFonts w:ascii="Times New Roman" w:hAnsi="Times New Roman" w:cs="Times New Roman"/>
                <w:sz w:val="20"/>
                <w:szCs w:val="20"/>
              </w:rPr>
              <w:t>4-[(4-methylpiperazin-1-yl)methyl]-N-[4-methyl-3-[(4-pyridin-3-ylpyrimidin-2-yl)amino]phenyl]benzamide</w:t>
            </w:r>
          </w:p>
        </w:tc>
        <w:tc>
          <w:tcPr>
            <w:tcW w:w="2409" w:type="dxa"/>
            <w:gridSpan w:val="2"/>
          </w:tcPr>
          <w:p w:rsidR="00DC02EE" w:rsidRPr="00A13D6B" w:rsidRDefault="00DC02EE" w:rsidP="00DF09B5">
            <w:pPr>
              <w:adjustRightInd w:val="0"/>
              <w:rPr>
                <w:rFonts w:ascii="Times New Roman" w:hAnsi="Times New Roman" w:cs="Times New Roman"/>
                <w:sz w:val="20"/>
                <w:szCs w:val="20"/>
              </w:rPr>
            </w:pPr>
            <w:r w:rsidRPr="00A13D6B">
              <w:rPr>
                <w:rFonts w:ascii="Times New Roman" w:hAnsi="Times New Roman" w:cs="Times New Roman"/>
                <w:sz w:val="20"/>
                <w:szCs w:val="20"/>
              </w:rPr>
              <w:t>4-methyl-N-[3-(4-methylimidazol-1-yl)-5-(trifluoromethyl)phenyl]-3-[(4-pyridin-3-ylpyrimidin-2-yl)amino]benzamide</w:t>
            </w:r>
          </w:p>
        </w:tc>
        <w:tc>
          <w:tcPr>
            <w:tcW w:w="2268" w:type="dxa"/>
          </w:tcPr>
          <w:p w:rsidR="00DC02EE" w:rsidRPr="00A13D6B" w:rsidRDefault="00DC02EE" w:rsidP="00DF09B5">
            <w:pPr>
              <w:adjustRightInd w:val="0"/>
              <w:ind w:right="31"/>
              <w:rPr>
                <w:rFonts w:ascii="Times New Roman" w:hAnsi="Times New Roman" w:cs="Times New Roman"/>
                <w:sz w:val="20"/>
                <w:szCs w:val="20"/>
              </w:rPr>
            </w:pPr>
            <w:r w:rsidRPr="00A13D6B">
              <w:rPr>
                <w:rFonts w:ascii="Times New Roman" w:hAnsi="Times New Roman" w:cs="Times New Roman"/>
                <w:sz w:val="20"/>
                <w:szCs w:val="20"/>
              </w:rPr>
              <w:t>N-(2-chloro-6-methylphenyl)-2-[[6-[4-(2-hydroxyethyl)piperazin-1-yl]-2-methylpyrimidin-4-yl]amino]-1,3-thiazole-5-carboxamide</w:t>
            </w:r>
          </w:p>
        </w:tc>
        <w:tc>
          <w:tcPr>
            <w:tcW w:w="2127" w:type="dxa"/>
          </w:tcPr>
          <w:p w:rsidR="00DC02EE" w:rsidRPr="00A13D6B" w:rsidRDefault="00DC02EE" w:rsidP="00DF09B5">
            <w:pPr>
              <w:adjustRightInd w:val="0"/>
              <w:rPr>
                <w:rFonts w:ascii="Times New Roman" w:hAnsi="Times New Roman" w:cs="Times New Roman"/>
                <w:sz w:val="20"/>
                <w:szCs w:val="20"/>
              </w:rPr>
            </w:pPr>
            <w:r w:rsidRPr="00A13D6B">
              <w:rPr>
                <w:rFonts w:ascii="Times New Roman" w:hAnsi="Times New Roman" w:cs="Times New Roman"/>
                <w:sz w:val="20"/>
                <w:szCs w:val="20"/>
              </w:rPr>
              <w:t>4-(2,4-dichloro-5-methoxyanilino)-6-methoxy-7-[3-(4-methylpiperazin-1-yl)propoxy]quinoline-3-carbonitrile</w:t>
            </w:r>
          </w:p>
        </w:tc>
        <w:tc>
          <w:tcPr>
            <w:tcW w:w="2409" w:type="dxa"/>
          </w:tcPr>
          <w:p w:rsidR="00DC02EE" w:rsidRPr="00A13D6B" w:rsidRDefault="00DC02EE" w:rsidP="00DF09B5">
            <w:pPr>
              <w:adjustRightInd w:val="0"/>
              <w:rPr>
                <w:rFonts w:ascii="Times New Roman" w:hAnsi="Times New Roman" w:cs="Times New Roman"/>
                <w:sz w:val="20"/>
                <w:szCs w:val="20"/>
              </w:rPr>
            </w:pPr>
            <w:r w:rsidRPr="00A13D6B">
              <w:rPr>
                <w:rFonts w:ascii="Times New Roman" w:hAnsi="Times New Roman" w:cs="Times New Roman"/>
                <w:sz w:val="20"/>
                <w:szCs w:val="20"/>
              </w:rPr>
              <w:t>3-(2-imidazo[1,2-b]pyridazin-3-ylethynyl)-4-methyl-N-[4-[(4-methylpiperazin-1-yl)methyl]-3-(trifluoromethyl)phenyl]benzamide</w:t>
            </w:r>
          </w:p>
        </w:tc>
        <w:tc>
          <w:tcPr>
            <w:tcW w:w="2410" w:type="dxa"/>
          </w:tcPr>
          <w:p w:rsidR="00DC02EE" w:rsidRPr="00A13D6B" w:rsidRDefault="00DC02EE" w:rsidP="00DF09B5">
            <w:pPr>
              <w:adjustRightInd w:val="0"/>
              <w:rPr>
                <w:rFonts w:ascii="Times New Roman" w:hAnsi="Times New Roman" w:cs="Times New Roman"/>
                <w:sz w:val="20"/>
                <w:szCs w:val="20"/>
              </w:rPr>
            </w:pPr>
            <w:r w:rsidRPr="00A13D6B">
              <w:rPr>
                <w:rFonts w:ascii="Times New Roman" w:hAnsi="Times New Roman" w:cs="Times New Roman"/>
                <w:sz w:val="20"/>
                <w:szCs w:val="20"/>
              </w:rPr>
              <w:t>N-[4-[chloro(difluoro)methoxy]phenyl]-6-[(3R)-3-hydroxypyrrolidin-1-yl]-5-(1H-pyrazol-5-yl)pyridine-3-carboxamide</w:t>
            </w:r>
          </w:p>
        </w:tc>
      </w:tr>
      <w:tr w:rsidR="00DC02EE" w:rsidRPr="00DC02EE" w:rsidTr="00DC02EE">
        <w:trPr>
          <w:trHeight w:val="305"/>
          <w:jc w:val="center"/>
        </w:trPr>
        <w:tc>
          <w:tcPr>
            <w:tcW w:w="2122" w:type="dxa"/>
          </w:tcPr>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Molecular formula</w:t>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C29H31N7O</w:t>
            </w:r>
          </w:p>
        </w:tc>
        <w:tc>
          <w:tcPr>
            <w:tcW w:w="2409" w:type="dxa"/>
            <w:gridSpan w:val="2"/>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C28H22F3N7O</w:t>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C22H26ClN7O2S</w:t>
            </w:r>
          </w:p>
        </w:tc>
        <w:tc>
          <w:tcPr>
            <w:tcW w:w="2127"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C26H29Cl2N5O3</w:t>
            </w:r>
          </w:p>
        </w:tc>
        <w:tc>
          <w:tcPr>
            <w:tcW w:w="2409"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C29H27F3N6O</w:t>
            </w:r>
          </w:p>
        </w:tc>
        <w:tc>
          <w:tcPr>
            <w:tcW w:w="2410"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C20H18ClF2N5O3</w:t>
            </w:r>
          </w:p>
        </w:tc>
      </w:tr>
      <w:tr w:rsidR="00DC02EE" w:rsidRPr="00DC02EE" w:rsidTr="00DC02EE">
        <w:trPr>
          <w:trHeight w:val="554"/>
          <w:jc w:val="center"/>
        </w:trPr>
        <w:tc>
          <w:tcPr>
            <w:tcW w:w="2122" w:type="dxa"/>
          </w:tcPr>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Spectrum of inhibitory activity</w:t>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ABL1</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ARG</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BCR-ABL</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KIT</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PDGFR</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DDR1</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NQO2</w:t>
            </w:r>
          </w:p>
        </w:tc>
        <w:tc>
          <w:tcPr>
            <w:tcW w:w="2409" w:type="dxa"/>
            <w:gridSpan w:val="2"/>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ABL1</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ARG</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BCR-ABL</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KIT</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PDGFR</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DDR1</w:t>
            </w:r>
          </w:p>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NQO2</w:t>
            </w:r>
          </w:p>
        </w:tc>
        <w:tc>
          <w:tcPr>
            <w:tcW w:w="2268" w:type="dxa"/>
          </w:tcPr>
          <w:p w:rsidR="00DC02EE" w:rsidRPr="00A13D6B" w:rsidRDefault="00DC02EE" w:rsidP="00DF09B5">
            <w:pPr>
              <w:adjustRightInd w:val="0"/>
              <w:rPr>
                <w:rFonts w:ascii="Times New Roman" w:hAnsi="Times New Roman" w:cs="Times New Roman"/>
                <w:sz w:val="20"/>
                <w:szCs w:val="20"/>
                <w:lang w:val="nb-NO"/>
              </w:rPr>
            </w:pPr>
            <w:r w:rsidRPr="00A13D6B">
              <w:rPr>
                <w:rFonts w:ascii="Times New Roman" w:hAnsi="Times New Roman" w:cs="Times New Roman"/>
                <w:sz w:val="20"/>
                <w:szCs w:val="20"/>
              </w:rPr>
              <w:t xml:space="preserve">ABL1, ARG, BCR-ABL, KIT, PDGFR, SRC,YES,FYN, LYN, HCK, LCK, FGR, BLK, FRK, CSK,BTK, TEC, BMX, TXK, DDR1, DDR2, ACK, ACTR2B, ACVR2, BRAF, EGFR/ERBB1-5, EPHA8,EPHB1-2, EPHB4, EPHB6, ERBB2, ERBB4,FAK, GAK, GCK, HH498/TNNI3K, ILK, LIMK1-2, MAP2K5, MAP3K1-4, MAP4K1, </w:t>
            </w:r>
            <w:r w:rsidRPr="00A13D6B">
              <w:rPr>
                <w:rFonts w:ascii="Times New Roman" w:hAnsi="Times New Roman" w:cs="Times New Roman"/>
                <w:sz w:val="20"/>
                <w:szCs w:val="20"/>
                <w:lang w:val="nb-NO"/>
              </w:rPr>
              <w:t>MAP4K5/KHS1, MAPK11/p38 beta, MAPK14/p</w:t>
            </w:r>
            <w:r w:rsidRPr="00A13D6B">
              <w:rPr>
                <w:rFonts w:ascii="Times New Roman" w:hAnsi="Times New Roman" w:cs="Times New Roman"/>
                <w:sz w:val="20"/>
                <w:szCs w:val="20"/>
                <w:lang w:val="nb-NO"/>
              </w:rPr>
              <w:t xml:space="preserve">38 alpha, MYT1,NLK, PTK6/Brk, </w:t>
            </w:r>
            <w:r w:rsidRPr="00A13D6B">
              <w:rPr>
                <w:rFonts w:ascii="Times New Roman" w:hAnsi="Times New Roman" w:cs="Times New Roman"/>
                <w:sz w:val="20"/>
                <w:szCs w:val="20"/>
                <w:lang w:val="da-DK"/>
              </w:rPr>
              <w:t>QIK,</w:t>
            </w:r>
            <w:r w:rsidRPr="00A13D6B">
              <w:rPr>
                <w:rFonts w:ascii="Times New Roman" w:hAnsi="Times New Roman" w:cs="Times New Roman"/>
                <w:sz w:val="20"/>
                <w:szCs w:val="20"/>
                <w:lang w:val="nb-NO"/>
              </w:rPr>
              <w:t xml:space="preserve"> </w:t>
            </w:r>
            <w:r w:rsidRPr="00A13D6B">
              <w:rPr>
                <w:rFonts w:ascii="Times New Roman" w:hAnsi="Times New Roman" w:cs="Times New Roman"/>
                <w:sz w:val="20"/>
                <w:szCs w:val="20"/>
                <w:lang w:val="da-DK"/>
              </w:rPr>
              <w:t xml:space="preserve">QSK, RAF1, RET, RIPK2, SLK, </w:t>
            </w:r>
            <w:r w:rsidRPr="00A13D6B">
              <w:rPr>
                <w:rFonts w:ascii="Times New Roman" w:hAnsi="Times New Roman" w:cs="Times New Roman"/>
                <w:sz w:val="20"/>
                <w:szCs w:val="20"/>
                <w:lang w:val="nb-NO"/>
              </w:rPr>
              <w:t xml:space="preserve">STK36/ULK, SYK, TAO3, TESK2, TYK2, ZAK </w:t>
            </w:r>
            <w:r w:rsidRPr="00A13D6B">
              <w:rPr>
                <w:rFonts w:ascii="Times New Roman" w:hAnsi="Times New Roman" w:cs="Times New Roman"/>
                <w:sz w:val="20"/>
                <w:szCs w:val="20"/>
              </w:rPr>
              <w:t>[6]</w:t>
            </w:r>
          </w:p>
        </w:tc>
        <w:tc>
          <w:tcPr>
            <w:tcW w:w="2127"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BCR-ABL1, ABL1, SRC, LYN, HCK</w:t>
            </w:r>
          </w:p>
        </w:tc>
        <w:tc>
          <w:tcPr>
            <w:tcW w:w="2409"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i/>
                <w:iCs/>
                <w:sz w:val="20"/>
                <w:szCs w:val="20"/>
              </w:rPr>
              <w:t>ABL1</w:t>
            </w:r>
            <w:r w:rsidRPr="00A13D6B">
              <w:rPr>
                <w:rFonts w:ascii="Times New Roman" w:hAnsi="Times New Roman" w:cs="Times New Roman"/>
                <w:sz w:val="20"/>
                <w:szCs w:val="20"/>
              </w:rPr>
              <w:t xml:space="preserve">, </w:t>
            </w:r>
            <w:r w:rsidRPr="00A13D6B">
              <w:rPr>
                <w:rFonts w:ascii="Times New Roman" w:hAnsi="Times New Roman" w:cs="Times New Roman"/>
                <w:i/>
                <w:iCs/>
                <w:sz w:val="20"/>
                <w:szCs w:val="20"/>
              </w:rPr>
              <w:t xml:space="preserve">KIT, PDGFR, SRC </w:t>
            </w:r>
            <w:r w:rsidRPr="00A13D6B">
              <w:rPr>
                <w:rFonts w:ascii="Times New Roman" w:hAnsi="Times New Roman" w:cs="Times New Roman"/>
                <w:sz w:val="20"/>
                <w:szCs w:val="20"/>
              </w:rPr>
              <w:t xml:space="preserve">family, </w:t>
            </w:r>
            <w:r w:rsidRPr="00A13D6B">
              <w:rPr>
                <w:rFonts w:ascii="Times New Roman" w:hAnsi="Times New Roman" w:cs="Times New Roman"/>
                <w:i/>
                <w:iCs/>
                <w:sz w:val="20"/>
                <w:szCs w:val="20"/>
              </w:rPr>
              <w:t>VEGFR, EGFR, HER2, FLT3, FGFR</w:t>
            </w:r>
            <w:r w:rsidRPr="00A13D6B">
              <w:rPr>
                <w:rFonts w:ascii="Times New Roman" w:hAnsi="Times New Roman" w:cs="Times New Roman"/>
                <w:sz w:val="20"/>
                <w:szCs w:val="20"/>
              </w:rPr>
              <w:t xml:space="preserve">, and </w:t>
            </w:r>
            <w:r w:rsidRPr="00A13D6B">
              <w:rPr>
                <w:rFonts w:ascii="Times New Roman" w:hAnsi="Times New Roman" w:cs="Times New Roman"/>
                <w:i/>
                <w:iCs/>
                <w:sz w:val="20"/>
                <w:szCs w:val="20"/>
              </w:rPr>
              <w:t xml:space="preserve">JAK2 </w:t>
            </w:r>
            <w:r w:rsidRPr="00A13D6B">
              <w:rPr>
                <w:rFonts w:ascii="Times New Roman" w:hAnsi="Times New Roman" w:cs="Times New Roman"/>
                <w:i/>
                <w:iCs/>
                <w:sz w:val="20"/>
                <w:szCs w:val="20"/>
              </w:rPr>
              <w:fldChar w:fldCharType="begin" w:fldLock="1"/>
            </w:r>
            <w:r w:rsidRPr="00A13D6B">
              <w:rPr>
                <w:rFonts w:ascii="Times New Roman" w:hAnsi="Times New Roman" w:cs="Times New Roman"/>
                <w:i/>
                <w:iCs/>
                <w:sz w:val="20"/>
                <w:szCs w:val="20"/>
              </w:rPr>
              <w:instrText>ADDIN CSL_CITATION {"citationItems":[{"id":"ITEM-1","itemData":{"DOI":"10.1007/S12185-021-03126-6","ISSN":"1865-3774","PMID":"33772728","abstract":"BCR-ABL1 plays a key role in the pathogenesis of chronic myeloid leukemia (CML), and it has been investigated as a druggable target of tyrosine kinase inhibitors (TKIs) over two decades. Since imatinib, the first TKI for anti-cancer therapy, was successfully applied in CML therapy, further generation TKIs and a novel allosteric inhibitor targeting the myristate binding site have been developed as alternative options for CML management. However, significant concerns regarding toxicity profiles, especially in long-term treatment, have emerged from TKI clinical data. Efforts to reduce adverse events and serious complications are warranted not only for survival, but also quality of life in CML patients. A better understanding of the mechanism of action will help to identify on- and off-target effects of TKIs, and guide personalized TKI drug selection in each individual CML patient. Herein, this review summarizes the biologic mechanism of BCR-ABL1 inhibition and differential target spectra, and related off-target effects of each TKI.","author":[{"dropping-particle":"","family":"Lee","given":"Hyewon","non-dropping-particle":"","parse-names":false,"suffix":""},{"dropping-particle":"","family":"Basso","given":"Igor Novitzky","non-dropping-particle":"","parse-names":false,"suffix":""},{"dropping-particle":"","family":"Kim","given":"Dennis Dong Hwan","non-dropping-particle":"","parse-names":false,"suffix":""}],"container-title":"International journal of hematology","id":"ITEM-1","issue":"5","issued":{"date-parts":[["2021","5","1"]]},"page":"632-641","publisher":"Int J Hematol","title":"Target spectrum of the BCR-ABL tyrosine kinase inhibitors in chronic myeloid leukemia","type":"article-journal","volume":"113"},"uris":["http://www.mendeley.com/documents/?uuid=ca2fba9a-1a2d-3b15-a26f-96a2b800edbb"]}],"mendeley":{"formattedCitation":"[7]","plainTextFormattedCitation":"[7]","previouslyFormattedCitation":"[7]"},"properties":{"noteIndex":0},"schema":"https://github.com/citation-style-language/schema/raw/master/csl-citation.json"}</w:instrText>
            </w:r>
            <w:r w:rsidRPr="00A13D6B">
              <w:rPr>
                <w:rFonts w:ascii="Times New Roman" w:hAnsi="Times New Roman" w:cs="Times New Roman"/>
                <w:i/>
                <w:iCs/>
                <w:sz w:val="20"/>
                <w:szCs w:val="20"/>
              </w:rPr>
              <w:fldChar w:fldCharType="separate"/>
            </w:r>
            <w:r w:rsidRPr="00A13D6B">
              <w:rPr>
                <w:rFonts w:ascii="Times New Roman" w:hAnsi="Times New Roman" w:cs="Times New Roman"/>
                <w:iCs/>
                <w:noProof/>
                <w:sz w:val="20"/>
                <w:szCs w:val="20"/>
              </w:rPr>
              <w:t>[7]</w:t>
            </w:r>
            <w:r w:rsidRPr="00A13D6B">
              <w:rPr>
                <w:rFonts w:ascii="Times New Roman" w:hAnsi="Times New Roman" w:cs="Times New Roman"/>
                <w:i/>
                <w:iCs/>
                <w:sz w:val="20"/>
                <w:szCs w:val="20"/>
              </w:rPr>
              <w:fldChar w:fldCharType="end"/>
            </w:r>
          </w:p>
        </w:tc>
        <w:tc>
          <w:tcPr>
            <w:tcW w:w="2410"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BCR-ABL1 [8]</w:t>
            </w:r>
          </w:p>
        </w:tc>
      </w:tr>
      <w:tr w:rsidR="00DC02EE" w:rsidRPr="00DC02EE" w:rsidTr="00DC02EE">
        <w:trPr>
          <w:trHeight w:val="1467"/>
          <w:jc w:val="center"/>
        </w:trPr>
        <w:tc>
          <w:tcPr>
            <w:tcW w:w="2122" w:type="dxa"/>
          </w:tcPr>
          <w:p w:rsidR="00DC02EE" w:rsidRPr="00A13D6B" w:rsidRDefault="00DC02EE" w:rsidP="00DC02EE">
            <w:pPr>
              <w:ind w:right="-426"/>
              <w:rPr>
                <w:rFonts w:ascii="Times New Roman" w:hAnsi="Times New Roman" w:cs="Times New Roman"/>
                <w:b/>
                <w:sz w:val="20"/>
                <w:szCs w:val="20"/>
              </w:rPr>
            </w:pPr>
            <w:r w:rsidRPr="00A13D6B">
              <w:rPr>
                <w:rFonts w:ascii="Times New Roman" w:hAnsi="Times New Roman" w:cs="Times New Roman"/>
                <w:sz w:val="20"/>
                <w:szCs w:val="20"/>
              </w:rPr>
              <w:lastRenderedPageBreak/>
              <w:t xml:space="preserve">BCR-ABL tyrosine kinase inhibitory mode of </w:t>
            </w:r>
            <w:r w:rsidRPr="00A13D6B">
              <w:rPr>
                <w:rFonts w:ascii="Times New Roman" w:hAnsi="Times New Roman" w:cs="Times New Roman"/>
                <w:sz w:val="20"/>
                <w:szCs w:val="20"/>
              </w:rPr>
              <w:t>action</w:t>
            </w:r>
          </w:p>
        </w:tc>
        <w:tc>
          <w:tcPr>
            <w:tcW w:w="2268" w:type="dxa"/>
          </w:tcPr>
          <w:p w:rsidR="00DC02EE" w:rsidRPr="00A13D6B" w:rsidRDefault="00DC02EE" w:rsidP="00DF09B5">
            <w:pPr>
              <w:ind w:right="-2174"/>
              <w:rPr>
                <w:rFonts w:ascii="Times New Roman" w:hAnsi="Times New Roman" w:cs="Times New Roman"/>
                <w:sz w:val="20"/>
                <w:szCs w:val="20"/>
              </w:rPr>
            </w:pPr>
            <w:r w:rsidRPr="00A13D6B">
              <w:rPr>
                <w:rFonts w:ascii="Times New Roman" w:hAnsi="Times New Roman" w:cs="Times New Roman"/>
                <w:sz w:val="20"/>
                <w:szCs w:val="20"/>
              </w:rPr>
              <w:t xml:space="preserve">Works by binding close to the </w:t>
            </w:r>
          </w:p>
          <w:p w:rsidR="00DC02EE" w:rsidRPr="00A13D6B" w:rsidRDefault="00DC02EE" w:rsidP="00DF09B5">
            <w:pPr>
              <w:ind w:right="-2174"/>
              <w:rPr>
                <w:rFonts w:ascii="Times New Roman" w:hAnsi="Times New Roman" w:cs="Times New Roman"/>
                <w:sz w:val="20"/>
                <w:szCs w:val="20"/>
              </w:rPr>
            </w:pPr>
            <w:r w:rsidRPr="00A13D6B">
              <w:rPr>
                <w:rFonts w:ascii="Times New Roman" w:hAnsi="Times New Roman" w:cs="Times New Roman"/>
                <w:sz w:val="20"/>
                <w:szCs w:val="20"/>
              </w:rPr>
              <w:t>ATP binding site, locking it in</w:t>
            </w:r>
          </w:p>
          <w:p w:rsidR="00DC02EE" w:rsidRPr="00A13D6B" w:rsidRDefault="00DC02EE" w:rsidP="00A13D6B">
            <w:pPr>
              <w:ind w:right="-2174"/>
              <w:rPr>
                <w:rFonts w:ascii="Times New Roman" w:hAnsi="Times New Roman" w:cs="Times New Roman"/>
                <w:sz w:val="20"/>
                <w:szCs w:val="20"/>
              </w:rPr>
            </w:pPr>
            <w:r w:rsidRPr="00A13D6B">
              <w:rPr>
                <w:rFonts w:ascii="Times New Roman" w:hAnsi="Times New Roman" w:cs="Times New Roman"/>
                <w:sz w:val="20"/>
                <w:szCs w:val="20"/>
              </w:rPr>
              <w:t xml:space="preserve"> a closed or self-inhibited conformation, therefore</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 xml:space="preserve">inhibiting the enzyme activity of the protein semicompetitively </w:t>
            </w:r>
            <w:r w:rsidRPr="00A13D6B">
              <w:rPr>
                <w:rFonts w:ascii="Times New Roman" w:hAnsi="Times New Roman" w:cs="Times New Roman"/>
                <w:sz w:val="20"/>
                <w:szCs w:val="20"/>
              </w:rPr>
              <w:fldChar w:fldCharType="begin" w:fldLock="1"/>
            </w:r>
            <w:r w:rsidRPr="00A13D6B">
              <w:rPr>
                <w:rFonts w:ascii="Times New Roman" w:hAnsi="Times New Roman" w:cs="Times New Roman"/>
                <w:sz w:val="20"/>
                <w:szCs w:val="20"/>
              </w:rPr>
              <w:instrText>ADDIN CSL_CITATION {"citationItems":[{"id":"ITEM-1","itemData":{"URL":"https://pubmed.ncbi.nlm.nih.gov/8548747/","accessed":{"date-parts":[["2022","2","1"]]},"id":"ITEM-1","issued":{"date-parts":[["0"]]},"title":"Inhibition of the Abl protein-tyrosine kinase in vitro and in vivo by a 2-phenylaminopyrimidine derivative - PubMed","type":"webpage"},"uris":["http://www.mendeley.com/documents/?uuid=063954ea-8c27-30cc-8b0d-78bdfcb19cec"]}],"mendeley":{"formattedCitation":"[9]","plainTextFormattedCitation":"[9]","previouslyFormattedCitation":"[9]"},"properties":{"noteIndex":0},"schema":"https://github.com/citation-style-language/schema/raw/master/csl-citation.json"}</w:instrText>
            </w:r>
            <w:r w:rsidRPr="00A13D6B">
              <w:rPr>
                <w:rFonts w:ascii="Times New Roman" w:hAnsi="Times New Roman" w:cs="Times New Roman"/>
                <w:sz w:val="20"/>
                <w:szCs w:val="20"/>
              </w:rPr>
              <w:fldChar w:fldCharType="separate"/>
            </w:r>
            <w:r w:rsidRPr="00A13D6B">
              <w:rPr>
                <w:rFonts w:ascii="Times New Roman" w:hAnsi="Times New Roman" w:cs="Times New Roman"/>
                <w:noProof/>
                <w:sz w:val="20"/>
                <w:szCs w:val="20"/>
              </w:rPr>
              <w:t>[9]</w:t>
            </w:r>
            <w:r w:rsidRPr="00A13D6B">
              <w:rPr>
                <w:rFonts w:ascii="Times New Roman" w:hAnsi="Times New Roman" w:cs="Times New Roman"/>
                <w:sz w:val="20"/>
                <w:szCs w:val="20"/>
              </w:rPr>
              <w:fldChar w:fldCharType="end"/>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fldChar w:fldCharType="begin" w:fldLock="1"/>
            </w:r>
            <w:r w:rsidRPr="00A13D6B">
              <w:rPr>
                <w:rFonts w:ascii="Times New Roman" w:hAnsi="Times New Roman" w:cs="Times New Roman"/>
                <w:sz w:val="20"/>
                <w:szCs w:val="20"/>
              </w:rPr>
              <w:instrText>ADDIN CSL_CITATION {"citationItems":[{"id":"ITEM-1","itemData":{"DOI":"10.1182/BLOOD.V90.9.3691","ISSN":"0006-4971","PMID":"9345054","abstract":"The Philadelphia chromosome found in virtually all cases of chronic myeloid leukemia (CML) and in about one third of the cases of adult acute lymphoblastic leukemia is formed by a reciprocal translocation between chromosomes 9 and 22 that results in the fusion of BCR and ABL genetic sequences. This BCR-ABL hybrid gene codes for a fusion protein with deregulated tyrosine kinase activity that can apparently cause malignant transformation, CGP57148B, a 2-phenylaminopyrimidine derivative, has been shown to selectively inhibit the tyrosine kinase of ABL and BCR-ABL. We report here that this compound selectively suppresses the growth of colony- forming unit-granulocyte/macrophage (CFU-GM) and burst-forming unit-erythroid derived from CML over a 2-logarithmic dose range with a maximal differential effect at 1.0 μmol/L. However, almost all CML colonies that grow in the presence of 1.0 μmol/L CGP57148B are BCR-ABL-positive, which may reflect the fact that residual normal clonogenic myeloid precursors are infrequent in most patients with CML. We also studied the effects of CGP57148B on hematopoietic call lines. Proliferation was suppressed in most of the BCR- ABL-positive lines; all five BCR-ABL- negative lines were unaffected. We conclude that this new agent may have significant therapeutic applications.","author":[{"dropping-particle":"","family":"Deininger","given":"Michael W.N.","non-dropping-particle":"","parse-names":false,"suffix":""},{"dropping-particle":"","family":"Goldman","given":"John M.","non-dropping-particle":"","parse-names":false,"suffix":""},{"dropping-particle":"","family":"Lydon","given":"Nicholas","non-dropping-particle":"","parse-names":false,"suffix":""},{"dropping-particle":"V.","family":"Melo","given":"Junia","non-dropping-particle":"","parse-names":false,"suffix":""}],"container-title":"Blood","id":"ITEM-1","issue":"9","issued":{"date-parts":[["1997","11","1"]]},"page":"3691-3698","publisher":"American Society of Hematology","title":"The Tyrosine Kinase Inhibitor CGP57148B Selectively Inhibits the Growth of BCR-ABL–Positive Cells","type":"article-journal","volume":"90"},"uris":["http://www.mendeley.com/documents/?uuid=49827160-8519-3e0f-a29d-3a2fde836145"]}],"mendeley":{"formattedCitation":"[10]","plainTextFormattedCitation":"[10]","previouslyFormattedCitation":"[10]"},"properties":{"noteIndex":0},"schema":"https://github.com/citation-style-language/schema/raw/master/csl-citation.json"}</w:instrText>
            </w:r>
            <w:r w:rsidRPr="00A13D6B">
              <w:rPr>
                <w:rFonts w:ascii="Times New Roman" w:hAnsi="Times New Roman" w:cs="Times New Roman"/>
                <w:sz w:val="20"/>
                <w:szCs w:val="20"/>
              </w:rPr>
              <w:fldChar w:fldCharType="separate"/>
            </w:r>
            <w:r w:rsidRPr="00A13D6B">
              <w:rPr>
                <w:rFonts w:ascii="Times New Roman" w:hAnsi="Times New Roman" w:cs="Times New Roman"/>
                <w:noProof/>
                <w:sz w:val="20"/>
                <w:szCs w:val="20"/>
              </w:rPr>
              <w:t>[10]</w:t>
            </w:r>
            <w:r w:rsidRPr="00A13D6B">
              <w:rPr>
                <w:rFonts w:ascii="Times New Roman" w:hAnsi="Times New Roman" w:cs="Times New Roman"/>
                <w:sz w:val="20"/>
                <w:szCs w:val="20"/>
              </w:rPr>
              <w:fldChar w:fldCharType="end"/>
            </w:r>
          </w:p>
        </w:tc>
        <w:tc>
          <w:tcPr>
            <w:tcW w:w="2409" w:type="dxa"/>
            <w:gridSpan w:val="2"/>
          </w:tcPr>
          <w:p w:rsidR="00DC02EE" w:rsidRPr="00A13D6B" w:rsidRDefault="00DC02EE" w:rsidP="00DF09B5">
            <w:pPr>
              <w:ind w:right="31"/>
              <w:rPr>
                <w:rFonts w:ascii="Times New Roman" w:eastAsia="Times New Roman" w:hAnsi="Times New Roman" w:cs="Times New Roman"/>
                <w:sz w:val="20"/>
                <w:szCs w:val="20"/>
                <w:lang w:eastAsia="pl-PL"/>
              </w:rPr>
            </w:pPr>
            <w:r w:rsidRPr="00A13D6B">
              <w:rPr>
                <w:rFonts w:ascii="Times New Roman" w:hAnsi="Times New Roman" w:cs="Times New Roman"/>
                <w:bCs/>
                <w:sz w:val="20"/>
                <w:szCs w:val="20"/>
              </w:rPr>
              <w:t>Binds to and stabilizes inactive conformation of kinase domain of Abl protein [11]</w:t>
            </w:r>
          </w:p>
        </w:tc>
        <w:tc>
          <w:tcPr>
            <w:tcW w:w="2268" w:type="dxa"/>
          </w:tcPr>
          <w:p w:rsidR="00DC02EE" w:rsidRPr="00A13D6B" w:rsidRDefault="00DC02EE" w:rsidP="00DF09B5">
            <w:pPr>
              <w:adjustRightInd w:val="0"/>
              <w:rPr>
                <w:rFonts w:ascii="Times New Roman" w:hAnsi="Times New Roman" w:cs="Times New Roman"/>
                <w:sz w:val="20"/>
                <w:szCs w:val="20"/>
              </w:rPr>
            </w:pPr>
            <w:r w:rsidRPr="00A13D6B">
              <w:rPr>
                <w:rFonts w:ascii="Times New Roman" w:hAnsi="Times New Roman" w:cs="Times New Roman"/>
                <w:sz w:val="20"/>
                <w:szCs w:val="20"/>
              </w:rPr>
              <w:t>Binds to ATP-binding site, but extends in opposite direction from imatinib. Binds inactive and active conformation of ABL kinase domain, requires fewer contact points with ABL, and has a greater affinity to ABL kinase domain compared to IM [12, 13]</w:t>
            </w:r>
          </w:p>
        </w:tc>
        <w:tc>
          <w:tcPr>
            <w:tcW w:w="2127" w:type="dxa"/>
          </w:tcPr>
          <w:p w:rsidR="00DC02EE" w:rsidRPr="00A13D6B" w:rsidRDefault="00DC02EE" w:rsidP="00DF09B5">
            <w:pPr>
              <w:adjustRightInd w:val="0"/>
              <w:rPr>
                <w:rFonts w:ascii="Times New Roman" w:hAnsi="Times New Roman" w:cs="Times New Roman"/>
                <w:sz w:val="20"/>
                <w:szCs w:val="20"/>
              </w:rPr>
            </w:pPr>
            <w:r w:rsidRPr="00A13D6B">
              <w:rPr>
                <w:rFonts w:ascii="Times New Roman" w:hAnsi="Times New Roman" w:cs="Times New Roman"/>
                <w:sz w:val="20"/>
                <w:szCs w:val="20"/>
              </w:rPr>
              <w:t>ATP-competitive inhibitor of Src and Abl tyrosine kinases [14]</w:t>
            </w:r>
          </w:p>
        </w:tc>
        <w:tc>
          <w:tcPr>
            <w:tcW w:w="2409" w:type="dxa"/>
          </w:tcPr>
          <w:p w:rsidR="00DC02EE" w:rsidRPr="00A13D6B" w:rsidRDefault="00DC02EE" w:rsidP="00DC02EE">
            <w:pPr>
              <w:adjustRightInd w:val="0"/>
              <w:rPr>
                <w:rFonts w:ascii="Times New Roman" w:hAnsi="Times New Roman" w:cs="Times New Roman"/>
                <w:b/>
                <w:sz w:val="20"/>
                <w:szCs w:val="20"/>
              </w:rPr>
            </w:pPr>
            <w:r w:rsidRPr="00A13D6B">
              <w:rPr>
                <w:rFonts w:ascii="Times New Roman" w:hAnsi="Times New Roman" w:cs="Times New Roman"/>
                <w:sz w:val="20"/>
                <w:szCs w:val="20"/>
              </w:rPr>
              <w:t>Acts as a multikinase inhibitor. Introduction of a triple bond ethynyl linker allowed spanning of bulky T315I isoleucine residue side chain in ATP-binding site, and overcame</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resistance to prior generation TKIs [15, 16]</w:t>
            </w:r>
          </w:p>
        </w:tc>
        <w:tc>
          <w:tcPr>
            <w:tcW w:w="2410" w:type="dxa"/>
          </w:tcPr>
          <w:p w:rsidR="00DC02EE" w:rsidRPr="00A13D6B" w:rsidRDefault="00DC02EE" w:rsidP="00DF09B5">
            <w:pPr>
              <w:adjustRightInd w:val="0"/>
              <w:ind w:right="31"/>
              <w:rPr>
                <w:rFonts w:ascii="Times New Roman" w:hAnsi="Times New Roman" w:cs="Times New Roman"/>
                <w:sz w:val="20"/>
                <w:szCs w:val="20"/>
              </w:rPr>
            </w:pPr>
            <w:r w:rsidRPr="00A13D6B">
              <w:rPr>
                <w:rFonts w:ascii="Times New Roman" w:hAnsi="Times New Roman" w:cs="Times New Roman"/>
                <w:sz w:val="20"/>
                <w:szCs w:val="20"/>
              </w:rPr>
              <w:t xml:space="preserve">Acts as an allosteric inhibitor and engages a vacant pocket at site of kinase domain normally occupied by myristoylated N-terminal of ABL1 </w:t>
            </w:r>
            <w:r w:rsidRPr="00A13D6B">
              <w:rPr>
                <w:rFonts w:ascii="Times New Roman" w:hAnsi="Times New Roman" w:cs="Times New Roman"/>
                <w:sz w:val="20"/>
                <w:szCs w:val="20"/>
              </w:rPr>
              <w:t>—</w:t>
            </w:r>
            <w:r w:rsidRPr="00A13D6B">
              <w:rPr>
                <w:rFonts w:ascii="Times New Roman" w:hAnsi="Times New Roman" w:cs="Times New Roman"/>
                <w:sz w:val="20"/>
                <w:szCs w:val="20"/>
              </w:rPr>
              <w:t xml:space="preserve"> a motif that serves as an allosteric negative regulatory element lost on fusion of ABL1 to BCR</w:t>
            </w:r>
          </w:p>
          <w:p w:rsidR="00DC02EE" w:rsidRPr="00A13D6B" w:rsidRDefault="00DC02EE" w:rsidP="00DF09B5">
            <w:pPr>
              <w:adjustRightInd w:val="0"/>
              <w:ind w:right="31"/>
              <w:rPr>
                <w:rFonts w:ascii="Times New Roman" w:hAnsi="Times New Roman" w:cs="Times New Roman"/>
                <w:sz w:val="20"/>
                <w:szCs w:val="20"/>
                <w:u w:val="single"/>
              </w:rPr>
            </w:pPr>
            <w:r w:rsidRPr="00A13D6B">
              <w:rPr>
                <w:rFonts w:ascii="Times New Roman" w:hAnsi="Times New Roman" w:cs="Times New Roman"/>
                <w:sz w:val="20"/>
                <w:szCs w:val="20"/>
              </w:rPr>
              <w:t>BCR, myristoylated N-terminal is lost and ABL1 kinase is activated. By allosterically binding, to myristoyl site, asciminib mimics myristate and restores inhibition of BCR-ABL1 kinase activity [4]</w:t>
            </w:r>
          </w:p>
        </w:tc>
      </w:tr>
      <w:tr w:rsidR="00DC02EE" w:rsidRPr="00DC02EE" w:rsidTr="00DC02EE">
        <w:trPr>
          <w:trHeight w:val="563"/>
          <w:jc w:val="center"/>
        </w:trPr>
        <w:tc>
          <w:tcPr>
            <w:tcW w:w="2122" w:type="dxa"/>
          </w:tcPr>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BCR-ABL tyrosine kinase binding conformation</w:t>
            </w:r>
          </w:p>
        </w:tc>
        <w:tc>
          <w:tcPr>
            <w:tcW w:w="2268" w:type="dxa"/>
            <w:tcBorders>
              <w:bottom w:val="single" w:sz="4" w:space="0" w:color="auto"/>
            </w:tcBorders>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Inactive</w:t>
            </w:r>
          </w:p>
        </w:tc>
        <w:tc>
          <w:tcPr>
            <w:tcW w:w="2409" w:type="dxa"/>
            <w:gridSpan w:val="2"/>
          </w:tcPr>
          <w:p w:rsidR="00DC02EE" w:rsidRPr="00A13D6B" w:rsidRDefault="00DC02EE" w:rsidP="00DF09B5">
            <w:pPr>
              <w:adjustRightInd w:val="0"/>
              <w:ind w:right="-426"/>
              <w:rPr>
                <w:rFonts w:ascii="Times New Roman" w:hAnsi="Times New Roman" w:cs="Times New Roman"/>
                <w:bCs/>
                <w:sz w:val="20"/>
                <w:szCs w:val="20"/>
              </w:rPr>
            </w:pPr>
            <w:r w:rsidRPr="00A13D6B">
              <w:rPr>
                <w:rFonts w:ascii="Times New Roman" w:hAnsi="Times New Roman" w:cs="Times New Roman"/>
                <w:bCs/>
                <w:sz w:val="20"/>
                <w:szCs w:val="20"/>
              </w:rPr>
              <w:t>Inactive</w:t>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Active</w:t>
            </w:r>
          </w:p>
        </w:tc>
        <w:tc>
          <w:tcPr>
            <w:tcW w:w="2127"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Both</w:t>
            </w:r>
          </w:p>
        </w:tc>
        <w:tc>
          <w:tcPr>
            <w:tcW w:w="2409"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Inactive</w:t>
            </w:r>
          </w:p>
        </w:tc>
        <w:tc>
          <w:tcPr>
            <w:tcW w:w="2410" w:type="dxa"/>
          </w:tcPr>
          <w:p w:rsidR="00DC02EE" w:rsidRPr="00A13D6B" w:rsidRDefault="00DC02EE" w:rsidP="00DC02EE">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 xml:space="preserve">Specifically targeting ABL myristoyl pocket </w:t>
            </w:r>
          </w:p>
        </w:tc>
      </w:tr>
      <w:tr w:rsidR="00DC02EE" w:rsidRPr="00DC02EE" w:rsidTr="00DC02EE">
        <w:trPr>
          <w:trHeight w:val="577"/>
          <w:jc w:val="center"/>
        </w:trPr>
        <w:tc>
          <w:tcPr>
            <w:tcW w:w="2122" w:type="dxa"/>
            <w:tcBorders>
              <w:bottom w:val="single" w:sz="4" w:space="0" w:color="auto"/>
            </w:tcBorders>
          </w:tcPr>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Half life time (T</w:t>
            </w:r>
            <w:r w:rsidRPr="00A13D6B">
              <w:rPr>
                <w:rFonts w:ascii="Times New Roman" w:hAnsi="Times New Roman" w:cs="Times New Roman"/>
                <w:sz w:val="20"/>
                <w:szCs w:val="20"/>
                <w:vertAlign w:val="subscript"/>
              </w:rPr>
              <w:t>1/2</w:t>
            </w:r>
            <w:r w:rsidRPr="00A13D6B">
              <w:rPr>
                <w:rFonts w:ascii="Times New Roman" w:hAnsi="Times New Roman" w:cs="Times New Roman"/>
                <w:sz w:val="20"/>
                <w:szCs w:val="20"/>
              </w:rPr>
              <w:t>)</w:t>
            </w:r>
          </w:p>
        </w:tc>
        <w:tc>
          <w:tcPr>
            <w:tcW w:w="2268" w:type="dxa"/>
            <w:tcBorders>
              <w:bottom w:val="single" w:sz="4" w:space="0" w:color="auto"/>
            </w:tcBorders>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~20 hours</w:t>
            </w:r>
          </w:p>
        </w:tc>
        <w:tc>
          <w:tcPr>
            <w:tcW w:w="2409" w:type="dxa"/>
            <w:gridSpan w:val="2"/>
            <w:tcBorders>
              <w:bottom w:val="single" w:sz="4" w:space="0" w:color="auto"/>
            </w:tcBorders>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~17 hours</w:t>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3</w:t>
            </w:r>
            <w:r w:rsidRPr="00A13D6B">
              <w:rPr>
                <w:rFonts w:ascii="Times New Roman" w:hAnsi="Times New Roman" w:cs="Times New Roman"/>
                <w:sz w:val="20"/>
                <w:szCs w:val="20"/>
              </w:rPr>
              <w:t>–</w:t>
            </w:r>
            <w:r w:rsidRPr="00A13D6B">
              <w:rPr>
                <w:rFonts w:ascii="Times New Roman" w:hAnsi="Times New Roman" w:cs="Times New Roman"/>
                <w:sz w:val="20"/>
                <w:szCs w:val="20"/>
              </w:rPr>
              <w:t>5 hours</w:t>
            </w:r>
          </w:p>
        </w:tc>
        <w:tc>
          <w:tcPr>
            <w:tcW w:w="2127"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32.4</w:t>
            </w:r>
            <w:r w:rsidRPr="00A13D6B">
              <w:rPr>
                <w:rFonts w:ascii="Times New Roman" w:hAnsi="Times New Roman" w:cs="Times New Roman"/>
                <w:sz w:val="20"/>
                <w:szCs w:val="20"/>
              </w:rPr>
              <w:t>–</w:t>
            </w:r>
            <w:r w:rsidRPr="00A13D6B">
              <w:rPr>
                <w:rFonts w:ascii="Times New Roman" w:hAnsi="Times New Roman" w:cs="Times New Roman"/>
                <w:sz w:val="20"/>
                <w:szCs w:val="20"/>
              </w:rPr>
              <w:t>41.2 hours enabling daily dose [17]</w:t>
            </w:r>
          </w:p>
        </w:tc>
        <w:tc>
          <w:tcPr>
            <w:tcW w:w="2409"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24 hours</w:t>
            </w:r>
          </w:p>
        </w:tc>
        <w:tc>
          <w:tcPr>
            <w:tcW w:w="2410"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5.5 hours (40</w:t>
            </w:r>
            <w:r w:rsidRPr="00A13D6B">
              <w:rPr>
                <w:rFonts w:ascii="Times New Roman" w:hAnsi="Times New Roman" w:cs="Times New Roman"/>
                <w:sz w:val="20"/>
                <w:szCs w:val="20"/>
              </w:rPr>
              <w:t xml:space="preserve"> </w:t>
            </w:r>
            <w:r w:rsidR="00A13D6B">
              <w:rPr>
                <w:rFonts w:ascii="Times New Roman" w:hAnsi="Times New Roman" w:cs="Times New Roman"/>
                <w:sz w:val="20"/>
                <w:szCs w:val="20"/>
              </w:rPr>
              <w:t>mg/d</w:t>
            </w:r>
            <w:r w:rsidRPr="00A13D6B">
              <w:rPr>
                <w:rFonts w:ascii="Times New Roman" w:hAnsi="Times New Roman" w:cs="Times New Roman"/>
                <w:sz w:val="20"/>
                <w:szCs w:val="20"/>
              </w:rPr>
              <w:t>)</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9 hours (200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 bid)</w:t>
            </w:r>
          </w:p>
        </w:tc>
      </w:tr>
      <w:tr w:rsidR="00DC02EE" w:rsidRPr="00DC02EE" w:rsidTr="00DC02EE">
        <w:trPr>
          <w:cantSplit/>
          <w:trHeight w:val="984"/>
          <w:jc w:val="center"/>
        </w:trPr>
        <w:tc>
          <w:tcPr>
            <w:tcW w:w="2122" w:type="dxa"/>
            <w:tcBorders>
              <w:right w:val="single" w:sz="4" w:space="0" w:color="auto"/>
            </w:tcBorders>
          </w:tcPr>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Resistant BCR-ABL KD mutants**</w:t>
            </w:r>
          </w:p>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t>[8, 15, 18–23]</w:t>
            </w:r>
          </w:p>
        </w:tc>
        <w:tc>
          <w:tcPr>
            <w:tcW w:w="2268" w:type="dxa"/>
            <w:tcBorders>
              <w:top w:val="single" w:sz="4" w:space="0" w:color="auto"/>
              <w:left w:val="single" w:sz="4" w:space="0" w:color="auto"/>
              <w:bottom w:val="single" w:sz="4" w:space="0" w:color="auto"/>
              <w:right w:val="nil"/>
            </w:tcBorders>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Y253</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E255</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T315</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M244</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L248</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G250</w:t>
            </w:r>
          </w:p>
        </w:tc>
        <w:tc>
          <w:tcPr>
            <w:tcW w:w="1134" w:type="dxa"/>
            <w:tcBorders>
              <w:top w:val="single" w:sz="4" w:space="0" w:color="auto"/>
              <w:left w:val="nil"/>
              <w:bottom w:val="single" w:sz="4" w:space="0" w:color="auto"/>
              <w:right w:val="single" w:sz="4" w:space="0" w:color="auto"/>
            </w:tcBorders>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Q252</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F317</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M351</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M355</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F359</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H396</w:t>
            </w:r>
          </w:p>
        </w:tc>
        <w:tc>
          <w:tcPr>
            <w:tcW w:w="1275" w:type="dxa"/>
            <w:tcBorders>
              <w:left w:val="single" w:sz="4" w:space="0" w:color="auto"/>
            </w:tcBorders>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T315</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L248</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Y253</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E255</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F359</w:t>
            </w:r>
          </w:p>
        </w:tc>
        <w:tc>
          <w:tcPr>
            <w:tcW w:w="2268"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T315</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V299</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F317</w:t>
            </w:r>
          </w:p>
        </w:tc>
        <w:tc>
          <w:tcPr>
            <w:tcW w:w="2127"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T315</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V299</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L248</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G250</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 xml:space="preserve"> E255</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F317</w:t>
            </w:r>
          </w:p>
        </w:tc>
        <w:tc>
          <w:tcPr>
            <w:tcW w:w="2409"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E250*</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Y253*</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E255*</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F311</w:t>
            </w:r>
          </w:p>
        </w:tc>
        <w:tc>
          <w:tcPr>
            <w:tcW w:w="2410"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A337</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W464</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P465</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V468</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b/>
                <w:sz w:val="20"/>
                <w:szCs w:val="20"/>
              </w:rPr>
              <w:t>I502</w:t>
            </w:r>
          </w:p>
        </w:tc>
      </w:tr>
      <w:tr w:rsidR="00DC02EE" w:rsidRPr="00DC02EE" w:rsidTr="00DC02EE">
        <w:trPr>
          <w:cantSplit/>
          <w:trHeight w:val="511"/>
          <w:jc w:val="center"/>
        </w:trPr>
        <w:tc>
          <w:tcPr>
            <w:tcW w:w="2122" w:type="dxa"/>
            <w:tcBorders>
              <w:right w:val="single" w:sz="4" w:space="0" w:color="auto"/>
            </w:tcBorders>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Oral dose per day</w:t>
            </w:r>
          </w:p>
        </w:tc>
        <w:tc>
          <w:tcPr>
            <w:tcW w:w="2268" w:type="dxa"/>
            <w:tcBorders>
              <w:top w:val="single" w:sz="4" w:space="0" w:color="auto"/>
              <w:left w:val="single" w:sz="4" w:space="0" w:color="auto"/>
              <w:bottom w:val="single" w:sz="4" w:space="0" w:color="auto"/>
              <w:right w:val="single" w:sz="4" w:space="0" w:color="auto"/>
            </w:tcBorders>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CP 400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mg/d</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AP 600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mg/d</w:t>
            </w:r>
          </w:p>
          <w:p w:rsidR="00DC02EE" w:rsidRPr="00A13D6B" w:rsidRDefault="00DC02EE" w:rsidP="00DC02EE">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 xml:space="preserve">BP </w:t>
            </w:r>
            <w:r w:rsidRPr="00A13D6B">
              <w:rPr>
                <w:rFonts w:ascii="Times New Roman" w:hAnsi="Times New Roman" w:cs="Times New Roman"/>
                <w:sz w:val="20"/>
                <w:szCs w:val="20"/>
              </w:rPr>
              <w:t>800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w:t>
            </w:r>
            <w:r w:rsidRPr="00A13D6B">
              <w:rPr>
                <w:rFonts w:ascii="Times New Roman" w:hAnsi="Times New Roman" w:cs="Times New Roman"/>
                <w:sz w:val="20"/>
                <w:szCs w:val="20"/>
              </w:rPr>
              <w:t>d</w:t>
            </w:r>
          </w:p>
        </w:tc>
        <w:tc>
          <w:tcPr>
            <w:tcW w:w="2409" w:type="dxa"/>
            <w:gridSpan w:val="2"/>
            <w:tcBorders>
              <w:left w:val="single" w:sz="4" w:space="0" w:color="auto"/>
            </w:tcBorders>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CP 2</w:t>
            </w:r>
            <w:r w:rsidRPr="00A13D6B">
              <w:rPr>
                <w:rFonts w:ascii="Times New Roman" w:hAnsi="Times New Roman" w:cs="Times New Roman"/>
                <w:sz w:val="20"/>
                <w:szCs w:val="20"/>
              </w:rPr>
              <w:t xml:space="preserve"> × 300 mg</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(2</w:t>
            </w:r>
            <w:r w:rsidRPr="00A13D6B">
              <w:rPr>
                <w:rFonts w:ascii="Times New Roman" w:hAnsi="Times New Roman" w:cs="Times New Roman"/>
                <w:sz w:val="20"/>
                <w:szCs w:val="20"/>
                <w:vertAlign w:val="superscript"/>
              </w:rPr>
              <w:t>nd</w:t>
            </w:r>
            <w:r w:rsidRPr="00A13D6B">
              <w:rPr>
                <w:rFonts w:ascii="Times New Roman" w:hAnsi="Times New Roman" w:cs="Times New Roman"/>
                <w:sz w:val="20"/>
                <w:szCs w:val="20"/>
              </w:rPr>
              <w:t>-</w:t>
            </w:r>
            <w:r w:rsidRPr="00A13D6B">
              <w:rPr>
                <w:rFonts w:ascii="Times New Roman" w:hAnsi="Times New Roman" w:cs="Times New Roman"/>
                <w:sz w:val="20"/>
                <w:szCs w:val="20"/>
              </w:rPr>
              <w:t>line)</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 xml:space="preserve">2 × 400mg </w:t>
            </w:r>
          </w:p>
          <w:p w:rsidR="00DC02EE" w:rsidRPr="00A13D6B" w:rsidRDefault="00DC02EE" w:rsidP="00DC02EE">
            <w:pPr>
              <w:adjustRightInd w:val="0"/>
              <w:ind w:right="-426"/>
              <w:rPr>
                <w:rFonts w:ascii="Times New Roman" w:hAnsi="Times New Roman" w:cs="Times New Roman"/>
                <w:b/>
                <w:sz w:val="20"/>
                <w:szCs w:val="20"/>
              </w:rPr>
            </w:pPr>
            <w:r w:rsidRPr="00A13D6B">
              <w:rPr>
                <w:rFonts w:ascii="Times New Roman" w:hAnsi="Times New Roman" w:cs="Times New Roman"/>
                <w:sz w:val="20"/>
                <w:szCs w:val="20"/>
              </w:rPr>
              <w:t>(1</w:t>
            </w:r>
            <w:r w:rsidRPr="00A13D6B">
              <w:rPr>
                <w:rFonts w:ascii="Times New Roman" w:hAnsi="Times New Roman" w:cs="Times New Roman"/>
                <w:sz w:val="20"/>
                <w:szCs w:val="20"/>
                <w:vertAlign w:val="superscript"/>
              </w:rPr>
              <w:t>st</w:t>
            </w:r>
            <w:r w:rsidRPr="00A13D6B">
              <w:rPr>
                <w:rFonts w:ascii="Times New Roman" w:hAnsi="Times New Roman" w:cs="Times New Roman"/>
                <w:sz w:val="20"/>
                <w:szCs w:val="20"/>
              </w:rPr>
              <w:t>-</w:t>
            </w:r>
            <w:r w:rsidRPr="00A13D6B">
              <w:rPr>
                <w:rFonts w:ascii="Times New Roman" w:hAnsi="Times New Roman" w:cs="Times New Roman"/>
                <w:sz w:val="20"/>
                <w:szCs w:val="20"/>
              </w:rPr>
              <w:t>line)</w:t>
            </w:r>
          </w:p>
        </w:tc>
        <w:tc>
          <w:tcPr>
            <w:tcW w:w="2268"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CP 100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mg/d</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sz w:val="20"/>
                <w:szCs w:val="20"/>
              </w:rPr>
              <w:t>AP/BP</w:t>
            </w:r>
            <w:r w:rsidRPr="00A13D6B">
              <w:rPr>
                <w:rFonts w:ascii="Times New Roman" w:hAnsi="Times New Roman" w:cs="Times New Roman"/>
                <w:sz w:val="20"/>
                <w:szCs w:val="20"/>
              </w:rPr>
              <w:t xml:space="preserve"> 140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mg/d</w:t>
            </w:r>
          </w:p>
        </w:tc>
        <w:tc>
          <w:tcPr>
            <w:tcW w:w="2127"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sz w:val="20"/>
                <w:szCs w:val="20"/>
              </w:rPr>
              <w:t>CP 500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mg/d</w:t>
            </w:r>
          </w:p>
        </w:tc>
        <w:tc>
          <w:tcPr>
            <w:tcW w:w="2409"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CP 15</w:t>
            </w:r>
            <w:r w:rsidRPr="00A13D6B">
              <w:rPr>
                <w:rFonts w:ascii="Times New Roman" w:hAnsi="Times New Roman" w:cs="Times New Roman"/>
                <w:sz w:val="20"/>
                <w:szCs w:val="20"/>
              </w:rPr>
              <w:t>–</w:t>
            </w:r>
            <w:r w:rsidRPr="00A13D6B">
              <w:rPr>
                <w:rFonts w:ascii="Times New Roman" w:hAnsi="Times New Roman" w:cs="Times New Roman"/>
                <w:sz w:val="20"/>
                <w:szCs w:val="20"/>
              </w:rPr>
              <w:t>45</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mg/d</w:t>
            </w:r>
          </w:p>
        </w:tc>
        <w:tc>
          <w:tcPr>
            <w:tcW w:w="2410" w:type="dxa"/>
          </w:tcPr>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CP 80 mg/d</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sz w:val="20"/>
                <w:szCs w:val="20"/>
              </w:rPr>
              <w:t>or 40</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mg bid</w:t>
            </w:r>
          </w:p>
        </w:tc>
      </w:tr>
      <w:tr w:rsidR="00DC02EE" w:rsidRPr="00DC02EE" w:rsidTr="00DC02EE">
        <w:trPr>
          <w:trHeight w:val="6907"/>
          <w:jc w:val="center"/>
        </w:trPr>
        <w:tc>
          <w:tcPr>
            <w:tcW w:w="2122" w:type="dxa"/>
          </w:tcPr>
          <w:p w:rsidR="00DC02EE" w:rsidRPr="00A13D6B" w:rsidRDefault="00DC02EE" w:rsidP="00DF09B5">
            <w:pPr>
              <w:ind w:right="-426"/>
              <w:rPr>
                <w:rFonts w:ascii="Times New Roman" w:hAnsi="Times New Roman" w:cs="Times New Roman"/>
                <w:sz w:val="20"/>
                <w:szCs w:val="20"/>
              </w:rPr>
            </w:pPr>
            <w:r w:rsidRPr="00A13D6B">
              <w:rPr>
                <w:rFonts w:ascii="Times New Roman" w:hAnsi="Times New Roman" w:cs="Times New Roman"/>
                <w:sz w:val="20"/>
                <w:szCs w:val="20"/>
              </w:rPr>
              <w:lastRenderedPageBreak/>
              <w:t>Main off-target effect</w:t>
            </w:r>
          </w:p>
        </w:tc>
        <w:tc>
          <w:tcPr>
            <w:tcW w:w="2268" w:type="dxa"/>
            <w:tcBorders>
              <w:bottom w:val="single" w:sz="4" w:space="0" w:color="auto"/>
            </w:tcBorders>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Hematologic:</w:t>
            </w:r>
          </w:p>
          <w:p w:rsidR="00DC02EE" w:rsidRPr="00A13D6B" w:rsidRDefault="00DC02EE" w:rsidP="00DC02EE">
            <w:pPr>
              <w:pStyle w:val="Akapitzlist"/>
              <w:numPr>
                <w:ilvl w:val="0"/>
                <w:numId w:val="6"/>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a</w:t>
            </w:r>
            <w:r w:rsidRPr="00A13D6B">
              <w:rPr>
                <w:rFonts w:ascii="Times New Roman" w:hAnsi="Times New Roman" w:cs="Times New Roman"/>
                <w:sz w:val="20"/>
                <w:szCs w:val="20"/>
              </w:rPr>
              <w:t>nemia</w:t>
            </w:r>
          </w:p>
          <w:p w:rsidR="00DC02EE" w:rsidRPr="00A13D6B" w:rsidRDefault="00DC02EE" w:rsidP="00DC02EE">
            <w:pPr>
              <w:pStyle w:val="Akapitzlist"/>
              <w:numPr>
                <w:ilvl w:val="0"/>
                <w:numId w:val="6"/>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neutropenia</w:t>
            </w:r>
          </w:p>
          <w:p w:rsidR="00DC02EE" w:rsidRPr="00A13D6B" w:rsidRDefault="00DC02EE" w:rsidP="00DC02EE">
            <w:pPr>
              <w:pStyle w:val="Akapitzlist"/>
              <w:numPr>
                <w:ilvl w:val="0"/>
                <w:numId w:val="6"/>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thrombocytopenia</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b/>
                <w:sz w:val="20"/>
                <w:szCs w:val="20"/>
              </w:rPr>
              <w:t>Non-hematologic</w:t>
            </w:r>
            <w:r w:rsidRPr="00A13D6B">
              <w:rPr>
                <w:rFonts w:ascii="Times New Roman" w:hAnsi="Times New Roman" w:cs="Times New Roman"/>
                <w:b/>
                <w:sz w:val="20"/>
                <w:szCs w:val="20"/>
              </w:rPr>
              <w:t>:</w:t>
            </w:r>
          </w:p>
          <w:p w:rsidR="00DC02EE" w:rsidRPr="00A13D6B" w:rsidRDefault="00DC02EE" w:rsidP="00DC02EE">
            <w:pPr>
              <w:pStyle w:val="Akapitzlist"/>
              <w:numPr>
                <w:ilvl w:val="0"/>
                <w:numId w:val="5"/>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ede</w:t>
            </w:r>
            <w:r w:rsidRPr="00A13D6B">
              <w:rPr>
                <w:rFonts w:ascii="Times New Roman" w:hAnsi="Times New Roman" w:cs="Times New Roman"/>
                <w:sz w:val="20"/>
                <w:szCs w:val="20"/>
              </w:rPr>
              <w:t xml:space="preserve">ma (periorbital and </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peripheral)</w:t>
            </w:r>
          </w:p>
          <w:p w:rsidR="00DC02EE" w:rsidRPr="00A13D6B" w:rsidRDefault="00DC02EE" w:rsidP="00DC02EE">
            <w:pPr>
              <w:pStyle w:val="Akapitzlist"/>
              <w:numPr>
                <w:ilvl w:val="0"/>
                <w:numId w:val="5"/>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 xml:space="preserve">muscle </w:t>
            </w:r>
            <w:r w:rsidRPr="00A13D6B">
              <w:rPr>
                <w:rFonts w:ascii="Times New Roman" w:hAnsi="Times New Roman" w:cs="Times New Roman"/>
                <w:sz w:val="20"/>
                <w:szCs w:val="20"/>
              </w:rPr>
              <w:t>cramps</w:t>
            </w:r>
          </w:p>
          <w:p w:rsidR="00DC02EE" w:rsidRPr="00A13D6B" w:rsidRDefault="00DC02EE" w:rsidP="00DC02EE">
            <w:pPr>
              <w:pStyle w:val="Akapitzlist"/>
              <w:numPr>
                <w:ilvl w:val="0"/>
                <w:numId w:val="5"/>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musculoskeletal pain</w:t>
            </w:r>
          </w:p>
          <w:p w:rsidR="00DC02EE" w:rsidRPr="00A13D6B" w:rsidRDefault="00DC02EE" w:rsidP="00DC02EE">
            <w:pPr>
              <w:pStyle w:val="Akapitzlist"/>
              <w:numPr>
                <w:ilvl w:val="0"/>
                <w:numId w:val="5"/>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diarrhea</w:t>
            </w:r>
            <w:r w:rsidRPr="00A13D6B">
              <w:rPr>
                <w:rFonts w:ascii="Times New Roman" w:hAnsi="Times New Roman" w:cs="Times New Roman"/>
                <w:sz w:val="20"/>
                <w:szCs w:val="20"/>
              </w:rPr>
              <w:t xml:space="preserve"> </w:t>
            </w:r>
            <w:r w:rsidRPr="00A13D6B">
              <w:rPr>
                <w:rFonts w:ascii="Times New Roman" w:hAnsi="Times New Roman" w:cs="Times New Roman"/>
                <w:sz w:val="20"/>
                <w:szCs w:val="20"/>
              </w:rPr>
              <w:t xml:space="preserve">[24] </w:t>
            </w:r>
          </w:p>
        </w:tc>
        <w:tc>
          <w:tcPr>
            <w:tcW w:w="2409" w:type="dxa"/>
            <w:gridSpan w:val="2"/>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Hematologic:</w:t>
            </w:r>
          </w:p>
          <w:p w:rsidR="00DC02EE" w:rsidRPr="00A13D6B" w:rsidRDefault="00DC02EE" w:rsidP="00DC02EE">
            <w:pPr>
              <w:pStyle w:val="Akapitzlist"/>
              <w:numPr>
                <w:ilvl w:val="0"/>
                <w:numId w:val="7"/>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t</w:t>
            </w:r>
            <w:r w:rsidRPr="00A13D6B">
              <w:rPr>
                <w:rFonts w:ascii="Times New Roman" w:hAnsi="Times New Roman" w:cs="Times New Roman"/>
                <w:sz w:val="20"/>
                <w:szCs w:val="20"/>
              </w:rPr>
              <w:t>hrombocytopenia</w:t>
            </w:r>
          </w:p>
          <w:p w:rsidR="00DC02EE" w:rsidRPr="00A13D6B" w:rsidRDefault="00DC02EE" w:rsidP="00DC02EE">
            <w:pPr>
              <w:pStyle w:val="Akapitzlist"/>
              <w:numPr>
                <w:ilvl w:val="0"/>
                <w:numId w:val="7"/>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granulocytopenia</w:t>
            </w:r>
          </w:p>
          <w:p w:rsidR="00DC02EE" w:rsidRPr="00A13D6B" w:rsidRDefault="00DC02EE" w:rsidP="00DC02EE">
            <w:pPr>
              <w:pStyle w:val="Akapitzlist"/>
              <w:numPr>
                <w:ilvl w:val="0"/>
                <w:numId w:val="7"/>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anemia</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b/>
                <w:sz w:val="20"/>
                <w:szCs w:val="20"/>
              </w:rPr>
              <w:t>Non-hematologic</w:t>
            </w:r>
            <w:r w:rsidRPr="00A13D6B">
              <w:rPr>
                <w:rFonts w:ascii="Times New Roman" w:hAnsi="Times New Roman" w:cs="Times New Roman"/>
                <w:b/>
                <w:sz w:val="20"/>
                <w:szCs w:val="20"/>
              </w:rPr>
              <w:t>:</w:t>
            </w:r>
          </w:p>
          <w:p w:rsidR="00DC02EE" w:rsidRPr="00A13D6B" w:rsidRDefault="00DC02EE" w:rsidP="00DC02EE">
            <w:pPr>
              <w:pStyle w:val="Akapitzlist"/>
              <w:numPr>
                <w:ilvl w:val="0"/>
                <w:numId w:val="9"/>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p</w:t>
            </w:r>
            <w:r w:rsidRPr="00A13D6B">
              <w:rPr>
                <w:rFonts w:ascii="Times New Roman" w:hAnsi="Times New Roman" w:cs="Times New Roman"/>
                <w:sz w:val="20"/>
                <w:szCs w:val="20"/>
              </w:rPr>
              <w:t>ruritus</w:t>
            </w:r>
          </w:p>
          <w:p w:rsidR="00DC02EE" w:rsidRPr="00A13D6B" w:rsidRDefault="00DC02EE" w:rsidP="00DC02EE">
            <w:pPr>
              <w:pStyle w:val="Akapitzlist"/>
              <w:numPr>
                <w:ilvl w:val="0"/>
                <w:numId w:val="9"/>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asthenia</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Cardiovas</w:t>
            </w:r>
            <w:r w:rsidRPr="00A13D6B">
              <w:rPr>
                <w:rFonts w:ascii="Times New Roman" w:hAnsi="Times New Roman" w:cs="Times New Roman"/>
                <w:b/>
                <w:sz w:val="20"/>
                <w:szCs w:val="20"/>
              </w:rPr>
              <w:t>cular:</w:t>
            </w:r>
          </w:p>
          <w:p w:rsidR="00DC02EE" w:rsidRPr="00A13D6B" w:rsidRDefault="00DC02EE" w:rsidP="00DC02EE">
            <w:pPr>
              <w:pStyle w:val="Akapitzlist"/>
              <w:numPr>
                <w:ilvl w:val="0"/>
                <w:numId w:val="8"/>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 xml:space="preserve">cardiovascular </w:t>
            </w:r>
          </w:p>
          <w:p w:rsidR="00DC02EE" w:rsidRPr="00A13D6B" w:rsidRDefault="00DC02EE" w:rsidP="00DC02EE">
            <w:pPr>
              <w:adjustRightInd w:val="0"/>
              <w:ind w:right="-426"/>
              <w:rPr>
                <w:rFonts w:ascii="Times New Roman" w:hAnsi="Times New Roman" w:cs="Times New Roman"/>
                <w:sz w:val="20"/>
                <w:szCs w:val="20"/>
              </w:rPr>
            </w:pPr>
            <w:r w:rsidRPr="00A13D6B">
              <w:rPr>
                <w:rFonts w:ascii="Times New Roman" w:hAnsi="Times New Roman" w:cs="Times New Roman"/>
                <w:sz w:val="20"/>
                <w:szCs w:val="20"/>
              </w:rPr>
              <w:t>ischemic adverse events [25, 26]</w:t>
            </w:r>
          </w:p>
        </w:tc>
        <w:tc>
          <w:tcPr>
            <w:tcW w:w="2268"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Hematologic:</w:t>
            </w:r>
          </w:p>
          <w:p w:rsidR="00DC02EE" w:rsidRPr="00A13D6B" w:rsidRDefault="00DC02EE" w:rsidP="00DC02EE">
            <w:pPr>
              <w:pStyle w:val="Akapitzlist"/>
              <w:numPr>
                <w:ilvl w:val="0"/>
                <w:numId w:val="8"/>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thrombocytopenia</w:t>
            </w:r>
          </w:p>
          <w:p w:rsidR="00DC02EE" w:rsidRPr="00A13D6B" w:rsidRDefault="00DC02EE" w:rsidP="00DC02EE">
            <w:pPr>
              <w:pStyle w:val="Akapitzlist"/>
              <w:numPr>
                <w:ilvl w:val="0"/>
                <w:numId w:val="8"/>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anemia</w:t>
            </w:r>
          </w:p>
          <w:p w:rsidR="00DC02EE" w:rsidRPr="00A13D6B" w:rsidRDefault="00DC02EE" w:rsidP="00DC02EE">
            <w:pPr>
              <w:pStyle w:val="Akapitzlist"/>
              <w:numPr>
                <w:ilvl w:val="0"/>
                <w:numId w:val="8"/>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neutropenia</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b/>
                <w:sz w:val="20"/>
                <w:szCs w:val="20"/>
              </w:rPr>
              <w:t>Non-hematologic</w:t>
            </w:r>
            <w:r w:rsidRPr="00A13D6B">
              <w:rPr>
                <w:rFonts w:ascii="Times New Roman" w:hAnsi="Times New Roman" w:cs="Times New Roman"/>
                <w:sz w:val="20"/>
                <w:szCs w:val="20"/>
              </w:rPr>
              <w:t xml:space="preserve">: </w:t>
            </w:r>
          </w:p>
          <w:p w:rsidR="00DC02EE" w:rsidRPr="00A13D6B" w:rsidRDefault="00DC02EE" w:rsidP="00DC02EE">
            <w:pPr>
              <w:pStyle w:val="Akapitzlist"/>
              <w:numPr>
                <w:ilvl w:val="0"/>
                <w:numId w:val="10"/>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endocrine disorders (gynecomastia, irregular menses, hypoglycemia, hyperglycemia, increased triglyceride and cholesterol levels)</w:t>
            </w:r>
          </w:p>
          <w:p w:rsidR="00DC02EE" w:rsidRPr="00A13D6B" w:rsidRDefault="00DC02EE" w:rsidP="00DC02EE">
            <w:pPr>
              <w:pStyle w:val="Akapitzlist"/>
              <w:numPr>
                <w:ilvl w:val="0"/>
                <w:numId w:val="10"/>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fluid retention</w:t>
            </w:r>
          </w:p>
          <w:p w:rsidR="00DC02EE" w:rsidRPr="00A13D6B" w:rsidRDefault="00DC02EE" w:rsidP="00DC02EE">
            <w:pPr>
              <w:pStyle w:val="Akapitzlist"/>
              <w:numPr>
                <w:ilvl w:val="0"/>
                <w:numId w:val="10"/>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nausea, vomiting, diarrhea</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Cardiovascular</w:t>
            </w:r>
          </w:p>
          <w:p w:rsidR="00DC02EE" w:rsidRPr="00A13D6B" w:rsidRDefault="00DC02EE" w:rsidP="00DC02EE">
            <w:pPr>
              <w:pStyle w:val="Akapitzlist"/>
              <w:numPr>
                <w:ilvl w:val="0"/>
                <w:numId w:val="11"/>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pericardial effusion</w:t>
            </w:r>
          </w:p>
          <w:p w:rsidR="00DC02EE" w:rsidRPr="00A13D6B" w:rsidRDefault="00DC02EE" w:rsidP="00DC02EE">
            <w:pPr>
              <w:pStyle w:val="Akapitzlist"/>
              <w:numPr>
                <w:ilvl w:val="0"/>
                <w:numId w:val="11"/>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pulmonary artery hypertension [27, 28]</w:t>
            </w:r>
          </w:p>
        </w:tc>
        <w:tc>
          <w:tcPr>
            <w:tcW w:w="2127"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H</w:t>
            </w:r>
            <w:r w:rsidR="00A13D6B">
              <w:rPr>
                <w:rFonts w:ascii="Times New Roman" w:hAnsi="Times New Roman" w:cs="Times New Roman"/>
                <w:b/>
                <w:sz w:val="20"/>
                <w:szCs w:val="20"/>
              </w:rPr>
              <w:t>ematologic:</w:t>
            </w:r>
          </w:p>
          <w:p w:rsidR="00DC02EE" w:rsidRPr="00A13D6B" w:rsidRDefault="00DC02EE" w:rsidP="00A13D6B">
            <w:pPr>
              <w:pStyle w:val="Akapitzlist"/>
              <w:numPr>
                <w:ilvl w:val="0"/>
                <w:numId w:val="12"/>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thrombocytopenia</w:t>
            </w:r>
          </w:p>
          <w:p w:rsidR="00DC02EE" w:rsidRPr="00A13D6B" w:rsidRDefault="00DC02EE" w:rsidP="00A13D6B">
            <w:pPr>
              <w:pStyle w:val="Akapitzlist"/>
              <w:numPr>
                <w:ilvl w:val="0"/>
                <w:numId w:val="12"/>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neutropenia</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b/>
                <w:sz w:val="20"/>
                <w:szCs w:val="20"/>
              </w:rPr>
              <w:t>Non-hematologic</w:t>
            </w:r>
            <w:r w:rsidR="00A13D6B" w:rsidRPr="00A13D6B">
              <w:rPr>
                <w:rFonts w:ascii="Times New Roman" w:hAnsi="Times New Roman" w:cs="Times New Roman"/>
                <w:b/>
                <w:sz w:val="20"/>
                <w:szCs w:val="20"/>
              </w:rPr>
              <w:t>:</w:t>
            </w:r>
          </w:p>
          <w:p w:rsidR="00DC02EE" w:rsidRPr="00A13D6B" w:rsidRDefault="00DC02EE" w:rsidP="00A13D6B">
            <w:pPr>
              <w:pStyle w:val="Akapitzlist"/>
              <w:numPr>
                <w:ilvl w:val="0"/>
                <w:numId w:val="13"/>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rash</w:t>
            </w:r>
          </w:p>
          <w:p w:rsidR="00DC02EE" w:rsidRPr="00A13D6B" w:rsidRDefault="00DC02EE" w:rsidP="00A13D6B">
            <w:pPr>
              <w:pStyle w:val="Akapitzlist"/>
              <w:numPr>
                <w:ilvl w:val="0"/>
                <w:numId w:val="13"/>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nausea</w:t>
            </w:r>
          </w:p>
          <w:p w:rsidR="00DC02EE" w:rsidRPr="00A13D6B" w:rsidRDefault="00DC02EE" w:rsidP="00A13D6B">
            <w:pPr>
              <w:pStyle w:val="Akapitzlist"/>
              <w:numPr>
                <w:ilvl w:val="0"/>
                <w:numId w:val="13"/>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diarrhea</w:t>
            </w:r>
          </w:p>
          <w:p w:rsidR="00DC02EE" w:rsidRPr="00A13D6B" w:rsidRDefault="00DC02EE" w:rsidP="00A13D6B">
            <w:pPr>
              <w:pStyle w:val="Akapitzlist"/>
              <w:numPr>
                <w:ilvl w:val="0"/>
                <w:numId w:val="13"/>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vomiting</w:t>
            </w:r>
          </w:p>
          <w:p w:rsidR="00DC02EE" w:rsidRPr="00A13D6B" w:rsidRDefault="00DC02EE" w:rsidP="00A13D6B">
            <w:pPr>
              <w:pStyle w:val="Akapitzlist"/>
              <w:numPr>
                <w:ilvl w:val="0"/>
                <w:numId w:val="13"/>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elevated serum aminotransferases [29]</w:t>
            </w:r>
          </w:p>
        </w:tc>
        <w:tc>
          <w:tcPr>
            <w:tcW w:w="2409"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H</w:t>
            </w:r>
            <w:r w:rsidR="00A13D6B">
              <w:rPr>
                <w:rFonts w:ascii="Times New Roman" w:hAnsi="Times New Roman" w:cs="Times New Roman"/>
                <w:b/>
                <w:sz w:val="20"/>
                <w:szCs w:val="20"/>
              </w:rPr>
              <w:t>ematologic:</w:t>
            </w:r>
          </w:p>
          <w:p w:rsidR="00DC02EE" w:rsidRPr="00A13D6B" w:rsidRDefault="00DC02EE" w:rsidP="00A13D6B">
            <w:pPr>
              <w:pStyle w:val="Akapitzlist"/>
              <w:numPr>
                <w:ilvl w:val="0"/>
                <w:numId w:val="14"/>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anemia</w:t>
            </w:r>
          </w:p>
          <w:p w:rsidR="00DC02EE" w:rsidRPr="00A13D6B" w:rsidRDefault="00DC02EE" w:rsidP="00A13D6B">
            <w:pPr>
              <w:pStyle w:val="Akapitzlist"/>
              <w:numPr>
                <w:ilvl w:val="0"/>
                <w:numId w:val="14"/>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thrombocytopenia</w:t>
            </w:r>
          </w:p>
          <w:p w:rsidR="00DC02EE" w:rsidRPr="00A13D6B" w:rsidRDefault="00DC02EE" w:rsidP="00A13D6B">
            <w:pPr>
              <w:pStyle w:val="Akapitzlist"/>
              <w:numPr>
                <w:ilvl w:val="0"/>
                <w:numId w:val="14"/>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neutropenia</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b/>
                <w:sz w:val="20"/>
                <w:szCs w:val="20"/>
              </w:rPr>
              <w:t>Non-hematologic</w:t>
            </w:r>
            <w:r w:rsidR="00A13D6B" w:rsidRPr="00A13D6B">
              <w:rPr>
                <w:rFonts w:ascii="Times New Roman" w:hAnsi="Times New Roman" w:cs="Times New Roman"/>
                <w:b/>
                <w:sz w:val="20"/>
                <w:szCs w:val="20"/>
              </w:rPr>
              <w:t>:</w:t>
            </w:r>
          </w:p>
          <w:p w:rsidR="00DC02EE" w:rsidRPr="00A13D6B" w:rsidRDefault="00DC02EE" w:rsidP="00A13D6B">
            <w:pPr>
              <w:pStyle w:val="Akapitzlist"/>
              <w:numPr>
                <w:ilvl w:val="0"/>
                <w:numId w:val="15"/>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rash</w:t>
            </w:r>
          </w:p>
          <w:p w:rsidR="00DC02EE" w:rsidRPr="00A13D6B" w:rsidRDefault="00DC02EE" w:rsidP="00A13D6B">
            <w:pPr>
              <w:pStyle w:val="Akapitzlist"/>
              <w:numPr>
                <w:ilvl w:val="0"/>
                <w:numId w:val="15"/>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elevated serum lipase</w:t>
            </w:r>
          </w:p>
          <w:p w:rsidR="00DC02EE" w:rsidRPr="00A13D6B" w:rsidRDefault="00DC02EE" w:rsidP="00A13D6B">
            <w:pPr>
              <w:pStyle w:val="Akapitzlist"/>
              <w:numPr>
                <w:ilvl w:val="0"/>
                <w:numId w:val="15"/>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pancreatitis</w:t>
            </w:r>
          </w:p>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Cardiovascular</w:t>
            </w:r>
          </w:p>
          <w:p w:rsidR="00DC02EE" w:rsidRPr="00A13D6B" w:rsidRDefault="00DC02EE" w:rsidP="00A13D6B">
            <w:pPr>
              <w:pStyle w:val="Akapitzlist"/>
              <w:numPr>
                <w:ilvl w:val="0"/>
                <w:numId w:val="16"/>
              </w:numPr>
              <w:adjustRightInd w:val="0"/>
              <w:ind w:right="-426"/>
              <w:rPr>
                <w:rFonts w:ascii="Times New Roman" w:hAnsi="Times New Roman" w:cs="Times New Roman"/>
                <w:bCs/>
                <w:sz w:val="20"/>
                <w:szCs w:val="20"/>
              </w:rPr>
            </w:pPr>
            <w:r w:rsidRPr="00A13D6B">
              <w:rPr>
                <w:rFonts w:ascii="Times New Roman" w:hAnsi="Times New Roman" w:cs="Times New Roman"/>
                <w:bCs/>
                <w:sz w:val="20"/>
                <w:szCs w:val="20"/>
              </w:rPr>
              <w:t>hypertension</w:t>
            </w:r>
          </w:p>
          <w:p w:rsidR="00DC02EE" w:rsidRPr="00A13D6B" w:rsidRDefault="00DC02EE" w:rsidP="00A13D6B">
            <w:pPr>
              <w:pStyle w:val="Akapitzlist"/>
              <w:numPr>
                <w:ilvl w:val="0"/>
                <w:numId w:val="16"/>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chest pain [30]</w:t>
            </w:r>
          </w:p>
        </w:tc>
        <w:tc>
          <w:tcPr>
            <w:tcW w:w="2410" w:type="dxa"/>
          </w:tcPr>
          <w:p w:rsidR="00DC02EE" w:rsidRPr="00A13D6B" w:rsidRDefault="00DC02EE" w:rsidP="00DF09B5">
            <w:pPr>
              <w:adjustRightInd w:val="0"/>
              <w:ind w:right="-426"/>
              <w:rPr>
                <w:rFonts w:ascii="Times New Roman" w:hAnsi="Times New Roman" w:cs="Times New Roman"/>
                <w:b/>
                <w:sz w:val="20"/>
                <w:szCs w:val="20"/>
              </w:rPr>
            </w:pPr>
            <w:r w:rsidRPr="00A13D6B">
              <w:rPr>
                <w:rFonts w:ascii="Times New Roman" w:hAnsi="Times New Roman" w:cs="Times New Roman"/>
                <w:b/>
                <w:sz w:val="20"/>
                <w:szCs w:val="20"/>
              </w:rPr>
              <w:t>H</w:t>
            </w:r>
            <w:r w:rsidR="00A13D6B">
              <w:rPr>
                <w:rFonts w:ascii="Times New Roman" w:hAnsi="Times New Roman" w:cs="Times New Roman"/>
                <w:b/>
                <w:sz w:val="20"/>
                <w:szCs w:val="20"/>
              </w:rPr>
              <w:t>ematologic:</w:t>
            </w:r>
          </w:p>
          <w:p w:rsidR="00DC02EE" w:rsidRPr="00A13D6B" w:rsidRDefault="00DC02EE" w:rsidP="00A13D6B">
            <w:pPr>
              <w:pStyle w:val="Akapitzlist"/>
              <w:numPr>
                <w:ilvl w:val="0"/>
                <w:numId w:val="17"/>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thrombocytopenia and/or neutropenia</w:t>
            </w:r>
          </w:p>
          <w:p w:rsidR="00DC02EE" w:rsidRPr="00A13D6B" w:rsidRDefault="00DC02EE" w:rsidP="00DF09B5">
            <w:pPr>
              <w:adjustRightInd w:val="0"/>
              <w:ind w:right="-426"/>
              <w:rPr>
                <w:rFonts w:ascii="Times New Roman" w:hAnsi="Times New Roman" w:cs="Times New Roman"/>
                <w:sz w:val="20"/>
                <w:szCs w:val="20"/>
              </w:rPr>
            </w:pPr>
            <w:r w:rsidRPr="00A13D6B">
              <w:rPr>
                <w:rFonts w:ascii="Times New Roman" w:hAnsi="Times New Roman" w:cs="Times New Roman"/>
                <w:b/>
                <w:sz w:val="20"/>
                <w:szCs w:val="20"/>
              </w:rPr>
              <w:t>Non-hematologic</w:t>
            </w:r>
            <w:r w:rsidR="00A13D6B" w:rsidRPr="00A13D6B">
              <w:rPr>
                <w:rFonts w:ascii="Times New Roman" w:hAnsi="Times New Roman" w:cs="Times New Roman"/>
                <w:b/>
                <w:sz w:val="20"/>
                <w:szCs w:val="20"/>
              </w:rPr>
              <w:t>:</w:t>
            </w:r>
          </w:p>
          <w:p w:rsidR="00DC02EE" w:rsidRPr="00A13D6B" w:rsidRDefault="00DC02EE" w:rsidP="00A13D6B">
            <w:pPr>
              <w:pStyle w:val="Akapitzlist"/>
              <w:numPr>
                <w:ilvl w:val="0"/>
                <w:numId w:val="17"/>
              </w:numPr>
              <w:adjustRightInd w:val="0"/>
              <w:ind w:right="-426"/>
              <w:rPr>
                <w:rFonts w:ascii="Times New Roman" w:hAnsi="Times New Roman" w:cs="Times New Roman"/>
                <w:sz w:val="20"/>
                <w:szCs w:val="20"/>
              </w:rPr>
            </w:pPr>
            <w:r w:rsidRPr="00A13D6B">
              <w:rPr>
                <w:rFonts w:ascii="Times New Roman" w:hAnsi="Times New Roman" w:cs="Times New Roman"/>
                <w:sz w:val="20"/>
                <w:szCs w:val="20"/>
              </w:rPr>
              <w:t>hepatic impairment</w:t>
            </w:r>
          </w:p>
          <w:p w:rsidR="00DC02EE" w:rsidRPr="00A13D6B" w:rsidRDefault="00DC02EE" w:rsidP="00A13D6B">
            <w:pPr>
              <w:pStyle w:val="Akapitzlist"/>
              <w:numPr>
                <w:ilvl w:val="0"/>
                <w:numId w:val="17"/>
              </w:numPr>
              <w:adjustRightInd w:val="0"/>
              <w:ind w:right="-426"/>
              <w:rPr>
                <w:rFonts w:ascii="Times New Roman" w:hAnsi="Times New Roman" w:cs="Times New Roman"/>
                <w:bCs/>
                <w:sz w:val="20"/>
                <w:szCs w:val="20"/>
              </w:rPr>
            </w:pPr>
            <w:r w:rsidRPr="00A13D6B">
              <w:rPr>
                <w:rFonts w:ascii="Times New Roman" w:hAnsi="Times New Roman" w:cs="Times New Roman"/>
                <w:bCs/>
                <w:sz w:val="20"/>
                <w:szCs w:val="20"/>
              </w:rPr>
              <w:t>asymptomatic amylase and/or lipase elevations</w:t>
            </w:r>
          </w:p>
          <w:p w:rsidR="00DC02EE" w:rsidRPr="00A13D6B" w:rsidRDefault="00DC02EE" w:rsidP="00DF09B5">
            <w:pPr>
              <w:adjustRightInd w:val="0"/>
              <w:ind w:right="-426"/>
              <w:rPr>
                <w:rFonts w:ascii="Times New Roman" w:hAnsi="Times New Roman" w:cs="Times New Roman"/>
                <w:b/>
                <w:bCs/>
                <w:sz w:val="20"/>
                <w:szCs w:val="20"/>
              </w:rPr>
            </w:pPr>
            <w:r w:rsidRPr="00A13D6B">
              <w:rPr>
                <w:rFonts w:ascii="Times New Roman" w:hAnsi="Times New Roman" w:cs="Times New Roman"/>
                <w:b/>
                <w:bCs/>
                <w:sz w:val="20"/>
                <w:szCs w:val="20"/>
              </w:rPr>
              <w:t>Cardiovascular</w:t>
            </w:r>
            <w:r w:rsidR="00A13D6B">
              <w:rPr>
                <w:rFonts w:ascii="Times New Roman" w:hAnsi="Times New Roman" w:cs="Times New Roman"/>
                <w:b/>
                <w:bCs/>
                <w:sz w:val="20"/>
                <w:szCs w:val="20"/>
              </w:rPr>
              <w:t>:</w:t>
            </w:r>
          </w:p>
          <w:p w:rsidR="00DC02EE" w:rsidRPr="00A13D6B" w:rsidRDefault="00DC02EE" w:rsidP="00A13D6B">
            <w:pPr>
              <w:pStyle w:val="Akapitzlist"/>
              <w:numPr>
                <w:ilvl w:val="0"/>
                <w:numId w:val="18"/>
              </w:numPr>
              <w:adjustRightInd w:val="0"/>
              <w:ind w:right="-426"/>
              <w:rPr>
                <w:rFonts w:ascii="Times New Roman" w:hAnsi="Times New Roman" w:cs="Times New Roman"/>
                <w:bCs/>
                <w:sz w:val="20"/>
                <w:szCs w:val="20"/>
              </w:rPr>
            </w:pPr>
            <w:r w:rsidRPr="00A13D6B">
              <w:rPr>
                <w:rFonts w:ascii="Times New Roman" w:hAnsi="Times New Roman" w:cs="Times New Roman"/>
                <w:bCs/>
                <w:sz w:val="20"/>
                <w:szCs w:val="20"/>
              </w:rPr>
              <w:t>hypertension</w:t>
            </w:r>
          </w:p>
          <w:p w:rsidR="00DC02EE" w:rsidRPr="00A13D6B" w:rsidRDefault="00DC02EE" w:rsidP="00A13D6B">
            <w:pPr>
              <w:pStyle w:val="Akapitzlist"/>
              <w:numPr>
                <w:ilvl w:val="0"/>
                <w:numId w:val="18"/>
              </w:numPr>
              <w:adjustRightInd w:val="0"/>
              <w:ind w:right="-426"/>
              <w:rPr>
                <w:rFonts w:ascii="Times New Roman" w:hAnsi="Times New Roman" w:cs="Times New Roman"/>
                <w:bCs/>
                <w:sz w:val="20"/>
                <w:szCs w:val="20"/>
              </w:rPr>
            </w:pPr>
            <w:r w:rsidRPr="00A13D6B">
              <w:rPr>
                <w:rFonts w:ascii="Times New Roman" w:hAnsi="Times New Roman" w:cs="Times New Roman"/>
                <w:bCs/>
                <w:sz w:val="20"/>
                <w:szCs w:val="20"/>
              </w:rPr>
              <w:t>pericardial effusion</w:t>
            </w:r>
          </w:p>
          <w:p w:rsidR="00DC02EE" w:rsidRPr="00A13D6B" w:rsidRDefault="00DC02EE" w:rsidP="00DF09B5">
            <w:pPr>
              <w:adjustRightInd w:val="0"/>
              <w:ind w:right="-426"/>
              <w:rPr>
                <w:rFonts w:ascii="Times New Roman" w:hAnsi="Times New Roman" w:cs="Times New Roman"/>
                <w:bCs/>
                <w:sz w:val="20"/>
                <w:szCs w:val="20"/>
              </w:rPr>
            </w:pPr>
            <w:r w:rsidRPr="00A13D6B">
              <w:rPr>
                <w:rFonts w:ascii="Times New Roman" w:hAnsi="Times New Roman" w:cs="Times New Roman"/>
                <w:bCs/>
                <w:sz w:val="20"/>
                <w:szCs w:val="20"/>
              </w:rPr>
              <w:t>[4, 5, 31]</w:t>
            </w:r>
          </w:p>
        </w:tc>
      </w:tr>
    </w:tbl>
    <w:p w:rsidR="009F288C" w:rsidRPr="00A13D6B" w:rsidRDefault="00DC02EE" w:rsidP="00A13D6B">
      <w:pPr>
        <w:adjustRightInd w:val="0"/>
        <w:ind w:right="-426"/>
        <w:rPr>
          <w:rFonts w:ascii="Times New Roman" w:hAnsi="Times New Roman" w:cs="Times New Roman"/>
        </w:rPr>
      </w:pPr>
      <w:r w:rsidRPr="00A13D6B">
        <w:rPr>
          <w:rFonts w:ascii="Times New Roman" w:hAnsi="Times New Roman" w:cs="Times New Roman"/>
        </w:rPr>
        <w:t>*Increase in IC50 for ponatinib as a sole anomaly typically not leading to clinical resistance, which is observed in cases of a compound mutation including T315I; **strong resistance is indicated in bold; CP — chronic phase; AP — acceleration phase; BP —</w:t>
      </w:r>
      <w:r w:rsidR="00A13D6B" w:rsidRPr="00A13D6B">
        <w:rPr>
          <w:rFonts w:ascii="Times New Roman" w:hAnsi="Times New Roman" w:cs="Times New Roman"/>
        </w:rPr>
        <w:t xml:space="preserve"> blastic phase; bid</w:t>
      </w:r>
      <w:r w:rsidR="00A13D6B">
        <w:rPr>
          <w:rFonts w:ascii="Times New Roman" w:hAnsi="Times New Roman" w:cs="Times New Roman"/>
        </w:rPr>
        <w:t xml:space="preserve"> (bid in die) </w:t>
      </w:r>
      <w:r w:rsidR="00A13D6B" w:rsidRPr="00A13D6B">
        <w:rPr>
          <w:rFonts w:ascii="Times New Roman" w:hAnsi="Times New Roman" w:cs="Times New Roman"/>
        </w:rPr>
        <w:t>—</w:t>
      </w:r>
      <w:r w:rsidR="00A13D6B">
        <w:rPr>
          <w:rFonts w:ascii="Times New Roman" w:hAnsi="Times New Roman" w:cs="Times New Roman"/>
        </w:rPr>
        <w:t xml:space="preserve"> twice daily</w:t>
      </w:r>
      <w:bookmarkStart w:id="0" w:name="_GoBack"/>
      <w:bookmarkEnd w:id="0"/>
    </w:p>
    <w:sectPr w:rsidR="009F288C" w:rsidRPr="00A13D6B" w:rsidSect="00DC02EE">
      <w:type w:val="continuous"/>
      <w:pgSz w:w="16840" w:h="11910" w:orient="landscape"/>
      <w:pgMar w:top="420" w:right="1580" w:bottom="0" w:left="2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7F93"/>
    <w:multiLevelType w:val="hybridMultilevel"/>
    <w:tmpl w:val="0486C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BD7242"/>
    <w:multiLevelType w:val="hybridMultilevel"/>
    <w:tmpl w:val="5C081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2477F4"/>
    <w:multiLevelType w:val="hybridMultilevel"/>
    <w:tmpl w:val="46582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20710B"/>
    <w:multiLevelType w:val="hybridMultilevel"/>
    <w:tmpl w:val="1F346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8D0BD6"/>
    <w:multiLevelType w:val="hybridMultilevel"/>
    <w:tmpl w:val="7D70C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0E2C6C"/>
    <w:multiLevelType w:val="hybridMultilevel"/>
    <w:tmpl w:val="DB12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8D6AAB"/>
    <w:multiLevelType w:val="hybridMultilevel"/>
    <w:tmpl w:val="C638F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B36F92"/>
    <w:multiLevelType w:val="hybridMultilevel"/>
    <w:tmpl w:val="29F88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3C1659"/>
    <w:multiLevelType w:val="hybridMultilevel"/>
    <w:tmpl w:val="32AAE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0D1C4F"/>
    <w:multiLevelType w:val="hybridMultilevel"/>
    <w:tmpl w:val="690A1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451B74"/>
    <w:multiLevelType w:val="hybridMultilevel"/>
    <w:tmpl w:val="E3A6E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981046"/>
    <w:multiLevelType w:val="hybridMultilevel"/>
    <w:tmpl w:val="E548A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1E7D19"/>
    <w:multiLevelType w:val="hybridMultilevel"/>
    <w:tmpl w:val="8C9CE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9C507C"/>
    <w:multiLevelType w:val="hybridMultilevel"/>
    <w:tmpl w:val="1AC2D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99655E"/>
    <w:multiLevelType w:val="hybridMultilevel"/>
    <w:tmpl w:val="472CC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ED6010"/>
    <w:multiLevelType w:val="hybridMultilevel"/>
    <w:tmpl w:val="1FFEB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710A3F"/>
    <w:multiLevelType w:val="hybridMultilevel"/>
    <w:tmpl w:val="8688A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FD5EDE"/>
    <w:multiLevelType w:val="hybridMultilevel"/>
    <w:tmpl w:val="7EC86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8"/>
  </w:num>
  <w:num w:numId="5">
    <w:abstractNumId w:val="15"/>
  </w:num>
  <w:num w:numId="6">
    <w:abstractNumId w:val="7"/>
  </w:num>
  <w:num w:numId="7">
    <w:abstractNumId w:val="0"/>
  </w:num>
  <w:num w:numId="8">
    <w:abstractNumId w:val="13"/>
  </w:num>
  <w:num w:numId="9">
    <w:abstractNumId w:val="11"/>
  </w:num>
  <w:num w:numId="10">
    <w:abstractNumId w:val="14"/>
  </w:num>
  <w:num w:numId="11">
    <w:abstractNumId w:val="3"/>
  </w:num>
  <w:num w:numId="12">
    <w:abstractNumId w:val="2"/>
  </w:num>
  <w:num w:numId="13">
    <w:abstractNumId w:val="1"/>
  </w:num>
  <w:num w:numId="14">
    <w:abstractNumId w:val="16"/>
  </w:num>
  <w:num w:numId="15">
    <w:abstractNumId w:val="6"/>
  </w:num>
  <w:num w:numId="16">
    <w:abstractNumId w:val="9"/>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1"/>
    <w:rsid w:val="00481F26"/>
    <w:rsid w:val="005F2182"/>
    <w:rsid w:val="00697AE1"/>
    <w:rsid w:val="009F288C"/>
    <w:rsid w:val="00A13D6B"/>
    <w:rsid w:val="00AB08BD"/>
    <w:rsid w:val="00DC0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981AC-C46D-45C3-A2C9-ABE85DC1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F288C"/>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2"/>
      <w:szCs w:val="12"/>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5F2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4370</Characters>
  <Application>Microsoft Office Word</Application>
  <DocSecurity>0</DocSecurity>
  <Lines>310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Owsiany</dc:creator>
  <cp:lastModifiedBy>Joanna Gajkowska</cp:lastModifiedBy>
  <cp:revision>3</cp:revision>
  <dcterms:created xsi:type="dcterms:W3CDTF">2022-04-05T10:21:00Z</dcterms:created>
  <dcterms:modified xsi:type="dcterms:W3CDTF">2022-04-05T10:21:00Z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2013</vt:lpwstr>
  </property>
  <property fmtid="{D5CDD505-2E9C-101B-9397-08002B2CF9AE}" pid="4" name="LastSaved">
    <vt:filetime>2022-03-22T00:00:00Z</vt:filetime>
  </property>
</Properties>
</file>